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Metrics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Metrics</w:t>
      </w:r>
    </w:p>
    <w:p>
      <w:r>
        <w:rPr>
          <w:sz w:val="20"/>
        </w:rPr>
        <w:t>Мова: Українська (default) | [English](26-metrics.en.md)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Metrics Lead</w:t>
      </w:r>
    </w:p>
    <w:p>
      <w:pPr>
        <w:pStyle w:val="ListBullet"/>
        <w:ind w:left="283"/>
      </w:pPr>
      <w:r>
        <w:rPr>
          <w:sz w:val="20"/>
        </w:rPr>
        <w:t>Contributors: Data Science, Product Analytics, Research Lead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метрики успіху для predictive quality, decision quality, adoption, safety and impact.</w:t>
      </w:r>
    </w:p>
    <w:p>
      <w:pPr>
        <w:pStyle w:val="Heading2"/>
      </w:pPr>
      <w:r>
        <w:rPr>
          <w:color w:val="1A569A"/>
          <w:sz w:val="24"/>
        </w:rPr>
        <w:t>Metric Layers</w:t>
      </w:r>
    </w:p>
    <w:p>
      <w:pPr>
        <w:pStyle w:val="ListBullet"/>
        <w:ind w:left="283"/>
      </w:pPr>
      <w:r>
        <w:rPr>
          <w:sz w:val="20"/>
        </w:rPr>
        <w:t>Predictive metrics</w:t>
      </w:r>
    </w:p>
    <w:p>
      <w:pPr>
        <w:pStyle w:val="ListBullet"/>
        <w:ind w:left="283"/>
      </w:pPr>
      <w:r>
        <w:rPr>
          <w:sz w:val="20"/>
        </w:rPr>
        <w:t>Decision metrics</w:t>
      </w:r>
    </w:p>
    <w:p>
      <w:pPr>
        <w:pStyle w:val="ListBullet"/>
        <w:ind w:left="283"/>
      </w:pPr>
      <w:r>
        <w:rPr>
          <w:sz w:val="20"/>
        </w:rPr>
        <w:t>User/adoption metrics</w:t>
      </w:r>
    </w:p>
    <w:p>
      <w:pPr>
        <w:pStyle w:val="ListBullet"/>
        <w:ind w:left="283"/>
      </w:pPr>
      <w:r>
        <w:rPr>
          <w:sz w:val="20"/>
        </w:rPr>
        <w:t>Safety/governance metrics</w:t>
      </w:r>
    </w:p>
    <w:p>
      <w:pPr>
        <w:pStyle w:val="ListBullet"/>
        <w:ind w:left="283"/>
      </w:pPr>
      <w:r>
        <w:rPr>
          <w:sz w:val="20"/>
        </w:rPr>
        <w:t>Business/impact metrics</w:t>
      </w:r>
    </w:p>
    <w:p>
      <w:pPr>
        <w:pStyle w:val="Heading2"/>
      </w:pPr>
      <w:r>
        <w:rPr>
          <w:color w:val="1A569A"/>
          <w:sz w:val="24"/>
        </w:rPr>
        <w:t>Predictive Metrics</w:t>
      </w:r>
    </w:p>
    <w:p>
      <w:pPr>
        <w:pStyle w:val="ListBullet"/>
        <w:ind w:left="283"/>
      </w:pPr>
      <w:r>
        <w:rPr>
          <w:sz w:val="20"/>
        </w:rPr>
        <w:t>AUROC</w:t>
      </w:r>
    </w:p>
    <w:p>
      <w:pPr>
        <w:pStyle w:val="ListBullet"/>
        <w:ind w:left="283"/>
      </w:pPr>
      <w:r>
        <w:rPr>
          <w:sz w:val="20"/>
        </w:rPr>
        <w:t>AUPRC</w:t>
      </w:r>
    </w:p>
    <w:p>
      <w:pPr>
        <w:pStyle w:val="ListBullet"/>
        <w:ind w:left="283"/>
      </w:pPr>
      <w:r>
        <w:rPr>
          <w:sz w:val="20"/>
        </w:rPr>
        <w:t>Calibration error</w:t>
      </w:r>
    </w:p>
    <w:p>
      <w:pPr>
        <w:pStyle w:val="ListBullet"/>
        <w:ind w:left="283"/>
      </w:pPr>
      <w:r>
        <w:rPr>
          <w:sz w:val="20"/>
        </w:rPr>
        <w:t>Brier score</w:t>
      </w:r>
    </w:p>
    <w:p>
      <w:pPr>
        <w:pStyle w:val="Heading2"/>
      </w:pPr>
      <w:r>
        <w:rPr>
          <w:color w:val="1A569A"/>
          <w:sz w:val="24"/>
        </w:rPr>
        <w:t>Decision Metrics</w:t>
      </w:r>
    </w:p>
    <w:p>
      <w:pPr>
        <w:pStyle w:val="ListBullet"/>
        <w:ind w:left="283"/>
      </w:pPr>
      <w:r>
        <w:rPr>
          <w:sz w:val="20"/>
        </w:rPr>
        <w:t>Precision@high-risk alerts</w:t>
      </w:r>
    </w:p>
    <w:p>
      <w:pPr>
        <w:pStyle w:val="ListBullet"/>
        <w:ind w:left="283"/>
      </w:pPr>
      <w:r>
        <w:rPr>
          <w:sz w:val="20"/>
        </w:rPr>
        <w:t>False alert rate</w:t>
      </w:r>
    </w:p>
    <w:p>
      <w:pPr>
        <w:pStyle w:val="ListBullet"/>
        <w:ind w:left="283"/>
      </w:pPr>
      <w:r>
        <w:rPr>
          <w:sz w:val="20"/>
        </w:rPr>
        <w:t>Disagreement resolution quality</w:t>
      </w:r>
    </w:p>
    <w:p>
      <w:pPr>
        <w:pStyle w:val="ListBullet"/>
        <w:ind w:left="283"/>
      </w:pPr>
      <w:r>
        <w:rPr>
          <w:sz w:val="20"/>
        </w:rPr>
        <w:t>Time-to-action after signal</w:t>
      </w:r>
    </w:p>
    <w:p>
      <w:pPr>
        <w:pStyle w:val="Heading2"/>
      </w:pPr>
      <w:r>
        <w:rPr>
          <w:color w:val="1A569A"/>
          <w:sz w:val="24"/>
        </w:rPr>
        <w:t>Explainability and Trust Metrics</w:t>
      </w:r>
    </w:p>
    <w:p>
      <w:pPr>
        <w:pStyle w:val="ListBullet"/>
        <w:ind w:left="283"/>
      </w:pPr>
      <w:r>
        <w:rPr>
          <w:sz w:val="20"/>
        </w:rPr>
        <w:t>Comprehension score</w:t>
      </w:r>
    </w:p>
    <w:p>
      <w:pPr>
        <w:pStyle w:val="ListBullet"/>
        <w:ind w:left="283"/>
      </w:pPr>
      <w:r>
        <w:rPr>
          <w:sz w:val="20"/>
        </w:rPr>
        <w:t>Trust score uplift</w:t>
      </w:r>
    </w:p>
    <w:p>
      <w:pPr>
        <w:pStyle w:val="ListBullet"/>
        <w:ind w:left="283"/>
      </w:pPr>
      <w:r>
        <w:rPr>
          <w:sz w:val="20"/>
        </w:rPr>
        <w:t>Explanation usefulness rating</w:t>
      </w:r>
    </w:p>
    <w:p>
      <w:pPr>
        <w:pStyle w:val="Heading2"/>
      </w:pPr>
      <w:r>
        <w:rPr>
          <w:color w:val="1A569A"/>
          <w:sz w:val="24"/>
        </w:rPr>
        <w:t>Governance Metrics</w:t>
      </w:r>
    </w:p>
    <w:p>
      <w:pPr>
        <w:pStyle w:val="ListBullet"/>
        <w:ind w:left="283"/>
      </w:pPr>
      <w:r>
        <w:rPr>
          <w:sz w:val="20"/>
        </w:rPr>
        <w:t>Drift alert frequency</w:t>
      </w:r>
    </w:p>
    <w:p>
      <w:pPr>
        <w:pStyle w:val="ListBullet"/>
        <w:ind w:left="283"/>
      </w:pPr>
      <w:r>
        <w:rPr>
          <w:sz w:val="20"/>
        </w:rPr>
        <w:t>Mitigation activation rate</w:t>
      </w:r>
    </w:p>
    <w:p>
      <w:pPr>
        <w:pStyle w:val="ListBullet"/>
        <w:ind w:left="283"/>
      </w:pPr>
      <w:r>
        <w:rPr>
          <w:sz w:val="20"/>
        </w:rPr>
        <w:t>Rollback count</w:t>
      </w:r>
    </w:p>
    <w:p>
      <w:pPr>
        <w:pStyle w:val="ListBullet"/>
        <w:ind w:left="283"/>
      </w:pPr>
      <w:r>
        <w:rPr>
          <w:sz w:val="20"/>
        </w:rPr>
        <w:t>Policy stability index</w:t>
      </w:r>
    </w:p>
    <w:p>
      <w:pPr>
        <w:pStyle w:val="Heading2"/>
      </w:pPr>
      <w:r>
        <w:rPr>
          <w:color w:val="1A569A"/>
          <w:sz w:val="24"/>
        </w:rPr>
        <w:t>Operational Metrics</w:t>
      </w:r>
    </w:p>
    <w:p>
      <w:pPr>
        <w:pStyle w:val="ListBullet"/>
        <w:ind w:left="283"/>
      </w:pPr>
      <w:r>
        <w:rPr>
          <w:sz w:val="20"/>
        </w:rPr>
        <w:t>Inference latency</w:t>
      </w:r>
    </w:p>
    <w:p>
      <w:pPr>
        <w:pStyle w:val="ListBullet"/>
        <w:ind w:left="283"/>
      </w:pPr>
      <w:r>
        <w:rPr>
          <w:sz w:val="20"/>
        </w:rPr>
        <w:t>Pipeline freshness SLA adherence</w:t>
      </w:r>
    </w:p>
    <w:p>
      <w:pPr>
        <w:pStyle w:val="ListBullet"/>
        <w:ind w:left="283"/>
      </w:pPr>
      <w:r>
        <w:rPr>
          <w:sz w:val="20"/>
        </w:rPr>
        <w:t>Data quality pass rate</w:t>
      </w:r>
    </w:p>
    <w:p>
      <w:pPr>
        <w:pStyle w:val="Heading2"/>
      </w:pPr>
      <w:r>
        <w:rPr>
          <w:color w:val="1A569A"/>
          <w:sz w:val="24"/>
        </w:rPr>
        <w:t>Metric Governance</w:t>
      </w:r>
    </w:p>
    <w:p>
      <w:pPr>
        <w:pStyle w:val="ListBullet"/>
        <w:ind w:left="283"/>
      </w:pPr>
      <w:r>
        <w:rPr>
          <w:sz w:val="20"/>
        </w:rPr>
        <w:t>Primary vs secondary metrics registry.</w:t>
      </w:r>
    </w:p>
    <w:p>
      <w:pPr>
        <w:pStyle w:val="ListBullet"/>
        <w:ind w:left="283"/>
      </w:pPr>
      <w:r>
        <w:rPr>
          <w:sz w:val="20"/>
        </w:rPr>
        <w:t>Threshold ownership.</w:t>
      </w:r>
    </w:p>
    <w:p>
      <w:pPr>
        <w:pStyle w:val="ListBullet"/>
        <w:ind w:left="283"/>
      </w:pPr>
      <w:r>
        <w:rPr>
          <w:sz w:val="20"/>
        </w:rPr>
        <w:t>Change control for metric definitions.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Для кожного RQ визначено primary metrics.</w:t>
      </w:r>
    </w:p>
    <w:p>
      <w:pPr>
        <w:pStyle w:val="ListBullet"/>
        <w:ind w:left="283"/>
      </w:pPr>
      <w:r>
        <w:rPr>
          <w:sz w:val="20"/>
        </w:rPr>
        <w:t>Всі metrics мають formulas і thresholds.</w:t>
      </w:r>
    </w:p>
    <w:p>
      <w:pPr>
        <w:pStyle w:val="ListBullet"/>
        <w:ind w:left="283"/>
      </w:pPr>
      <w:r>
        <w:rPr>
          <w:sz w:val="20"/>
        </w:rPr>
        <w:t>Є dashboard mapping metrics -&gt; decision gates.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25-evaluation.md, 12-statistics.md, 38-impact.md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