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Clinical Validation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Clinical Validation</w:t>
      </w:r>
    </w:p>
    <w:p>
      <w:r>
        <w:rPr>
          <w:sz w:val="20"/>
        </w:rPr>
        <w:t>Мова: Українська (default) | [English](27-clinical-validation.en.md)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Clinical Research Coordinator</w:t>
      </w:r>
    </w:p>
    <w:p>
      <w:pPr>
        <w:pStyle w:val="ListBullet"/>
        <w:ind w:left="283"/>
      </w:pPr>
      <w:r>
        <w:rPr>
          <w:sz w:val="20"/>
        </w:rPr>
        <w:t>Contributors: Ethics Lead, Product Research, External Advisors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рамку клінічно орієнтованої валідації для decision support сценаріїв без позиціонування системи як медичного діагностичного виробу на цьому етапі.</w:t>
      </w:r>
    </w:p>
    <w:p>
      <w:pPr>
        <w:pStyle w:val="Heading2"/>
      </w:pPr>
      <w:r>
        <w:rPr>
          <w:color w:val="1A569A"/>
          <w:sz w:val="24"/>
        </w:rPr>
        <w:t>Validation Objective</w:t>
      </w:r>
    </w:p>
    <w:p>
      <w:r>
        <w:rPr>
          <w:sz w:val="20"/>
        </w:rPr>
        <w:t>Перевірити, що risk/recommendation outputs:</w:t>
      </w:r>
    </w:p>
    <w:p>
      <w:pPr>
        <w:pStyle w:val="ListBullet"/>
        <w:ind w:left="283"/>
      </w:pPr>
      <w:r>
        <w:rPr>
          <w:sz w:val="20"/>
        </w:rPr>
        <w:t>узгоджуються з очікуваними психометричними патернами;</w:t>
      </w:r>
    </w:p>
    <w:p>
      <w:pPr>
        <w:pStyle w:val="ListBullet"/>
        <w:ind w:left="283"/>
      </w:pPr>
      <w:r>
        <w:rPr>
          <w:sz w:val="20"/>
        </w:rPr>
        <w:t>не створюють небезпечних або хибно-категоричних інтерпретацій;</w:t>
      </w:r>
    </w:p>
    <w:p>
      <w:pPr>
        <w:pStyle w:val="ListBullet"/>
        <w:ind w:left="283"/>
      </w:pPr>
      <w:r>
        <w:rPr>
          <w:sz w:val="20"/>
        </w:rPr>
        <w:t>підтримують своєчасну ескалацію за високого ризику.</w:t>
      </w:r>
    </w:p>
    <w:p>
      <w:pPr>
        <w:pStyle w:val="Heading2"/>
      </w:pPr>
      <w:r>
        <w:rPr>
          <w:color w:val="1A569A"/>
          <w:sz w:val="24"/>
        </w:rPr>
        <w:t>Scope</w:t>
      </w:r>
    </w:p>
    <w:p>
      <w:pPr>
        <w:pStyle w:val="ListBullet"/>
        <w:ind w:left="283"/>
      </w:pPr>
      <w:r>
        <w:rPr>
          <w:sz w:val="20"/>
        </w:rPr>
        <w:t>In scope: clinical plausibility and safety alignment.</w:t>
      </w:r>
    </w:p>
    <w:p>
      <w:pPr>
        <w:pStyle w:val="ListBullet"/>
        <w:ind w:left="283"/>
      </w:pPr>
      <w:r>
        <w:rPr>
          <w:sz w:val="20"/>
        </w:rPr>
        <w:t>Out of scope: formal diagnostic claims.</w:t>
      </w:r>
    </w:p>
    <w:p>
      <w:pPr>
        <w:pStyle w:val="Heading2"/>
      </w:pPr>
      <w:r>
        <w:rPr>
          <w:color w:val="1A569A"/>
          <w:sz w:val="24"/>
        </w:rPr>
        <w:t>Validation Components</w:t>
      </w:r>
    </w:p>
    <w:p>
      <w:pPr>
        <w:pStyle w:val="ListBullet"/>
        <w:ind w:left="283"/>
      </w:pPr>
      <w:r>
        <w:rPr>
          <w:sz w:val="20"/>
        </w:rPr>
        <w:t>Concordance with standardized questionnaires (where available).</w:t>
      </w:r>
    </w:p>
    <w:p>
      <w:pPr>
        <w:pStyle w:val="ListBullet"/>
        <w:ind w:left="283"/>
      </w:pPr>
      <w:r>
        <w:rPr>
          <w:sz w:val="20"/>
        </w:rPr>
        <w:t>Review of explanation language safety.</w:t>
      </w:r>
    </w:p>
    <w:p>
      <w:pPr>
        <w:pStyle w:val="ListBullet"/>
        <w:ind w:left="283"/>
      </w:pPr>
      <w:r>
        <w:rPr>
          <w:sz w:val="20"/>
        </w:rPr>
        <w:t>Escalation policy review for high-risk signals.</w:t>
      </w:r>
    </w:p>
    <w:p>
      <w:pPr>
        <w:pStyle w:val="ListBullet"/>
        <w:ind w:left="283"/>
      </w:pPr>
      <w:r>
        <w:rPr>
          <w:sz w:val="20"/>
        </w:rPr>
        <w:t>Monitoring adverse interpretation incidents.</w:t>
      </w:r>
    </w:p>
    <w:p>
      <w:pPr>
        <w:pStyle w:val="Heading2"/>
      </w:pPr>
      <w:r>
        <w:rPr>
          <w:color w:val="1A569A"/>
          <w:sz w:val="24"/>
        </w:rPr>
        <w:t>Human Oversight</w:t>
      </w:r>
    </w:p>
    <w:p>
      <w:pPr>
        <w:pStyle w:val="ListBullet"/>
        <w:ind w:left="283"/>
      </w:pPr>
      <w:r>
        <w:rPr>
          <w:sz w:val="20"/>
        </w:rPr>
        <w:t>Clinical advisory panel for protocol review.</w:t>
      </w:r>
    </w:p>
    <w:p>
      <w:pPr>
        <w:pStyle w:val="ListBullet"/>
        <w:ind w:left="283"/>
      </w:pPr>
      <w:r>
        <w:rPr>
          <w:sz w:val="20"/>
        </w:rPr>
        <w:t>Defined referral/escalation guidance.</w:t>
      </w:r>
    </w:p>
    <w:p>
      <w:pPr>
        <w:pStyle w:val="ListBullet"/>
        <w:ind w:left="283"/>
      </w:pPr>
      <w:r>
        <w:rPr>
          <w:sz w:val="20"/>
        </w:rPr>
        <w:t>Periodic review of high-risk false positives/negatives.</w:t>
      </w:r>
    </w:p>
    <w:p>
      <w:pPr>
        <w:pStyle w:val="Heading2"/>
      </w:pPr>
      <w:r>
        <w:rPr>
          <w:color w:val="1A569A"/>
          <w:sz w:val="24"/>
        </w:rPr>
        <w:t>Safety Triggers</w:t>
      </w:r>
    </w:p>
    <w:p>
      <w:pPr>
        <w:pStyle w:val="ListBullet"/>
        <w:ind w:left="283"/>
      </w:pPr>
      <w:r>
        <w:rPr>
          <w:sz w:val="20"/>
        </w:rPr>
        <w:t>Low confidence + high risk combination.</w:t>
      </w:r>
    </w:p>
    <w:p>
      <w:pPr>
        <w:pStyle w:val="ListBullet"/>
        <w:ind w:left="283"/>
      </w:pPr>
      <w:r>
        <w:rPr>
          <w:sz w:val="20"/>
        </w:rPr>
        <w:t>Contradictory signals over short windows.</w:t>
      </w:r>
    </w:p>
    <w:p>
      <w:pPr>
        <w:pStyle w:val="ListBullet"/>
        <w:ind w:left="283"/>
      </w:pPr>
      <w:r>
        <w:rPr>
          <w:sz w:val="20"/>
        </w:rPr>
        <w:t>Repeated worsening without response uptake.</w:t>
      </w:r>
    </w:p>
    <w:p>
      <w:pPr>
        <w:pStyle w:val="Heading2"/>
      </w:pPr>
      <w:r>
        <w:rPr>
          <w:color w:val="1A569A"/>
          <w:sz w:val="24"/>
        </w:rPr>
        <w:t>Outputs</w:t>
      </w:r>
    </w:p>
    <w:p>
      <w:pPr>
        <w:pStyle w:val="ListBullet"/>
        <w:ind w:left="283"/>
      </w:pPr>
      <w:r>
        <w:rPr>
          <w:sz w:val="20"/>
        </w:rPr>
        <w:t>Clinical plausibility report.</w:t>
      </w:r>
    </w:p>
    <w:p>
      <w:pPr>
        <w:pStyle w:val="ListBullet"/>
        <w:ind w:left="283"/>
      </w:pPr>
      <w:r>
        <w:rPr>
          <w:sz w:val="20"/>
        </w:rPr>
        <w:t>Safety incident log.</w:t>
      </w:r>
    </w:p>
    <w:p>
      <w:pPr>
        <w:pStyle w:val="ListBullet"/>
        <w:ind w:left="283"/>
      </w:pPr>
      <w:r>
        <w:rPr>
          <w:sz w:val="20"/>
        </w:rPr>
        <w:t>Recommendations for policy threshold adjustment.</w:t>
      </w:r>
    </w:p>
    <w:p>
      <w:pPr>
        <w:pStyle w:val="Heading2"/>
      </w:pPr>
      <w:r>
        <w:rPr>
          <w:color w:val="1A569A"/>
          <w:sz w:val="24"/>
        </w:rPr>
        <w:t>Limitations</w:t>
      </w:r>
    </w:p>
    <w:p>
      <w:pPr>
        <w:pStyle w:val="ListBullet"/>
        <w:ind w:left="283"/>
      </w:pPr>
      <w:r>
        <w:rPr>
          <w:sz w:val="20"/>
        </w:rPr>
        <w:t>Self-report dependency.</w:t>
      </w:r>
    </w:p>
    <w:p>
      <w:pPr>
        <w:pStyle w:val="ListBullet"/>
        <w:ind w:left="283"/>
      </w:pPr>
      <w:r>
        <w:rPr>
          <w:sz w:val="20"/>
        </w:rPr>
        <w:t>Non-clinical context for many users.</w:t>
      </w:r>
    </w:p>
    <w:p>
      <w:pPr>
        <w:pStyle w:val="ListBullet"/>
        <w:ind w:left="283"/>
      </w:pPr>
      <w:r>
        <w:rPr>
          <w:sz w:val="20"/>
        </w:rPr>
        <w:t>Heterogeneous baseline mental states.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Всі клінічно чутливі сценарії мають human oversight policy.</w:t>
      </w:r>
    </w:p>
    <w:p>
      <w:pPr>
        <w:pStyle w:val="ListBullet"/>
        <w:ind w:left="283"/>
      </w:pPr>
      <w:r>
        <w:rPr>
          <w:sz w:val="20"/>
        </w:rPr>
        <w:t>В explanation-комунікації немає діагностичних тверджень.</w:t>
      </w:r>
    </w:p>
    <w:p>
      <w:pPr>
        <w:pStyle w:val="ListBullet"/>
        <w:ind w:left="283"/>
      </w:pPr>
      <w:r>
        <w:rPr>
          <w:sz w:val="20"/>
        </w:rPr>
        <w:t>Є documented escalation pathway.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20-explainability.md, 22-uncertainty.md, 36-gdpr.md, 37-ethics.md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