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User Validation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User Validation</w:t>
      </w:r>
    </w:p>
    <w:p>
      <w:r>
        <w:rPr>
          <w:sz w:val="20"/>
        </w:rPr>
        <w:t>Мова: Українська (default) | [English](28-user-validation.en.md)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Product Research Lead</w:t>
      </w:r>
    </w:p>
    <w:p>
      <w:pPr>
        <w:pStyle w:val="ListBullet"/>
        <w:ind w:left="283"/>
      </w:pPr>
      <w:r>
        <w:rPr>
          <w:sz w:val="20"/>
        </w:rPr>
        <w:t>Contributors: UX Team, Data Science, Ethics Lead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Перевірити, як користувачі та менеджери розуміють, довіряють і використовують decision outputs у реальних сценаріях.</w:t>
      </w:r>
    </w:p>
    <w:p>
      <w:pPr>
        <w:pStyle w:val="Heading2"/>
      </w:pPr>
      <w:r>
        <w:rPr>
          <w:color w:val="1A569A"/>
          <w:sz w:val="24"/>
        </w:rPr>
        <w:t>Validation Goals</w:t>
      </w:r>
    </w:p>
    <w:p>
      <w:pPr>
        <w:pStyle w:val="ListBullet"/>
        <w:ind w:left="283"/>
      </w:pPr>
      <w:r>
        <w:rPr>
          <w:sz w:val="20"/>
        </w:rPr>
        <w:t>Перевірити зрозумілість сигналів і рекомендацій.</w:t>
      </w:r>
    </w:p>
    <w:p>
      <w:pPr>
        <w:pStyle w:val="ListBullet"/>
        <w:ind w:left="283"/>
      </w:pPr>
      <w:r>
        <w:rPr>
          <w:sz w:val="20"/>
        </w:rPr>
        <w:t>Виміряти довіру до пояснюваних рішень.</w:t>
      </w:r>
    </w:p>
    <w:p>
      <w:pPr>
        <w:pStyle w:val="ListBullet"/>
        <w:ind w:left="283"/>
      </w:pPr>
      <w:r>
        <w:rPr>
          <w:sz w:val="20"/>
        </w:rPr>
        <w:t>Виявити бар'єри adoption у B2C/B2B потоках.</w:t>
      </w:r>
    </w:p>
    <w:p>
      <w:pPr>
        <w:pStyle w:val="Heading2"/>
      </w:pPr>
      <w:r>
        <w:rPr>
          <w:color w:val="1A569A"/>
          <w:sz w:val="24"/>
        </w:rPr>
        <w:t>Audience Segments</w:t>
      </w:r>
    </w:p>
    <w:p>
      <w:pPr>
        <w:pStyle w:val="ListBullet"/>
        <w:ind w:left="283"/>
      </w:pPr>
      <w:r>
        <w:rPr>
          <w:sz w:val="20"/>
        </w:rPr>
        <w:t>End users</w:t>
      </w:r>
    </w:p>
    <w:p>
      <w:pPr>
        <w:pStyle w:val="ListBullet"/>
        <w:ind w:left="283"/>
      </w:pPr>
      <w:r>
        <w:rPr>
          <w:sz w:val="20"/>
        </w:rPr>
        <w:t>Team managers</w:t>
      </w:r>
    </w:p>
    <w:p>
      <w:pPr>
        <w:pStyle w:val="ListBullet"/>
        <w:ind w:left="283"/>
      </w:pPr>
      <w:r>
        <w:rPr>
          <w:sz w:val="20"/>
        </w:rPr>
        <w:t>HR/admin stakeholders</w:t>
      </w:r>
    </w:p>
    <w:p>
      <w:pPr>
        <w:pStyle w:val="Heading2"/>
      </w:pPr>
      <w:r>
        <w:rPr>
          <w:color w:val="1A569A"/>
          <w:sz w:val="24"/>
        </w:rPr>
        <w:t>Methods</w:t>
      </w:r>
    </w:p>
    <w:p>
      <w:pPr>
        <w:pStyle w:val="ListBullet"/>
        <w:ind w:left="283"/>
      </w:pPr>
      <w:r>
        <w:rPr>
          <w:sz w:val="20"/>
        </w:rPr>
        <w:t>Moderated usability sessions.</w:t>
      </w:r>
    </w:p>
    <w:p>
      <w:pPr>
        <w:pStyle w:val="ListBullet"/>
        <w:ind w:left="283"/>
      </w:pPr>
      <w:r>
        <w:rPr>
          <w:sz w:val="20"/>
        </w:rPr>
        <w:t>Task-based comprehension tests.</w:t>
      </w:r>
    </w:p>
    <w:p>
      <w:pPr>
        <w:pStyle w:val="ListBullet"/>
        <w:ind w:left="283"/>
      </w:pPr>
      <w:r>
        <w:rPr>
          <w:sz w:val="20"/>
        </w:rPr>
        <w:t>Longitudinal adoption analytics.</w:t>
      </w:r>
    </w:p>
    <w:p>
      <w:pPr>
        <w:pStyle w:val="ListBullet"/>
        <w:ind w:left="283"/>
      </w:pPr>
      <w:r>
        <w:rPr>
          <w:sz w:val="20"/>
        </w:rPr>
        <w:t>Structured interviews.</w:t>
      </w:r>
    </w:p>
    <w:p>
      <w:pPr>
        <w:pStyle w:val="Heading2"/>
      </w:pPr>
      <w:r>
        <w:rPr>
          <w:color w:val="1A569A"/>
          <w:sz w:val="24"/>
        </w:rPr>
        <w:t>Core Questions</w:t>
      </w:r>
    </w:p>
    <w:p>
      <w:pPr>
        <w:pStyle w:val="ListBullet"/>
        <w:ind w:left="283"/>
      </w:pPr>
      <w:r>
        <w:rPr>
          <w:sz w:val="20"/>
        </w:rPr>
        <w:t>Чи правильно інтерпретується рівень ризику?</w:t>
      </w:r>
    </w:p>
    <w:p>
      <w:pPr>
        <w:pStyle w:val="ListBullet"/>
        <w:ind w:left="283"/>
      </w:pPr>
      <w:r>
        <w:rPr>
          <w:sz w:val="20"/>
        </w:rPr>
        <w:t>Чи рекомендації вважаються релевантними?</w:t>
      </w:r>
    </w:p>
    <w:p>
      <w:pPr>
        <w:pStyle w:val="ListBullet"/>
        <w:ind w:left="283"/>
      </w:pPr>
      <w:r>
        <w:rPr>
          <w:sz w:val="20"/>
        </w:rPr>
        <w:t>Чи пояснення допомагають діяти?</w:t>
      </w:r>
    </w:p>
    <w:p>
      <w:pPr>
        <w:pStyle w:val="Heading2"/>
      </w:pPr>
      <w:r>
        <w:rPr>
          <w:color w:val="1A569A"/>
          <w:sz w:val="24"/>
        </w:rPr>
        <w:t>Outcome Measures</w:t>
      </w:r>
    </w:p>
    <w:p>
      <w:pPr>
        <w:pStyle w:val="ListBullet"/>
        <w:ind w:left="283"/>
      </w:pPr>
      <w:r>
        <w:rPr>
          <w:sz w:val="20"/>
        </w:rPr>
        <w:t>Task completion with correct interpretation.</w:t>
      </w:r>
    </w:p>
    <w:p>
      <w:pPr>
        <w:pStyle w:val="ListBullet"/>
        <w:ind w:left="283"/>
      </w:pPr>
      <w:r>
        <w:rPr>
          <w:sz w:val="20"/>
        </w:rPr>
        <w:t>Trust and perceived usefulness scores.</w:t>
      </w:r>
    </w:p>
    <w:p>
      <w:pPr>
        <w:pStyle w:val="ListBullet"/>
        <w:ind w:left="283"/>
      </w:pPr>
      <w:r>
        <w:rPr>
          <w:sz w:val="20"/>
        </w:rPr>
        <w:t>Action uptake and follow-through rates.</w:t>
      </w:r>
    </w:p>
    <w:p>
      <w:pPr>
        <w:pStyle w:val="ListBullet"/>
        <w:ind w:left="283"/>
      </w:pPr>
      <w:r>
        <w:rPr>
          <w:sz w:val="20"/>
        </w:rPr>
        <w:t>Reported confusion or harm signals.</w:t>
      </w:r>
    </w:p>
    <w:p>
      <w:pPr>
        <w:pStyle w:val="Heading2"/>
      </w:pPr>
      <w:r>
        <w:rPr>
          <w:color w:val="1A569A"/>
          <w:sz w:val="24"/>
        </w:rPr>
        <w:t>Safety and Ethics in Testing</w:t>
      </w:r>
    </w:p>
    <w:p>
      <w:pPr>
        <w:pStyle w:val="ListBullet"/>
        <w:ind w:left="283"/>
      </w:pPr>
      <w:r>
        <w:rPr>
          <w:sz w:val="20"/>
        </w:rPr>
        <w:t>Sensitive content handling protocol.</w:t>
      </w:r>
    </w:p>
    <w:p>
      <w:pPr>
        <w:pStyle w:val="ListBullet"/>
        <w:ind w:left="283"/>
      </w:pPr>
      <w:r>
        <w:rPr>
          <w:sz w:val="20"/>
        </w:rPr>
        <w:t>Debrief and support channels.</w:t>
      </w:r>
    </w:p>
    <w:p>
      <w:pPr>
        <w:pStyle w:val="ListBullet"/>
        <w:ind w:left="283"/>
      </w:pPr>
      <w:r>
        <w:rPr>
          <w:sz w:val="20"/>
        </w:rPr>
        <w:t>Consent and withdrawal mechanisms.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Досягнуті predefined usability/trust thresholds.</w:t>
      </w:r>
    </w:p>
    <w:p>
      <w:pPr>
        <w:pStyle w:val="ListBullet"/>
        <w:ind w:left="283"/>
      </w:pPr>
      <w:r>
        <w:rPr>
          <w:sz w:val="20"/>
        </w:rPr>
        <w:t>Виявлені UX ризики мають remediation backlog.</w:t>
      </w:r>
    </w:p>
    <w:p>
      <w:pPr>
        <w:pStyle w:val="ListBullet"/>
        <w:ind w:left="283"/>
      </w:pPr>
      <w:r>
        <w:rPr>
          <w:sz w:val="20"/>
        </w:rPr>
        <w:t>Результати інтегровані в policy and explanation updates.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20-explainability.md, 29-explainability-validation.md, 37-ethics.md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