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Explainability Validation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Explainability Validation</w:t>
      </w:r>
    </w:p>
    <w:p>
      <w:r>
        <w:rPr>
          <w:sz w:val="20"/>
        </w:rPr>
        <w:t>Мова: Українська (default) | [English](29-explainability-validation.en.md)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Explainability Research Lead</w:t>
      </w:r>
    </w:p>
    <w:p>
      <w:pPr>
        <w:pStyle w:val="ListBullet"/>
        <w:ind w:left="283"/>
      </w:pPr>
      <w:r>
        <w:rPr>
          <w:sz w:val="20"/>
        </w:rPr>
        <w:t>Contributors: UX Research, Data Science, Ethics Team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Оцінити якість explainability outputs за критеріями faithfulness, clarity, actionability і safety.</w:t>
      </w:r>
    </w:p>
    <w:p>
      <w:pPr>
        <w:pStyle w:val="Heading2"/>
      </w:pPr>
      <w:r>
        <w:rPr>
          <w:color w:val="1A569A"/>
          <w:sz w:val="24"/>
        </w:rPr>
        <w:t>Validation Framework</w:t>
      </w:r>
    </w:p>
    <w:p>
      <w:pPr>
        <w:pStyle w:val="ListBullet"/>
        <w:ind w:left="283"/>
      </w:pPr>
      <w:r>
        <w:rPr>
          <w:sz w:val="20"/>
        </w:rPr>
        <w:t>Technical faithfulness tests.</w:t>
      </w:r>
    </w:p>
    <w:p>
      <w:pPr>
        <w:pStyle w:val="ListBullet"/>
        <w:ind w:left="283"/>
      </w:pPr>
      <w:r>
        <w:rPr>
          <w:sz w:val="20"/>
        </w:rPr>
        <w:t>User comprehension tests.</w:t>
      </w:r>
    </w:p>
    <w:p>
      <w:pPr>
        <w:pStyle w:val="ListBullet"/>
        <w:ind w:left="283"/>
      </w:pPr>
      <w:r>
        <w:rPr>
          <w:sz w:val="20"/>
        </w:rPr>
        <w:t>Decision-support utility tests.</w:t>
      </w:r>
    </w:p>
    <w:p>
      <w:pPr>
        <w:pStyle w:val="ListBullet"/>
        <w:ind w:left="283"/>
      </w:pPr>
      <w:r>
        <w:rPr>
          <w:sz w:val="20"/>
        </w:rPr>
        <w:t>Safety language audits.</w:t>
      </w:r>
    </w:p>
    <w:p>
      <w:pPr>
        <w:pStyle w:val="Heading2"/>
      </w:pPr>
      <w:r>
        <w:rPr>
          <w:color w:val="1A569A"/>
          <w:sz w:val="24"/>
        </w:rPr>
        <w:t>Faithfulness Tests</w:t>
      </w:r>
    </w:p>
    <w:p>
      <w:pPr>
        <w:pStyle w:val="ListBullet"/>
        <w:ind w:left="283"/>
      </w:pPr>
      <w:r>
        <w:rPr>
          <w:sz w:val="20"/>
        </w:rPr>
        <w:t>Перевірка відповідності explanation до фактичного decision trace.</w:t>
      </w:r>
    </w:p>
    <w:p>
      <w:pPr>
        <w:pStyle w:val="ListBullet"/>
        <w:ind w:left="283"/>
      </w:pPr>
      <w:r>
        <w:rPr>
          <w:sz w:val="20"/>
        </w:rPr>
        <w:t>Consistency checks across similar cases.</w:t>
      </w:r>
    </w:p>
    <w:p>
      <w:pPr>
        <w:pStyle w:val="ListBullet"/>
        <w:ind w:left="283"/>
      </w:pPr>
      <w:r>
        <w:rPr>
          <w:sz w:val="20"/>
        </w:rPr>
        <w:t>Counterfactual sanity checks.</w:t>
      </w:r>
    </w:p>
    <w:p>
      <w:pPr>
        <w:pStyle w:val="Heading2"/>
      </w:pPr>
      <w:r>
        <w:rPr>
          <w:color w:val="1A569A"/>
          <w:sz w:val="24"/>
        </w:rPr>
        <w:t>Clarity and Utility Tests</w:t>
      </w:r>
    </w:p>
    <w:p>
      <w:pPr>
        <w:pStyle w:val="ListBullet"/>
        <w:ind w:left="283"/>
      </w:pPr>
      <w:r>
        <w:rPr>
          <w:sz w:val="20"/>
        </w:rPr>
        <w:t>Time-to-understand metric.</w:t>
      </w:r>
    </w:p>
    <w:p>
      <w:pPr>
        <w:pStyle w:val="ListBullet"/>
        <w:ind w:left="283"/>
      </w:pPr>
      <w:r>
        <w:rPr>
          <w:sz w:val="20"/>
        </w:rPr>
        <w:t>Correct interpretation rate.</w:t>
      </w:r>
    </w:p>
    <w:p>
      <w:pPr>
        <w:pStyle w:val="ListBullet"/>
        <w:ind w:left="283"/>
      </w:pPr>
      <w:r>
        <w:rPr>
          <w:sz w:val="20"/>
        </w:rPr>
        <w:t>Recommendation-action linkage score.</w:t>
      </w:r>
    </w:p>
    <w:p>
      <w:pPr>
        <w:pStyle w:val="Heading2"/>
      </w:pPr>
      <w:r>
        <w:rPr>
          <w:color w:val="1A569A"/>
          <w:sz w:val="24"/>
        </w:rPr>
        <w:t>Safety Checks</w:t>
      </w:r>
    </w:p>
    <w:p>
      <w:pPr>
        <w:pStyle w:val="ListBullet"/>
        <w:ind w:left="283"/>
      </w:pPr>
      <w:r>
        <w:rPr>
          <w:sz w:val="20"/>
        </w:rPr>
        <w:t>No diagnostic overclaim language.</w:t>
      </w:r>
    </w:p>
    <w:p>
      <w:pPr>
        <w:pStyle w:val="ListBullet"/>
        <w:ind w:left="283"/>
      </w:pPr>
      <w:r>
        <w:rPr>
          <w:sz w:val="20"/>
        </w:rPr>
        <w:t>Uncertainty disclosures where needed.</w:t>
      </w:r>
    </w:p>
    <w:p>
      <w:pPr>
        <w:pStyle w:val="ListBullet"/>
        <w:ind w:left="283"/>
      </w:pPr>
      <w:r>
        <w:rPr>
          <w:sz w:val="20"/>
        </w:rPr>
        <w:t>Harmful framing detection.</w:t>
      </w:r>
    </w:p>
    <w:p>
      <w:pPr>
        <w:pStyle w:val="Heading2"/>
      </w:pPr>
      <w:r>
        <w:rPr>
          <w:color w:val="1A569A"/>
          <w:sz w:val="24"/>
        </w:rPr>
        <w:t>Comparative Design</w:t>
      </w:r>
    </w:p>
    <w:p>
      <w:pPr>
        <w:pStyle w:val="ListBullet"/>
        <w:ind w:left="283"/>
      </w:pPr>
      <w:r>
        <w:rPr>
          <w:sz w:val="20"/>
        </w:rPr>
        <w:t>With explanation vs without explanation.</w:t>
      </w:r>
    </w:p>
    <w:p>
      <w:pPr>
        <w:pStyle w:val="ListBullet"/>
        <w:ind w:left="283"/>
      </w:pPr>
      <w:r>
        <w:rPr>
          <w:sz w:val="20"/>
        </w:rPr>
        <w:t>Full detail vs concise role-adapted explanation.</w:t>
      </w:r>
    </w:p>
    <w:p>
      <w:pPr>
        <w:pStyle w:val="Heading2"/>
      </w:pPr>
      <w:r>
        <w:rPr>
          <w:color w:val="1A569A"/>
          <w:sz w:val="24"/>
        </w:rPr>
        <w:t>Success Criteria</w:t>
      </w:r>
    </w:p>
    <w:p>
      <w:pPr>
        <w:pStyle w:val="ListBullet"/>
        <w:ind w:left="283"/>
      </w:pPr>
      <w:r>
        <w:rPr>
          <w:sz w:val="20"/>
        </w:rPr>
        <w:t>Пояснення підвищують правильність інтерпретації.</w:t>
      </w:r>
    </w:p>
    <w:p>
      <w:pPr>
        <w:pStyle w:val="ListBullet"/>
        <w:ind w:left="283"/>
      </w:pPr>
      <w:r>
        <w:rPr>
          <w:sz w:val="20"/>
        </w:rPr>
        <w:t>Пояснення не знижують safety outcomes.</w:t>
      </w:r>
    </w:p>
    <w:p>
      <w:pPr>
        <w:pStyle w:val="ListBullet"/>
        <w:ind w:left="283"/>
      </w:pPr>
      <w:r>
        <w:rPr>
          <w:sz w:val="20"/>
        </w:rPr>
        <w:t>Пояснення покращують adoption у цільових ролях.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Explainability quality gates визначені і автоматизовані де можливо.</w:t>
      </w:r>
    </w:p>
    <w:p>
      <w:pPr>
        <w:pStyle w:val="ListBullet"/>
        <w:ind w:left="283"/>
      </w:pPr>
      <w:r>
        <w:rPr>
          <w:sz w:val="20"/>
        </w:rPr>
        <w:t>Reviewer-ready report готується для кожного major release.</w:t>
      </w:r>
    </w:p>
    <w:p>
      <w:pPr>
        <w:pStyle w:val="ListBullet"/>
        <w:ind w:left="283"/>
      </w:pPr>
      <w:r>
        <w:rPr>
          <w:sz w:val="20"/>
        </w:rPr>
        <w:t>Виявлені failure modes мають mitigation plan.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20-explainability.md, 28-user-validation.md, 25-evaluation.md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