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Reproducibility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Reproducibility</w:t>
      </w:r>
    </w:p>
    <w:p>
      <w:r>
        <w:rPr>
          <w:sz w:val="20"/>
        </w:rPr>
        <w:t>Мова: Українська (default) | [English](30-reproducibility.en.md)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Reproducibility Lead</w:t>
      </w:r>
    </w:p>
    <w:p>
      <w:pPr>
        <w:pStyle w:val="ListBullet"/>
        <w:ind w:left="283"/>
      </w:pPr>
      <w:r>
        <w:rPr>
          <w:sz w:val="20"/>
        </w:rPr>
        <w:t>Contributors: Research Platform, ML Team, QA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Забезпечити можливість повного повторення ключових результатів R&amp;D і evaluation.</w:t>
      </w:r>
    </w:p>
    <w:p>
      <w:pPr>
        <w:pStyle w:val="Heading2"/>
      </w:pPr>
      <w:r>
        <w:rPr>
          <w:color w:val="1A569A"/>
          <w:sz w:val="24"/>
        </w:rPr>
        <w:t>Reproducibility Scope</w:t>
      </w:r>
    </w:p>
    <w:p>
      <w:pPr>
        <w:pStyle w:val="ListBullet"/>
        <w:ind w:left="283"/>
      </w:pPr>
      <w:r>
        <w:rPr>
          <w:sz w:val="20"/>
        </w:rPr>
        <w:t>Data snapshots</w:t>
      </w:r>
    </w:p>
    <w:p>
      <w:pPr>
        <w:pStyle w:val="ListBullet"/>
        <w:ind w:left="283"/>
      </w:pPr>
      <w:r>
        <w:rPr>
          <w:sz w:val="20"/>
        </w:rPr>
        <w:t>Feature versions</w:t>
      </w:r>
    </w:p>
    <w:p>
      <w:pPr>
        <w:pStyle w:val="ListBullet"/>
        <w:ind w:left="283"/>
      </w:pPr>
      <w:r>
        <w:rPr>
          <w:sz w:val="20"/>
        </w:rPr>
        <w:t>Model/rule/policy versions</w:t>
      </w:r>
    </w:p>
    <w:p>
      <w:pPr>
        <w:pStyle w:val="ListBullet"/>
        <w:ind w:left="283"/>
      </w:pPr>
      <w:r>
        <w:rPr>
          <w:sz w:val="20"/>
        </w:rPr>
        <w:t>Evaluation scripts and configs</w:t>
      </w:r>
    </w:p>
    <w:p>
      <w:pPr>
        <w:pStyle w:val="ListBullet"/>
        <w:ind w:left="283"/>
      </w:pPr>
      <w:r>
        <w:rPr>
          <w:sz w:val="20"/>
        </w:rPr>
        <w:t>Output artifacts and reports</w:t>
      </w:r>
    </w:p>
    <w:p>
      <w:pPr>
        <w:pStyle w:val="Heading2"/>
      </w:pPr>
      <w:r>
        <w:rPr>
          <w:color w:val="1A569A"/>
          <w:sz w:val="24"/>
        </w:rPr>
        <w:t>Reproduction Protocol</w:t>
      </w:r>
    </w:p>
    <w:p>
      <w:r>
        <w:rPr>
          <w:sz w:val="20"/>
        </w:rPr>
        <w:t>1. Resolve target run/report id.</w:t>
      </w:r>
    </w:p>
    <w:p>
      <w:r>
        <w:rPr>
          <w:sz w:val="20"/>
        </w:rPr>
        <w:t>2. Restore exact dataset and feature snapshots.</w:t>
      </w:r>
    </w:p>
    <w:p>
      <w:r>
        <w:rPr>
          <w:sz w:val="20"/>
        </w:rPr>
        <w:t>3. Re-run pipeline with frozen config and seeds.</w:t>
      </w:r>
    </w:p>
    <w:p>
      <w:r>
        <w:rPr>
          <w:sz w:val="20"/>
        </w:rPr>
        <w:t>4. Compare metrics against tolerance bounds.</w:t>
      </w:r>
    </w:p>
    <w:p>
      <w:r>
        <w:rPr>
          <w:sz w:val="20"/>
        </w:rPr>
        <w:t>5. Generate reproducibility certificate.</w:t>
      </w:r>
    </w:p>
    <w:p>
      <w:pPr>
        <w:pStyle w:val="Heading2"/>
      </w:pPr>
      <w:r>
        <w:rPr>
          <w:color w:val="1A569A"/>
          <w:sz w:val="24"/>
        </w:rPr>
        <w:t>Environment Requirements</w:t>
      </w:r>
    </w:p>
    <w:p>
      <w:pPr>
        <w:pStyle w:val="ListBullet"/>
        <w:ind w:left="283"/>
      </w:pPr>
      <w:r>
        <w:rPr>
          <w:sz w:val="20"/>
        </w:rPr>
        <w:t>Version-pinned dependencies.</w:t>
      </w:r>
    </w:p>
    <w:p>
      <w:pPr>
        <w:pStyle w:val="ListBullet"/>
        <w:ind w:left="283"/>
      </w:pPr>
      <w:r>
        <w:rPr>
          <w:sz w:val="20"/>
        </w:rPr>
        <w:t>Infrastructure baseline definition.</w:t>
      </w:r>
    </w:p>
    <w:p>
      <w:pPr>
        <w:pStyle w:val="ListBullet"/>
        <w:ind w:left="283"/>
      </w:pPr>
      <w:r>
        <w:rPr>
          <w:sz w:val="20"/>
        </w:rPr>
        <w:t>Deterministic settings where applicable.</w:t>
      </w:r>
    </w:p>
    <w:p>
      <w:pPr>
        <w:pStyle w:val="Heading2"/>
      </w:pPr>
      <w:r>
        <w:rPr>
          <w:color w:val="1A569A"/>
          <w:sz w:val="24"/>
        </w:rPr>
        <w:t>Tolerance Policy</w:t>
      </w:r>
    </w:p>
    <w:p>
      <w:pPr>
        <w:pStyle w:val="ListBullet"/>
        <w:ind w:left="283"/>
      </w:pPr>
      <w:r>
        <w:rPr>
          <w:sz w:val="20"/>
        </w:rPr>
        <w:t>Exact match for deterministic modules.</w:t>
      </w:r>
    </w:p>
    <w:p>
      <w:pPr>
        <w:pStyle w:val="ListBullet"/>
        <w:ind w:left="283"/>
      </w:pPr>
      <w:r>
        <w:rPr>
          <w:sz w:val="20"/>
        </w:rPr>
        <w:t>Bounded variance for stochastic components.</w:t>
      </w:r>
    </w:p>
    <w:p>
      <w:pPr>
        <w:pStyle w:val="ListBullet"/>
        <w:ind w:left="283"/>
      </w:pPr>
      <w:r>
        <w:rPr>
          <w:sz w:val="20"/>
        </w:rPr>
        <w:t>Escalation on out-of-bound deltas.</w:t>
      </w:r>
    </w:p>
    <w:p>
      <w:pPr>
        <w:pStyle w:val="Heading2"/>
      </w:pPr>
      <w:r>
        <w:rPr>
          <w:color w:val="1A569A"/>
          <w:sz w:val="24"/>
        </w:rPr>
        <w:t>Audit Trail</w:t>
      </w:r>
    </w:p>
    <w:p>
      <w:pPr>
        <w:pStyle w:val="ListBullet"/>
        <w:ind w:left="283"/>
      </w:pPr>
      <w:r>
        <w:rPr>
          <w:sz w:val="20"/>
        </w:rPr>
        <w:t>Who reproduced what and when.</w:t>
      </w:r>
    </w:p>
    <w:p>
      <w:pPr>
        <w:pStyle w:val="ListBullet"/>
        <w:ind w:left="283"/>
      </w:pPr>
      <w:r>
        <w:rPr>
          <w:sz w:val="20"/>
        </w:rPr>
        <w:t>Comparison outputs and deviation notes.</w:t>
      </w:r>
    </w:p>
    <w:p>
      <w:pPr>
        <w:pStyle w:val="ListBullet"/>
        <w:ind w:left="283"/>
      </w:pPr>
      <w:r>
        <w:rPr>
          <w:sz w:val="20"/>
        </w:rPr>
        <w:t>Root-cause analysis for mismatches.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Топ claims мають reproducibility certificates.</w:t>
      </w:r>
    </w:p>
    <w:p>
      <w:pPr>
        <w:pStyle w:val="ListBullet"/>
        <w:ind w:left="283"/>
      </w:pPr>
      <w:r>
        <w:rPr>
          <w:sz w:val="20"/>
        </w:rPr>
        <w:t>Повторюваність перевіряється регулярно, не одноразово.</w:t>
      </w:r>
    </w:p>
    <w:p>
      <w:pPr>
        <w:pStyle w:val="ListBullet"/>
        <w:ind w:left="283"/>
      </w:pPr>
      <w:r>
        <w:rPr>
          <w:sz w:val="20"/>
        </w:rPr>
        <w:t>Відхилення документуються з corrective actions.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24-experiment-tracking.md, 25-evaluation.md, 12-statistics.md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