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Dzvin.co Product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Dzvin.co Product</w:t>
      </w:r>
    </w:p>
    <w:p>
      <w:r>
        <w:rPr>
          <w:sz w:val="20"/>
        </w:rPr>
        <w:t>Мова: Українська (default) | [English](31-dzvin.en.md)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Product Lead (Dzvin.co)</w:t>
      </w:r>
    </w:p>
    <w:p>
      <w:pPr>
        <w:pStyle w:val="ListBullet"/>
        <w:ind w:left="283"/>
      </w:pPr>
      <w:r>
        <w:rPr>
          <w:sz w:val="20"/>
        </w:rPr>
        <w:t>Contributors: Backend Team, UX Team, Research Team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Описати Dzvin.co як перший production use-case DIP у домені корпоративного mental wellbeing.</w:t>
      </w:r>
    </w:p>
    <w:p>
      <w:pPr>
        <w:pStyle w:val="Heading2"/>
      </w:pPr>
      <w:r>
        <w:rPr>
          <w:color w:val="1A569A"/>
          <w:sz w:val="24"/>
        </w:rPr>
        <w:t>Product Scope</w:t>
      </w:r>
    </w:p>
    <w:p>
      <w:pPr>
        <w:pStyle w:val="ListBullet"/>
        <w:ind w:left="283"/>
      </w:pPr>
      <w:r>
        <w:rPr>
          <w:sz w:val="20"/>
        </w:rPr>
        <w:t>B2C user journeys: check-ins, journal, insights, support content.</w:t>
      </w:r>
    </w:p>
    <w:p>
      <w:pPr>
        <w:pStyle w:val="ListBullet"/>
        <w:ind w:left="283"/>
      </w:pPr>
      <w:r>
        <w:rPr>
          <w:sz w:val="20"/>
        </w:rPr>
        <w:t>B2B analytics: organization/team-level risk and decision support reporting.</w:t>
      </w:r>
    </w:p>
    <w:p>
      <w:pPr>
        <w:pStyle w:val="ListBullet"/>
        <w:ind w:left="283"/>
      </w:pPr>
      <w:r>
        <w:rPr>
          <w:sz w:val="20"/>
        </w:rPr>
        <w:t>R&amp;D surfaces: policy evaluation, diagnostics, controlled experiments.</w:t>
      </w:r>
    </w:p>
    <w:p>
      <w:pPr>
        <w:pStyle w:val="Heading2"/>
      </w:pPr>
      <w:r>
        <w:rPr>
          <w:color w:val="1A569A"/>
          <w:sz w:val="24"/>
        </w:rPr>
        <w:t>Core Value</w:t>
      </w:r>
    </w:p>
    <w:p>
      <w:pPr>
        <w:pStyle w:val="ListBullet"/>
        <w:ind w:left="283"/>
      </w:pPr>
      <w:r>
        <w:rPr>
          <w:sz w:val="20"/>
        </w:rPr>
        <w:t>Для users: персоналізовані wellbeing сигнали й рекомендації.</w:t>
      </w:r>
    </w:p>
    <w:p>
      <w:pPr>
        <w:pStyle w:val="ListBullet"/>
        <w:ind w:left="283"/>
      </w:pPr>
      <w:r>
        <w:rPr>
          <w:sz w:val="20"/>
        </w:rPr>
        <w:t>Для managers/HR: пояснювані агреговані ризики і actionable interventions.</w:t>
      </w:r>
    </w:p>
    <w:p>
      <w:pPr>
        <w:pStyle w:val="ListBullet"/>
        <w:ind w:left="283"/>
      </w:pPr>
      <w:r>
        <w:rPr>
          <w:sz w:val="20"/>
        </w:rPr>
        <w:t>Для org: evidence-based wellbeing operations.</w:t>
      </w:r>
    </w:p>
    <w:p>
      <w:pPr>
        <w:pStyle w:val="Heading2"/>
      </w:pPr>
      <w:r>
        <w:rPr>
          <w:color w:val="1A569A"/>
          <w:sz w:val="24"/>
        </w:rPr>
        <w:t>Functional Areas</w:t>
      </w:r>
    </w:p>
    <w:p>
      <w:pPr>
        <w:pStyle w:val="ListBullet"/>
        <w:ind w:left="283"/>
      </w:pPr>
      <w:r>
        <w:rPr>
          <w:sz w:val="20"/>
        </w:rPr>
        <w:t>Data collection and engagement loops.</w:t>
      </w:r>
    </w:p>
    <w:p>
      <w:pPr>
        <w:pStyle w:val="ListBullet"/>
        <w:ind w:left="283"/>
      </w:pPr>
      <w:r>
        <w:rPr>
          <w:sz w:val="20"/>
        </w:rPr>
        <w:t>Risk and trajectory signals.</w:t>
      </w:r>
    </w:p>
    <w:p>
      <w:pPr>
        <w:pStyle w:val="ListBullet"/>
        <w:ind w:left="283"/>
      </w:pPr>
      <w:r>
        <w:rPr>
          <w:sz w:val="20"/>
        </w:rPr>
        <w:t>Decision support reports.</w:t>
      </w:r>
    </w:p>
    <w:p>
      <w:pPr>
        <w:pStyle w:val="ListBullet"/>
        <w:ind w:left="283"/>
      </w:pPr>
      <w:r>
        <w:rPr>
          <w:sz w:val="20"/>
        </w:rPr>
        <w:t>Notification and intervention orchestration.</w:t>
      </w:r>
    </w:p>
    <w:p>
      <w:pPr>
        <w:pStyle w:val="Heading2"/>
      </w:pPr>
      <w:r>
        <w:rPr>
          <w:color w:val="1A569A"/>
          <w:sz w:val="24"/>
        </w:rPr>
        <w:t>Constraints</w:t>
      </w:r>
    </w:p>
    <w:p>
      <w:pPr>
        <w:pStyle w:val="ListBullet"/>
        <w:ind w:left="283"/>
      </w:pPr>
      <w:r>
        <w:rPr>
          <w:sz w:val="20"/>
        </w:rPr>
        <w:t>Privacy-preserving aggregation.</w:t>
      </w:r>
    </w:p>
    <w:p>
      <w:pPr>
        <w:pStyle w:val="ListBullet"/>
        <w:ind w:left="283"/>
      </w:pPr>
      <w:r>
        <w:rPr>
          <w:sz w:val="20"/>
        </w:rPr>
        <w:t>Non-diagnostic communication policy.</w:t>
      </w:r>
    </w:p>
    <w:p>
      <w:pPr>
        <w:pStyle w:val="ListBullet"/>
        <w:ind w:left="283"/>
      </w:pPr>
      <w:r>
        <w:rPr>
          <w:sz w:val="20"/>
        </w:rPr>
        <w:t>Role-based access and visibility.</w:t>
      </w:r>
    </w:p>
    <w:p>
      <w:pPr>
        <w:pStyle w:val="Heading2"/>
      </w:pPr>
      <w:r>
        <w:rPr>
          <w:color w:val="1A569A"/>
          <w:sz w:val="24"/>
        </w:rPr>
        <w:t>Success Metrics (Product)</w:t>
      </w:r>
    </w:p>
    <w:p>
      <w:pPr>
        <w:pStyle w:val="ListBullet"/>
        <w:ind w:left="283"/>
      </w:pPr>
      <w:r>
        <w:rPr>
          <w:sz w:val="20"/>
        </w:rPr>
        <w:t>Engagement retention.</w:t>
      </w:r>
    </w:p>
    <w:p>
      <w:pPr>
        <w:pStyle w:val="ListBullet"/>
        <w:ind w:left="283"/>
      </w:pPr>
      <w:r>
        <w:rPr>
          <w:sz w:val="20"/>
        </w:rPr>
        <w:t>Action adoption rate.</w:t>
      </w:r>
    </w:p>
    <w:p>
      <w:pPr>
        <w:pStyle w:val="ListBullet"/>
        <w:ind w:left="283"/>
      </w:pPr>
      <w:r>
        <w:rPr>
          <w:sz w:val="20"/>
        </w:rPr>
        <w:t>Manager trust and usefulness scores.</w:t>
      </w:r>
    </w:p>
    <w:p>
      <w:pPr>
        <w:pStyle w:val="ListBullet"/>
        <w:ind w:left="283"/>
      </w:pPr>
      <w:r>
        <w:rPr>
          <w:sz w:val="20"/>
        </w:rPr>
        <w:t>Reduction of unresolved high-risk signals.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Product scope чітко відділений від DIP platform scope.</w:t>
      </w:r>
    </w:p>
    <w:p>
      <w:pPr>
        <w:pStyle w:val="ListBullet"/>
        <w:ind w:left="283"/>
      </w:pPr>
      <w:r>
        <w:rPr>
          <w:sz w:val="20"/>
        </w:rPr>
        <w:t>Є mapping user/admin workflows до decision artifacts.</w:t>
      </w:r>
    </w:p>
    <w:p>
      <w:pPr>
        <w:pStyle w:val="ListBullet"/>
        <w:ind w:left="283"/>
      </w:pPr>
      <w:r>
        <w:rPr>
          <w:sz w:val="20"/>
        </w:rPr>
        <w:t>Product KPIs узгоджені з R&amp;D метриками.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32-dip.md, 33-integration.md, 38-impact.md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