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DIP Product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DIP Product</w:t>
      </w:r>
    </w:p>
    <w:p>
      <w:r>
        <w:rPr>
          <w:sz w:val="20"/>
        </w:rPr>
        <w:t>Мова: Українська (default) | [English](32-dip.en.md)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Platform Product Lead</w:t>
      </w:r>
    </w:p>
    <w:p>
      <w:pPr>
        <w:pStyle w:val="ListBullet"/>
        <w:ind w:left="283"/>
      </w:pPr>
      <w:r>
        <w:rPr>
          <w:sz w:val="20"/>
        </w:rPr>
        <w:t>Contributors: Platform Engineering, ML Engineering, Developer Relations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 DIP як незалежний platform product для reusable decision intelligence capabilities.</w:t>
      </w:r>
    </w:p>
    <w:p>
      <w:pPr>
        <w:pStyle w:val="Heading2"/>
      </w:pPr>
      <w:r>
        <w:rPr>
          <w:color w:val="1A569A"/>
          <w:sz w:val="24"/>
        </w:rPr>
        <w:t>Product Scope</w:t>
      </w:r>
    </w:p>
    <w:p>
      <w:pPr>
        <w:pStyle w:val="ListBullet"/>
        <w:ind w:left="283"/>
      </w:pPr>
      <w:r>
        <w:rPr>
          <w:sz w:val="20"/>
        </w:rPr>
        <w:t>Decision/workflow execution.</w:t>
      </w:r>
    </w:p>
    <w:p>
      <w:pPr>
        <w:pStyle w:val="ListBullet"/>
        <w:ind w:left="283"/>
      </w:pPr>
      <w:r>
        <w:rPr>
          <w:sz w:val="20"/>
        </w:rPr>
        <w:t>Rule/ML/policy orchestration.</w:t>
      </w:r>
    </w:p>
    <w:p>
      <w:pPr>
        <w:pStyle w:val="ListBullet"/>
        <w:ind w:left="283"/>
      </w:pPr>
      <w:r>
        <w:rPr>
          <w:sz w:val="20"/>
        </w:rPr>
        <w:t>Explainability and audit artifacts.</w:t>
      </w:r>
    </w:p>
    <w:p>
      <w:pPr>
        <w:pStyle w:val="ListBullet"/>
        <w:ind w:left="283"/>
      </w:pPr>
      <w:r>
        <w:rPr>
          <w:sz w:val="20"/>
        </w:rPr>
        <w:t>Experimentation and lifecycle integrations.</w:t>
      </w:r>
    </w:p>
    <w:p>
      <w:pPr>
        <w:pStyle w:val="Heading2"/>
      </w:pPr>
      <w:r>
        <w:rPr>
          <w:color w:val="1A569A"/>
          <w:sz w:val="24"/>
        </w:rPr>
        <w:t>Target Users</w:t>
      </w:r>
    </w:p>
    <w:p>
      <w:pPr>
        <w:pStyle w:val="ListBullet"/>
        <w:ind w:left="283"/>
      </w:pPr>
      <w:r>
        <w:rPr>
          <w:sz w:val="20"/>
        </w:rPr>
        <w:t>Internal product teams (first: Dzvin.co).</w:t>
      </w:r>
    </w:p>
    <w:p>
      <w:pPr>
        <w:pStyle w:val="ListBullet"/>
        <w:ind w:left="283"/>
      </w:pPr>
      <w:r>
        <w:rPr>
          <w:sz w:val="20"/>
        </w:rPr>
        <w:t>External integrators and partners.</w:t>
      </w:r>
    </w:p>
    <w:p>
      <w:pPr>
        <w:pStyle w:val="ListBullet"/>
        <w:ind w:left="283"/>
      </w:pPr>
      <w:r>
        <w:rPr>
          <w:sz w:val="20"/>
        </w:rPr>
        <w:t>Research and innovation teams.</w:t>
      </w:r>
    </w:p>
    <w:p>
      <w:pPr>
        <w:pStyle w:val="Heading2"/>
      </w:pPr>
      <w:r>
        <w:rPr>
          <w:color w:val="1A569A"/>
          <w:sz w:val="24"/>
        </w:rPr>
        <w:t>Platform Value</w:t>
      </w:r>
    </w:p>
    <w:p>
      <w:pPr>
        <w:pStyle w:val="ListBullet"/>
        <w:ind w:left="283"/>
      </w:pPr>
      <w:r>
        <w:rPr>
          <w:sz w:val="20"/>
        </w:rPr>
        <w:t>Reusability across domains.</w:t>
      </w:r>
    </w:p>
    <w:p>
      <w:pPr>
        <w:pStyle w:val="ListBullet"/>
        <w:ind w:left="283"/>
      </w:pPr>
      <w:r>
        <w:rPr>
          <w:sz w:val="20"/>
        </w:rPr>
        <w:t>Faster controlled rollout of decision logic.</w:t>
      </w:r>
    </w:p>
    <w:p>
      <w:pPr>
        <w:pStyle w:val="ListBullet"/>
        <w:ind w:left="283"/>
      </w:pPr>
      <w:r>
        <w:rPr>
          <w:sz w:val="20"/>
        </w:rPr>
        <w:t>Built-in governance and observability.</w:t>
      </w:r>
    </w:p>
    <w:p>
      <w:pPr>
        <w:pStyle w:val="Heading2"/>
      </w:pPr>
      <w:r>
        <w:rPr>
          <w:color w:val="1A569A"/>
          <w:sz w:val="24"/>
        </w:rPr>
        <w:t>Capability Modules</w:t>
      </w:r>
    </w:p>
    <w:p>
      <w:pPr>
        <w:pStyle w:val="ListBullet"/>
        <w:ind w:left="283"/>
      </w:pPr>
      <w:r>
        <w:rPr>
          <w:sz w:val="20"/>
        </w:rPr>
        <w:t>Core API and tenant controls.</w:t>
      </w:r>
    </w:p>
    <w:p>
      <w:pPr>
        <w:pStyle w:val="ListBullet"/>
        <w:ind w:left="283"/>
      </w:pPr>
      <w:r>
        <w:rPr>
          <w:sz w:val="20"/>
        </w:rPr>
        <w:t>Decision engine.</w:t>
      </w:r>
    </w:p>
    <w:p>
      <w:pPr>
        <w:pStyle w:val="ListBullet"/>
        <w:ind w:left="283"/>
      </w:pPr>
      <w:r>
        <w:rPr>
          <w:sz w:val="20"/>
        </w:rPr>
        <w:t>Prediction and risk signal composition.</w:t>
      </w:r>
    </w:p>
    <w:p>
      <w:pPr>
        <w:pStyle w:val="ListBullet"/>
        <w:ind w:left="283"/>
      </w:pPr>
      <w:r>
        <w:rPr>
          <w:sz w:val="20"/>
        </w:rPr>
        <w:t>Registry/tracking integration points.</w:t>
      </w:r>
    </w:p>
    <w:p>
      <w:pPr>
        <w:pStyle w:val="ListBullet"/>
        <w:ind w:left="283"/>
      </w:pPr>
      <w:r>
        <w:rPr>
          <w:sz w:val="20"/>
        </w:rPr>
        <w:t>Plugin extension model.</w:t>
      </w:r>
    </w:p>
    <w:p>
      <w:pPr>
        <w:pStyle w:val="Heading2"/>
      </w:pPr>
      <w:r>
        <w:rPr>
          <w:color w:val="1A569A"/>
          <w:sz w:val="24"/>
        </w:rPr>
        <w:t>Adoption Model</w:t>
      </w:r>
    </w:p>
    <w:p>
      <w:pPr>
        <w:pStyle w:val="ListBullet"/>
        <w:ind w:left="283"/>
      </w:pPr>
      <w:r>
        <w:rPr>
          <w:sz w:val="20"/>
        </w:rPr>
        <w:t>API-first consumption.</w:t>
      </w:r>
    </w:p>
    <w:p>
      <w:pPr>
        <w:pStyle w:val="ListBullet"/>
        <w:ind w:left="283"/>
      </w:pPr>
      <w:r>
        <w:rPr>
          <w:sz w:val="20"/>
        </w:rPr>
        <w:t>Adapter-based domain integration.</w:t>
      </w:r>
    </w:p>
    <w:p>
      <w:pPr>
        <w:pStyle w:val="ListBullet"/>
        <w:ind w:left="283"/>
      </w:pPr>
      <w:r>
        <w:rPr>
          <w:sz w:val="20"/>
        </w:rPr>
        <w:t>Progressive capability activation by maturity level.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DIP capability map затверджено як platform contract.</w:t>
      </w:r>
    </w:p>
    <w:p>
      <w:pPr>
        <w:pStyle w:val="ListBullet"/>
        <w:ind w:left="283"/>
      </w:pPr>
      <w:r>
        <w:rPr>
          <w:sz w:val="20"/>
        </w:rPr>
        <w:t>Є clear boundary: what stays in DIP vs application layer.</w:t>
      </w:r>
    </w:p>
    <w:p>
      <w:pPr>
        <w:pStyle w:val="ListBullet"/>
        <w:ind w:left="283"/>
      </w:pPr>
      <w:r>
        <w:rPr>
          <w:sz w:val="20"/>
        </w:rPr>
        <w:t>Platform roadmap мапиться на WP milestones.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15-dip-architecture.md, 16-decision-engine.md, 19-plugin-sdk.md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