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Integration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Integration</w:t>
      </w:r>
    </w:p>
    <w:p>
      <w:r>
        <w:rPr>
          <w:sz w:val="20"/>
        </w:rPr>
        <w:t>Мова: Українська (default) | [English](33-integration.en.md)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Integration Architect</w:t>
      </w:r>
    </w:p>
    <w:p>
      <w:pPr>
        <w:pStyle w:val="ListBullet"/>
        <w:ind w:left="283"/>
      </w:pPr>
      <w:r>
        <w:rPr>
          <w:sz w:val="20"/>
        </w:rPr>
        <w:t>Contributors: DIP Team, Dzvin.co Team, Security Team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Описати інтеграційну модель між Dzvin.co і DIP для стабільного та безпечного обміну decision signals.</w:t>
      </w:r>
    </w:p>
    <w:p>
      <w:pPr>
        <w:pStyle w:val="Heading2"/>
      </w:pPr>
      <w:r>
        <w:rPr>
          <w:color w:val="1A569A"/>
          <w:sz w:val="24"/>
        </w:rPr>
        <w:t>Integration Principles</w:t>
      </w:r>
    </w:p>
    <w:p>
      <w:pPr>
        <w:pStyle w:val="ListBullet"/>
        <w:ind w:left="283"/>
      </w:pPr>
      <w:r>
        <w:rPr>
          <w:sz w:val="20"/>
        </w:rPr>
        <w:t>API-only coupling.</w:t>
      </w:r>
    </w:p>
    <w:p>
      <w:pPr>
        <w:pStyle w:val="ListBullet"/>
        <w:ind w:left="283"/>
      </w:pPr>
      <w:r>
        <w:rPr>
          <w:sz w:val="20"/>
        </w:rPr>
        <w:t>No direct shared database access.</w:t>
      </w:r>
    </w:p>
    <w:p>
      <w:pPr>
        <w:pStyle w:val="ListBullet"/>
        <w:ind w:left="283"/>
      </w:pPr>
      <w:r>
        <w:rPr>
          <w:sz w:val="20"/>
        </w:rPr>
        <w:t>Tenant-scoped requests.</w:t>
      </w:r>
    </w:p>
    <w:p>
      <w:pPr>
        <w:pStyle w:val="ListBullet"/>
        <w:ind w:left="283"/>
      </w:pPr>
      <w:r>
        <w:rPr>
          <w:sz w:val="20"/>
        </w:rPr>
        <w:t>Contract versioning and backward compatibility.</w:t>
      </w:r>
    </w:p>
    <w:p>
      <w:pPr>
        <w:pStyle w:val="Heading2"/>
      </w:pPr>
      <w:r>
        <w:rPr>
          <w:color w:val="1A569A"/>
          <w:sz w:val="24"/>
        </w:rPr>
        <w:t>Core Flows</w:t>
      </w:r>
    </w:p>
    <w:p>
      <w:pPr>
        <w:pStyle w:val="ListBullet"/>
        <w:ind w:left="283"/>
      </w:pPr>
      <w:r>
        <w:rPr>
          <w:sz w:val="20"/>
        </w:rPr>
        <w:t>Feature payload and context submission.</w:t>
      </w:r>
    </w:p>
    <w:p>
      <w:pPr>
        <w:pStyle w:val="ListBullet"/>
        <w:ind w:left="283"/>
      </w:pPr>
      <w:r>
        <w:rPr>
          <w:sz w:val="20"/>
        </w:rPr>
        <w:t>Decision evaluation and explanation retrieval.</w:t>
      </w:r>
    </w:p>
    <w:p>
      <w:pPr>
        <w:pStyle w:val="ListBullet"/>
        <w:ind w:left="283"/>
      </w:pPr>
      <w:r>
        <w:rPr>
          <w:sz w:val="20"/>
        </w:rPr>
        <w:t>Async job handling for heavy workflows.</w:t>
      </w:r>
    </w:p>
    <w:p>
      <w:pPr>
        <w:pStyle w:val="ListBullet"/>
        <w:ind w:left="283"/>
      </w:pPr>
      <w:r>
        <w:rPr>
          <w:sz w:val="20"/>
        </w:rPr>
        <w:t>Diagnostics and policy telemetry integration.</w:t>
      </w:r>
    </w:p>
    <w:p>
      <w:pPr>
        <w:pStyle w:val="Heading2"/>
      </w:pPr>
      <w:r>
        <w:rPr>
          <w:color w:val="1A569A"/>
          <w:sz w:val="24"/>
        </w:rPr>
        <w:t>Contract Governance</w:t>
      </w:r>
    </w:p>
    <w:p>
      <w:pPr>
        <w:pStyle w:val="ListBullet"/>
        <w:ind w:left="283"/>
      </w:pPr>
      <w:r>
        <w:rPr>
          <w:sz w:val="20"/>
        </w:rPr>
        <w:t>Versioned request/response schemas.</w:t>
      </w:r>
    </w:p>
    <w:p>
      <w:pPr>
        <w:pStyle w:val="ListBullet"/>
        <w:ind w:left="283"/>
      </w:pPr>
      <w:r>
        <w:rPr>
          <w:sz w:val="20"/>
        </w:rPr>
        <w:t>Compatibility matrix by release.</w:t>
      </w:r>
    </w:p>
    <w:p>
      <w:pPr>
        <w:pStyle w:val="ListBullet"/>
        <w:ind w:left="283"/>
      </w:pPr>
      <w:r>
        <w:rPr>
          <w:sz w:val="20"/>
        </w:rPr>
        <w:t>Deprecation policy with migration windows.</w:t>
      </w:r>
    </w:p>
    <w:p>
      <w:pPr>
        <w:pStyle w:val="Heading2"/>
      </w:pPr>
      <w:r>
        <w:rPr>
          <w:color w:val="1A569A"/>
          <w:sz w:val="24"/>
        </w:rPr>
        <w:t>Security Requirements</w:t>
      </w:r>
    </w:p>
    <w:p>
      <w:pPr>
        <w:pStyle w:val="ListBullet"/>
        <w:ind w:left="283"/>
      </w:pPr>
      <w:r>
        <w:rPr>
          <w:sz w:val="20"/>
        </w:rPr>
        <w:t>AuthN/AuthZ per surface.</w:t>
      </w:r>
    </w:p>
    <w:p>
      <w:pPr>
        <w:pStyle w:val="ListBullet"/>
        <w:ind w:left="283"/>
      </w:pPr>
      <w:r>
        <w:rPr>
          <w:sz w:val="20"/>
        </w:rPr>
        <w:t>Scoped API keys/tokens.</w:t>
      </w:r>
    </w:p>
    <w:p>
      <w:pPr>
        <w:pStyle w:val="ListBullet"/>
        <w:ind w:left="283"/>
      </w:pPr>
      <w:r>
        <w:rPr>
          <w:sz w:val="20"/>
        </w:rPr>
        <w:t>Request integrity and audit logging.</w:t>
      </w:r>
    </w:p>
    <w:p>
      <w:pPr>
        <w:pStyle w:val="Heading2"/>
      </w:pPr>
      <w:r>
        <w:rPr>
          <w:color w:val="1A569A"/>
          <w:sz w:val="24"/>
        </w:rPr>
        <w:t>Reliability Requirements</w:t>
      </w:r>
    </w:p>
    <w:p>
      <w:pPr>
        <w:pStyle w:val="ListBullet"/>
        <w:ind w:left="283"/>
      </w:pPr>
      <w:r>
        <w:rPr>
          <w:sz w:val="20"/>
        </w:rPr>
        <w:t>Timeout/retry policy.</w:t>
      </w:r>
    </w:p>
    <w:p>
      <w:pPr>
        <w:pStyle w:val="ListBullet"/>
        <w:ind w:left="283"/>
      </w:pPr>
      <w:r>
        <w:rPr>
          <w:sz w:val="20"/>
        </w:rPr>
        <w:t>Idempotency for critical operations.</w:t>
      </w:r>
    </w:p>
    <w:p>
      <w:pPr>
        <w:pStyle w:val="ListBullet"/>
        <w:ind w:left="283"/>
      </w:pPr>
      <w:r>
        <w:rPr>
          <w:sz w:val="20"/>
        </w:rPr>
        <w:t>Fallback behavior on DIP unavailability.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Integration contract formally documented and tested.</w:t>
      </w:r>
    </w:p>
    <w:p>
      <w:pPr>
        <w:pStyle w:val="ListBullet"/>
        <w:ind w:left="283"/>
      </w:pPr>
      <w:r>
        <w:rPr>
          <w:sz w:val="20"/>
        </w:rPr>
        <w:t>Failure modes covered by fallback and alerting.</w:t>
      </w:r>
    </w:p>
    <w:p>
      <w:pPr>
        <w:pStyle w:val="ListBullet"/>
        <w:ind w:left="283"/>
      </w:pPr>
      <w:r>
        <w:rPr>
          <w:sz w:val="20"/>
        </w:rPr>
        <w:t>Compatibility checks part of release gates.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34-api.md, 35-security.md, 15-dip-architecture.md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