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API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API</w:t>
      </w:r>
    </w:p>
    <w:p>
      <w:r>
        <w:rPr>
          <w:sz w:val="20"/>
        </w:rPr>
        <w:t>Мова: Українська (default) | [English](34-api.en.md)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API Lead</w:t>
      </w:r>
    </w:p>
    <w:p>
      <w:pPr>
        <w:pStyle w:val="ListBullet"/>
        <w:ind w:left="283"/>
      </w:pPr>
      <w:r>
        <w:rPr>
          <w:sz w:val="20"/>
        </w:rPr>
        <w:t>Contributors: Platform Team, Application Team, QA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API-контракти, версіонування і вимоги до надійності для DIP та інтеграційних поверхонь Dzvin.co.</w:t>
      </w:r>
    </w:p>
    <w:p>
      <w:pPr>
        <w:pStyle w:val="Heading2"/>
      </w:pPr>
      <w:r>
        <w:rPr>
          <w:color w:val="1A569A"/>
          <w:sz w:val="24"/>
        </w:rPr>
        <w:t>API Surface Classes</w:t>
      </w:r>
    </w:p>
    <w:p>
      <w:pPr>
        <w:pStyle w:val="ListBullet"/>
        <w:ind w:left="283"/>
      </w:pPr>
      <w:r>
        <w:rPr>
          <w:sz w:val="20"/>
        </w:rPr>
        <w:t>Decision execution APIs</w:t>
      </w:r>
    </w:p>
    <w:p>
      <w:pPr>
        <w:pStyle w:val="ListBullet"/>
        <w:ind w:left="283"/>
      </w:pPr>
      <w:r>
        <w:rPr>
          <w:sz w:val="20"/>
        </w:rPr>
        <w:t>Prediction/risk APIs</w:t>
      </w:r>
    </w:p>
    <w:p>
      <w:pPr>
        <w:pStyle w:val="ListBullet"/>
        <w:ind w:left="283"/>
      </w:pPr>
      <w:r>
        <w:rPr>
          <w:sz w:val="20"/>
        </w:rPr>
        <w:t>Workflow management APIs</w:t>
      </w:r>
    </w:p>
    <w:p>
      <w:pPr>
        <w:pStyle w:val="ListBullet"/>
        <w:ind w:left="283"/>
      </w:pPr>
      <w:r>
        <w:rPr>
          <w:sz w:val="20"/>
        </w:rPr>
        <w:t>Diagnostics/admin APIs</w:t>
      </w:r>
    </w:p>
    <w:p>
      <w:pPr>
        <w:pStyle w:val="Heading2"/>
      </w:pPr>
      <w:r>
        <w:rPr>
          <w:color w:val="1A569A"/>
          <w:sz w:val="24"/>
        </w:rPr>
        <w:t>Contract Standards</w:t>
      </w:r>
    </w:p>
    <w:p>
      <w:pPr>
        <w:pStyle w:val="ListBullet"/>
        <w:ind w:left="283"/>
      </w:pPr>
      <w:r>
        <w:rPr>
          <w:sz w:val="20"/>
        </w:rPr>
        <w:t>Explicit schema definitions.</w:t>
      </w:r>
    </w:p>
    <w:p>
      <w:pPr>
        <w:pStyle w:val="ListBullet"/>
        <w:ind w:left="283"/>
      </w:pPr>
      <w:r>
        <w:rPr>
          <w:sz w:val="20"/>
        </w:rPr>
        <w:t>Strong validation and typed errors.</w:t>
      </w:r>
    </w:p>
    <w:p>
      <w:pPr>
        <w:pStyle w:val="ListBullet"/>
        <w:ind w:left="283"/>
      </w:pPr>
      <w:r>
        <w:rPr>
          <w:sz w:val="20"/>
        </w:rPr>
        <w:t>Stable semantic fields for downstream analytics.</w:t>
      </w:r>
    </w:p>
    <w:p>
      <w:pPr>
        <w:pStyle w:val="Heading2"/>
      </w:pPr>
      <w:r>
        <w:rPr>
          <w:color w:val="1A569A"/>
          <w:sz w:val="24"/>
        </w:rPr>
        <w:t>Versioning Strategy</w:t>
      </w:r>
    </w:p>
    <w:p>
      <w:pPr>
        <w:pStyle w:val="ListBullet"/>
        <w:ind w:left="283"/>
      </w:pPr>
      <w:r>
        <w:rPr>
          <w:sz w:val="20"/>
        </w:rPr>
        <w:t>Major for breaking changes.</w:t>
      </w:r>
    </w:p>
    <w:p>
      <w:pPr>
        <w:pStyle w:val="ListBullet"/>
        <w:ind w:left="283"/>
      </w:pPr>
      <w:r>
        <w:rPr>
          <w:sz w:val="20"/>
        </w:rPr>
        <w:t>Minor for additive changes.</w:t>
      </w:r>
    </w:p>
    <w:p>
      <w:pPr>
        <w:pStyle w:val="ListBullet"/>
        <w:ind w:left="283"/>
      </w:pPr>
      <w:r>
        <w:rPr>
          <w:sz w:val="20"/>
        </w:rPr>
        <w:t>Sunset notices for deprecated versions.</w:t>
      </w:r>
    </w:p>
    <w:p>
      <w:pPr>
        <w:pStyle w:val="Heading2"/>
      </w:pPr>
      <w:r>
        <w:rPr>
          <w:color w:val="1A569A"/>
          <w:sz w:val="24"/>
        </w:rPr>
        <w:t>Non-Functional Requirements</w:t>
      </w:r>
    </w:p>
    <w:p>
      <w:pPr>
        <w:pStyle w:val="ListBullet"/>
        <w:ind w:left="283"/>
      </w:pPr>
      <w:r>
        <w:rPr>
          <w:sz w:val="20"/>
        </w:rPr>
        <w:t>Latency SLO by endpoint class.</w:t>
      </w:r>
    </w:p>
    <w:p>
      <w:pPr>
        <w:pStyle w:val="ListBullet"/>
        <w:ind w:left="283"/>
      </w:pPr>
      <w:r>
        <w:rPr>
          <w:sz w:val="20"/>
        </w:rPr>
        <w:t>Availability objectives.</w:t>
      </w:r>
    </w:p>
    <w:p>
      <w:pPr>
        <w:pStyle w:val="ListBullet"/>
        <w:ind w:left="283"/>
      </w:pPr>
      <w:r>
        <w:rPr>
          <w:sz w:val="20"/>
        </w:rPr>
        <w:t>Rate limits and abuse protection.</w:t>
      </w:r>
    </w:p>
    <w:p>
      <w:pPr>
        <w:pStyle w:val="Heading2"/>
      </w:pPr>
      <w:r>
        <w:rPr>
          <w:color w:val="1A569A"/>
          <w:sz w:val="24"/>
        </w:rPr>
        <w:t>Security and Access</w:t>
      </w:r>
    </w:p>
    <w:p>
      <w:pPr>
        <w:pStyle w:val="ListBullet"/>
        <w:ind w:left="283"/>
      </w:pPr>
      <w:r>
        <w:rPr>
          <w:sz w:val="20"/>
        </w:rPr>
        <w:t>Authenticated access only.</w:t>
      </w:r>
    </w:p>
    <w:p>
      <w:pPr>
        <w:pStyle w:val="ListBullet"/>
        <w:ind w:left="283"/>
      </w:pPr>
      <w:r>
        <w:rPr>
          <w:sz w:val="20"/>
        </w:rPr>
        <w:t>Role/permission-scoped operations.</w:t>
      </w:r>
    </w:p>
    <w:p>
      <w:pPr>
        <w:pStyle w:val="ListBullet"/>
        <w:ind w:left="283"/>
      </w:pPr>
      <w:r>
        <w:rPr>
          <w:sz w:val="20"/>
        </w:rPr>
        <w:t>Audit fields for sensitive calls.</w:t>
      </w:r>
    </w:p>
    <w:p>
      <w:pPr>
        <w:pStyle w:val="Heading2"/>
      </w:pPr>
      <w:r>
        <w:rPr>
          <w:color w:val="1A569A"/>
          <w:sz w:val="24"/>
        </w:rPr>
        <w:t>Observability</w:t>
      </w:r>
    </w:p>
    <w:p>
      <w:pPr>
        <w:pStyle w:val="ListBullet"/>
        <w:ind w:left="283"/>
      </w:pPr>
      <w:r>
        <w:rPr>
          <w:sz w:val="20"/>
        </w:rPr>
        <w:t>Request IDs and trace propagation.</w:t>
      </w:r>
    </w:p>
    <w:p>
      <w:pPr>
        <w:pStyle w:val="ListBullet"/>
        <w:ind w:left="283"/>
      </w:pPr>
      <w:r>
        <w:rPr>
          <w:sz w:val="20"/>
        </w:rPr>
        <w:t>Structured logs.</w:t>
      </w:r>
    </w:p>
    <w:p>
      <w:pPr>
        <w:pStyle w:val="ListBullet"/>
        <w:ind w:left="283"/>
      </w:pPr>
      <w:r>
        <w:rPr>
          <w:sz w:val="20"/>
        </w:rPr>
        <w:t>Endpoint-level metrics and error taxonomy.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OpenAPI specs актуальні і покривають critical endpoints.</w:t>
      </w:r>
    </w:p>
    <w:p>
      <w:pPr>
        <w:pStyle w:val="ListBullet"/>
        <w:ind w:left="283"/>
      </w:pPr>
      <w:r>
        <w:rPr>
          <w:sz w:val="20"/>
        </w:rPr>
        <w:t>Version compatibility documented.</w:t>
      </w:r>
    </w:p>
    <w:p>
      <w:pPr>
        <w:pStyle w:val="ListBullet"/>
        <w:ind w:left="283"/>
      </w:pPr>
      <w:r>
        <w:rPr>
          <w:sz w:val="20"/>
        </w:rPr>
        <w:t>API quality gates включені в CI/CD.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33-integration.md, 35-security.md, 15-dip-architecture.md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