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Security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Security</w:t>
      </w:r>
    </w:p>
    <w:p>
      <w:r>
        <w:rPr>
          <w:sz w:val="20"/>
        </w:rPr>
        <w:t>Мова: Українська (default) | [English](35-security.en.md)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Security Lead</w:t>
      </w:r>
    </w:p>
    <w:p>
      <w:pPr>
        <w:pStyle w:val="ListBullet"/>
        <w:ind w:left="283"/>
      </w:pPr>
      <w:r>
        <w:rPr>
          <w:sz w:val="20"/>
        </w:rPr>
        <w:t>Contributors: Platform Engineering, DevOps, Privacy Officer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security framework для DIP + Dzvin.co з фокусом на захист чутливих даних і цілісність decision pipelines.</w:t>
      </w:r>
    </w:p>
    <w:p>
      <w:pPr>
        <w:pStyle w:val="Heading2"/>
      </w:pPr>
      <w:r>
        <w:rPr>
          <w:color w:val="1A569A"/>
          <w:sz w:val="24"/>
        </w:rPr>
        <w:t>Security Objectives</w:t>
      </w:r>
    </w:p>
    <w:p>
      <w:pPr>
        <w:pStyle w:val="ListBullet"/>
        <w:ind w:left="283"/>
      </w:pPr>
      <w:r>
        <w:rPr>
          <w:sz w:val="20"/>
        </w:rPr>
        <w:t>Confidentiality of sensitive user and organizational data.</w:t>
      </w:r>
    </w:p>
    <w:p>
      <w:pPr>
        <w:pStyle w:val="ListBullet"/>
        <w:ind w:left="283"/>
      </w:pPr>
      <w:r>
        <w:rPr>
          <w:sz w:val="20"/>
        </w:rPr>
        <w:t>Integrity of decision workflows and policy states.</w:t>
      </w:r>
    </w:p>
    <w:p>
      <w:pPr>
        <w:pStyle w:val="ListBullet"/>
        <w:ind w:left="283"/>
      </w:pPr>
      <w:r>
        <w:rPr>
          <w:sz w:val="20"/>
        </w:rPr>
        <w:t>Availability of core decision services.</w:t>
      </w:r>
    </w:p>
    <w:p>
      <w:pPr>
        <w:pStyle w:val="ListBullet"/>
        <w:ind w:left="283"/>
      </w:pPr>
      <w:r>
        <w:rPr>
          <w:sz w:val="20"/>
        </w:rPr>
        <w:t>Traceability for incident response and audit.</w:t>
      </w:r>
    </w:p>
    <w:p>
      <w:pPr>
        <w:pStyle w:val="Heading2"/>
      </w:pPr>
      <w:r>
        <w:rPr>
          <w:color w:val="1A569A"/>
          <w:sz w:val="24"/>
        </w:rPr>
        <w:t>Threat Model Scope</w:t>
      </w:r>
    </w:p>
    <w:p>
      <w:pPr>
        <w:pStyle w:val="ListBullet"/>
        <w:ind w:left="283"/>
      </w:pPr>
      <w:r>
        <w:rPr>
          <w:sz w:val="20"/>
        </w:rPr>
        <w:t>API misuse and credential leakage.</w:t>
      </w:r>
    </w:p>
    <w:p>
      <w:pPr>
        <w:pStyle w:val="ListBullet"/>
        <w:ind w:left="283"/>
      </w:pPr>
      <w:r>
        <w:rPr>
          <w:sz w:val="20"/>
        </w:rPr>
        <w:t>Unauthorized cross-tenant data access.</w:t>
      </w:r>
    </w:p>
    <w:p>
      <w:pPr>
        <w:pStyle w:val="ListBullet"/>
        <w:ind w:left="283"/>
      </w:pPr>
      <w:r>
        <w:rPr>
          <w:sz w:val="20"/>
        </w:rPr>
        <w:t>Data tampering in feature/decision artifacts.</w:t>
      </w:r>
    </w:p>
    <w:p>
      <w:pPr>
        <w:pStyle w:val="ListBullet"/>
        <w:ind w:left="283"/>
      </w:pPr>
      <w:r>
        <w:rPr>
          <w:sz w:val="20"/>
        </w:rPr>
        <w:t>Supply chain and dependency risks.</w:t>
      </w:r>
    </w:p>
    <w:p>
      <w:pPr>
        <w:pStyle w:val="ListBullet"/>
        <w:ind w:left="283"/>
      </w:pPr>
      <w:r>
        <w:rPr>
          <w:sz w:val="20"/>
        </w:rPr>
        <w:t>Insider misuse of diagnostics surfaces.</w:t>
      </w:r>
    </w:p>
    <w:p>
      <w:pPr>
        <w:pStyle w:val="Heading2"/>
      </w:pPr>
      <w:r>
        <w:rPr>
          <w:color w:val="1A569A"/>
          <w:sz w:val="24"/>
        </w:rPr>
        <w:t>Core Controls</w:t>
      </w:r>
    </w:p>
    <w:p>
      <w:pPr>
        <w:pStyle w:val="ListBullet"/>
        <w:ind w:left="283"/>
      </w:pPr>
      <w:r>
        <w:rPr>
          <w:sz w:val="20"/>
        </w:rPr>
        <w:t>Strong authentication and scoped authorization.</w:t>
      </w:r>
    </w:p>
    <w:p>
      <w:pPr>
        <w:pStyle w:val="ListBullet"/>
        <w:ind w:left="283"/>
      </w:pPr>
      <w:r>
        <w:rPr>
          <w:sz w:val="20"/>
        </w:rPr>
        <w:t>Tenant isolation at data and service layers.</w:t>
      </w:r>
    </w:p>
    <w:p>
      <w:pPr>
        <w:pStyle w:val="ListBullet"/>
        <w:ind w:left="283"/>
      </w:pPr>
      <w:r>
        <w:rPr>
          <w:sz w:val="20"/>
        </w:rPr>
        <w:t>Encryption in transit and at rest.</w:t>
      </w:r>
    </w:p>
    <w:p>
      <w:pPr>
        <w:pStyle w:val="ListBullet"/>
        <w:ind w:left="283"/>
      </w:pPr>
      <w:r>
        <w:rPr>
          <w:sz w:val="20"/>
        </w:rPr>
        <w:t>Immutable audit trails for sensitive operations.</w:t>
      </w:r>
    </w:p>
    <w:p>
      <w:pPr>
        <w:pStyle w:val="ListBullet"/>
        <w:ind w:left="283"/>
      </w:pPr>
      <w:r>
        <w:rPr>
          <w:sz w:val="20"/>
        </w:rPr>
        <w:t>Secrets management and rotation policy.</w:t>
      </w:r>
    </w:p>
    <w:p>
      <w:pPr>
        <w:pStyle w:val="Heading2"/>
      </w:pPr>
      <w:r>
        <w:rPr>
          <w:color w:val="1A569A"/>
          <w:sz w:val="24"/>
        </w:rPr>
        <w:t>Application Security</w:t>
      </w:r>
    </w:p>
    <w:p>
      <w:pPr>
        <w:pStyle w:val="ListBullet"/>
        <w:ind w:left="283"/>
      </w:pPr>
      <w:r>
        <w:rPr>
          <w:sz w:val="20"/>
        </w:rPr>
        <w:t>Input validation on all public decision endpoints.</w:t>
      </w:r>
    </w:p>
    <w:p>
      <w:pPr>
        <w:pStyle w:val="ListBullet"/>
        <w:ind w:left="283"/>
      </w:pPr>
      <w:r>
        <w:rPr>
          <w:sz w:val="20"/>
        </w:rPr>
        <w:t>Rate limiting and abuse detection.</w:t>
      </w:r>
    </w:p>
    <w:p>
      <w:pPr>
        <w:pStyle w:val="ListBullet"/>
        <w:ind w:left="283"/>
      </w:pPr>
      <w:r>
        <w:rPr>
          <w:sz w:val="20"/>
        </w:rPr>
        <w:t>Secure defaults for fallback paths.</w:t>
      </w:r>
    </w:p>
    <w:p>
      <w:pPr>
        <w:pStyle w:val="ListBullet"/>
        <w:ind w:left="283"/>
      </w:pPr>
      <w:r>
        <w:rPr>
          <w:sz w:val="20"/>
        </w:rPr>
        <w:t>Least-privilege service permissions.</w:t>
      </w:r>
    </w:p>
    <w:p>
      <w:pPr>
        <w:pStyle w:val="Heading2"/>
      </w:pPr>
      <w:r>
        <w:rPr>
          <w:color w:val="1A569A"/>
          <w:sz w:val="24"/>
        </w:rPr>
        <w:t>Data Security</w:t>
      </w:r>
    </w:p>
    <w:p>
      <w:pPr>
        <w:pStyle w:val="ListBullet"/>
        <w:ind w:left="283"/>
      </w:pPr>
      <w:r>
        <w:rPr>
          <w:sz w:val="20"/>
        </w:rPr>
        <w:t>Data classification and handling policy.</w:t>
      </w:r>
    </w:p>
    <w:p>
      <w:pPr>
        <w:pStyle w:val="ListBullet"/>
        <w:ind w:left="283"/>
      </w:pPr>
      <w:r>
        <w:rPr>
          <w:sz w:val="20"/>
        </w:rPr>
        <w:t>Restricted access to individual-level records.</w:t>
      </w:r>
    </w:p>
    <w:p>
      <w:pPr>
        <w:pStyle w:val="ListBullet"/>
        <w:ind w:left="283"/>
      </w:pPr>
      <w:r>
        <w:rPr>
          <w:sz w:val="20"/>
        </w:rPr>
        <w:t>Masking/anonymization for analytical views.</w:t>
      </w:r>
    </w:p>
    <w:p>
      <w:pPr>
        <w:pStyle w:val="ListBullet"/>
        <w:ind w:left="283"/>
      </w:pPr>
      <w:r>
        <w:rPr>
          <w:sz w:val="20"/>
        </w:rPr>
        <w:t>Controlled export procedures.</w:t>
      </w:r>
    </w:p>
    <w:p>
      <w:pPr>
        <w:pStyle w:val="Heading2"/>
      </w:pPr>
      <w:r>
        <w:rPr>
          <w:color w:val="1A569A"/>
          <w:sz w:val="24"/>
        </w:rPr>
        <w:t>Operational Security</w:t>
      </w:r>
    </w:p>
    <w:p>
      <w:pPr>
        <w:pStyle w:val="ListBullet"/>
        <w:ind w:left="283"/>
      </w:pPr>
      <w:r>
        <w:rPr>
          <w:sz w:val="20"/>
        </w:rPr>
        <w:t>Vulnerability scanning and patch SLAs.</w:t>
      </w:r>
    </w:p>
    <w:p>
      <w:pPr>
        <w:pStyle w:val="ListBullet"/>
        <w:ind w:left="283"/>
      </w:pPr>
      <w:r>
        <w:rPr>
          <w:sz w:val="20"/>
        </w:rPr>
        <w:t>Dependency monitoring.</w:t>
      </w:r>
    </w:p>
    <w:p>
      <w:pPr>
        <w:pStyle w:val="ListBullet"/>
        <w:ind w:left="283"/>
      </w:pPr>
      <w:r>
        <w:rPr>
          <w:sz w:val="20"/>
        </w:rPr>
        <w:t>Logging and anomaly alerting.</w:t>
      </w:r>
    </w:p>
    <w:p>
      <w:pPr>
        <w:pStyle w:val="ListBullet"/>
        <w:ind w:left="283"/>
      </w:pPr>
      <w:r>
        <w:rPr>
          <w:sz w:val="20"/>
        </w:rPr>
        <w:t>Incident response runbooks.</w:t>
      </w:r>
    </w:p>
    <w:p>
      <w:pPr>
        <w:pStyle w:val="Heading2"/>
      </w:pPr>
      <w:r>
        <w:rPr>
          <w:color w:val="1A569A"/>
          <w:sz w:val="24"/>
        </w:rPr>
        <w:t>AI/Decision-Specific Security</w:t>
      </w:r>
    </w:p>
    <w:p>
      <w:pPr>
        <w:pStyle w:val="ListBullet"/>
        <w:ind w:left="283"/>
      </w:pPr>
      <w:r>
        <w:rPr>
          <w:sz w:val="20"/>
        </w:rPr>
        <w:t>Protection against feature poisoning where feasible.</w:t>
      </w:r>
    </w:p>
    <w:p>
      <w:pPr>
        <w:pStyle w:val="ListBullet"/>
        <w:ind w:left="283"/>
      </w:pPr>
      <w:r>
        <w:rPr>
          <w:sz w:val="20"/>
        </w:rPr>
        <w:t>Policy override governance and audit.</w:t>
      </w:r>
    </w:p>
    <w:p>
      <w:pPr>
        <w:pStyle w:val="ListBullet"/>
        <w:ind w:left="283"/>
      </w:pPr>
      <w:r>
        <w:rPr>
          <w:sz w:val="20"/>
        </w:rPr>
        <w:t>Safeguards against prompt/data leakage in AI-assisted summaries.</w:t>
      </w:r>
    </w:p>
    <w:p>
      <w:pPr>
        <w:pStyle w:val="Heading2"/>
      </w:pPr>
      <w:r>
        <w:rPr>
          <w:color w:val="1A569A"/>
          <w:sz w:val="24"/>
        </w:rPr>
        <w:t>Incident Response</w:t>
      </w:r>
    </w:p>
    <w:p>
      <w:pPr>
        <w:pStyle w:val="ListBullet"/>
        <w:ind w:left="283"/>
      </w:pPr>
      <w:r>
        <w:rPr>
          <w:sz w:val="20"/>
        </w:rPr>
        <w:t>Severity tiers and response times.</w:t>
      </w:r>
    </w:p>
    <w:p>
      <w:pPr>
        <w:pStyle w:val="ListBullet"/>
        <w:ind w:left="283"/>
      </w:pPr>
      <w:r>
        <w:rPr>
          <w:sz w:val="20"/>
        </w:rPr>
        <w:t>Forensic logging requirements.</w:t>
      </w:r>
    </w:p>
    <w:p>
      <w:pPr>
        <w:pStyle w:val="ListBullet"/>
        <w:ind w:left="283"/>
      </w:pPr>
      <w:r>
        <w:rPr>
          <w:sz w:val="20"/>
        </w:rPr>
        <w:t>Communication protocol for impacted stakeholders.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Security controls mapped to identified threats.</w:t>
      </w:r>
    </w:p>
    <w:p>
      <w:pPr>
        <w:pStyle w:val="ListBullet"/>
        <w:ind w:left="283"/>
      </w:pPr>
      <w:r>
        <w:rPr>
          <w:sz w:val="20"/>
        </w:rPr>
        <w:t>Critical endpoints covered by authN/authZ + audit.</w:t>
      </w:r>
    </w:p>
    <w:p>
      <w:pPr>
        <w:pStyle w:val="ListBullet"/>
        <w:ind w:left="283"/>
      </w:pPr>
      <w:r>
        <w:rPr>
          <w:sz w:val="20"/>
        </w:rPr>
        <w:t>Incident response drills and evidence documented.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34-api.md, 36-gdpr.md, 37-ethics.md, 44-risk-management.md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