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GDPR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GDPR</w:t>
      </w:r>
    </w:p>
    <w:p>
      <w:r>
        <w:rPr>
          <w:sz w:val="20"/>
        </w:rPr>
        <w:t>Мова: Українська (default) | [English](36-gdpr.en.md)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Data Protection Officer</w:t>
      </w:r>
    </w:p>
    <w:p>
      <w:pPr>
        <w:pStyle w:val="ListBullet"/>
        <w:ind w:left="283"/>
      </w:pPr>
      <w:r>
        <w:rPr>
          <w:sz w:val="20"/>
        </w:rPr>
        <w:t>Contributors: Legal, Security, Platform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GDPR рамку для обробки персональних даних у Dzvin.co + DIP, включно з R&amp;D активностями.</w:t>
      </w:r>
    </w:p>
    <w:p>
      <w:pPr>
        <w:pStyle w:val="Heading2"/>
      </w:pPr>
      <w:r>
        <w:rPr>
          <w:color w:val="1A569A"/>
          <w:sz w:val="24"/>
        </w:rPr>
        <w:t>Roles</w:t>
      </w:r>
    </w:p>
    <w:p>
      <w:pPr>
        <w:pStyle w:val="ListBullet"/>
        <w:ind w:left="283"/>
      </w:pPr>
      <w:r>
        <w:rPr>
          <w:sz w:val="20"/>
        </w:rPr>
        <w:t>Controller: to be specified per deployment/legal entity.</w:t>
      </w:r>
    </w:p>
    <w:p>
      <w:pPr>
        <w:pStyle w:val="ListBullet"/>
        <w:ind w:left="283"/>
      </w:pPr>
      <w:r>
        <w:rPr>
          <w:sz w:val="20"/>
        </w:rPr>
        <w:t>Processor/Sub-processor: to be specified with DPA annexes.</w:t>
      </w:r>
    </w:p>
    <w:p>
      <w:pPr>
        <w:pStyle w:val="ListBullet"/>
        <w:ind w:left="283"/>
      </w:pPr>
      <w:r>
        <w:rPr>
          <w:sz w:val="20"/>
        </w:rPr>
        <w:t>Joint controllership scenarios: to be assessed for partner studies.</w:t>
      </w:r>
    </w:p>
    <w:p>
      <w:pPr>
        <w:pStyle w:val="Heading2"/>
      </w:pPr>
      <w:r>
        <w:rPr>
          <w:color w:val="1A569A"/>
          <w:sz w:val="24"/>
        </w:rPr>
        <w:t>Data Categories</w:t>
      </w:r>
    </w:p>
    <w:p>
      <w:pPr>
        <w:pStyle w:val="ListBullet"/>
        <w:ind w:left="283"/>
      </w:pPr>
      <w:r>
        <w:rPr>
          <w:sz w:val="20"/>
        </w:rPr>
        <w:t>Account and identity metadata.</w:t>
      </w:r>
    </w:p>
    <w:p>
      <w:pPr>
        <w:pStyle w:val="ListBullet"/>
        <w:ind w:left="283"/>
      </w:pPr>
      <w:r>
        <w:rPr>
          <w:sz w:val="20"/>
        </w:rPr>
        <w:t>Wellbeing self-report data.</w:t>
      </w:r>
    </w:p>
    <w:p>
      <w:pPr>
        <w:pStyle w:val="ListBullet"/>
        <w:ind w:left="283"/>
      </w:pPr>
      <w:r>
        <w:rPr>
          <w:sz w:val="20"/>
        </w:rPr>
        <w:t>Psychometric and behavioral signals.</w:t>
      </w:r>
    </w:p>
    <w:p>
      <w:pPr>
        <w:pStyle w:val="ListBullet"/>
        <w:ind w:left="283"/>
      </w:pPr>
      <w:r>
        <w:rPr>
          <w:sz w:val="20"/>
        </w:rPr>
        <w:t>Organizational role/access metadata.</w:t>
      </w:r>
    </w:p>
    <w:p>
      <w:pPr>
        <w:pStyle w:val="ListBullet"/>
        <w:ind w:left="283"/>
      </w:pPr>
      <w:r>
        <w:rPr>
          <w:sz w:val="20"/>
        </w:rPr>
        <w:t>Decision/audit artifacts.</w:t>
      </w:r>
    </w:p>
    <w:p>
      <w:pPr>
        <w:pStyle w:val="Heading2"/>
      </w:pPr>
      <w:r>
        <w:rPr>
          <w:color w:val="1A569A"/>
          <w:sz w:val="24"/>
        </w:rPr>
        <w:t>Lawful Basis Framework</w:t>
      </w:r>
    </w:p>
    <w:p>
      <w:pPr>
        <w:pStyle w:val="ListBullet"/>
        <w:ind w:left="283"/>
      </w:pPr>
      <w:r>
        <w:rPr>
          <w:sz w:val="20"/>
        </w:rPr>
        <w:t>Contract performance for core service operations.</w:t>
      </w:r>
    </w:p>
    <w:p>
      <w:pPr>
        <w:pStyle w:val="ListBullet"/>
        <w:ind w:left="283"/>
      </w:pPr>
      <w:r>
        <w:rPr>
          <w:sz w:val="20"/>
        </w:rPr>
        <w:t>Legitimate interest where applicable with balancing test.</w:t>
      </w:r>
    </w:p>
    <w:p>
      <w:pPr>
        <w:pStyle w:val="ListBullet"/>
        <w:ind w:left="283"/>
      </w:pPr>
      <w:r>
        <w:rPr>
          <w:sz w:val="20"/>
        </w:rPr>
        <w:t>Explicit consent for optional sensitive processing/research paths where required.</w:t>
      </w:r>
    </w:p>
    <w:p>
      <w:pPr>
        <w:pStyle w:val="Heading2"/>
      </w:pPr>
      <w:r>
        <w:rPr>
          <w:color w:val="1A569A"/>
          <w:sz w:val="24"/>
        </w:rPr>
        <w:t>Data Subject Rights</w:t>
      </w:r>
    </w:p>
    <w:p>
      <w:pPr>
        <w:pStyle w:val="ListBullet"/>
        <w:ind w:left="283"/>
      </w:pPr>
      <w:r>
        <w:rPr>
          <w:sz w:val="20"/>
        </w:rPr>
        <w:t>Access</w:t>
      </w:r>
    </w:p>
    <w:p>
      <w:pPr>
        <w:pStyle w:val="ListBullet"/>
        <w:ind w:left="283"/>
      </w:pPr>
      <w:r>
        <w:rPr>
          <w:sz w:val="20"/>
        </w:rPr>
        <w:t>Rectification</w:t>
      </w:r>
    </w:p>
    <w:p>
      <w:pPr>
        <w:pStyle w:val="ListBullet"/>
        <w:ind w:left="283"/>
      </w:pPr>
      <w:r>
        <w:rPr>
          <w:sz w:val="20"/>
        </w:rPr>
        <w:t>Erasure</w:t>
      </w:r>
    </w:p>
    <w:p>
      <w:pPr>
        <w:pStyle w:val="ListBullet"/>
        <w:ind w:left="283"/>
      </w:pPr>
      <w:r>
        <w:rPr>
          <w:sz w:val="20"/>
        </w:rPr>
        <w:t>Restriction</w:t>
      </w:r>
    </w:p>
    <w:p>
      <w:pPr>
        <w:pStyle w:val="ListBullet"/>
        <w:ind w:left="283"/>
      </w:pPr>
      <w:r>
        <w:rPr>
          <w:sz w:val="20"/>
        </w:rPr>
        <w:t>Portability</w:t>
      </w:r>
    </w:p>
    <w:p>
      <w:pPr>
        <w:pStyle w:val="ListBullet"/>
        <w:ind w:left="283"/>
      </w:pPr>
      <w:r>
        <w:rPr>
          <w:sz w:val="20"/>
        </w:rPr>
        <w:t>Objection</w:t>
      </w:r>
    </w:p>
    <w:p>
      <w:pPr>
        <w:pStyle w:val="Heading2"/>
      </w:pPr>
      <w:r>
        <w:rPr>
          <w:color w:val="1A569A"/>
          <w:sz w:val="24"/>
        </w:rPr>
        <w:t>Operational Rights Handling</w:t>
      </w:r>
    </w:p>
    <w:p>
      <w:pPr>
        <w:pStyle w:val="ListBullet"/>
        <w:ind w:left="283"/>
      </w:pPr>
      <w:r>
        <w:rPr>
          <w:sz w:val="20"/>
        </w:rPr>
        <w:t>Verified request workflow.</w:t>
      </w:r>
    </w:p>
    <w:p>
      <w:pPr>
        <w:pStyle w:val="ListBullet"/>
        <w:ind w:left="283"/>
      </w:pPr>
      <w:r>
        <w:rPr>
          <w:sz w:val="20"/>
        </w:rPr>
        <w:t>SLA by request type.</w:t>
      </w:r>
    </w:p>
    <w:p>
      <w:pPr>
        <w:pStyle w:val="ListBullet"/>
        <w:ind w:left="283"/>
      </w:pPr>
      <w:r>
        <w:rPr>
          <w:sz w:val="20"/>
        </w:rPr>
        <w:t>Logging of request lifecycle.</w:t>
      </w:r>
    </w:p>
    <w:p>
      <w:pPr>
        <w:pStyle w:val="ListBullet"/>
        <w:ind w:left="283"/>
      </w:pPr>
      <w:r>
        <w:rPr>
          <w:sz w:val="20"/>
        </w:rPr>
        <w:t>Appeal/escalation path.</w:t>
      </w:r>
    </w:p>
    <w:p>
      <w:pPr>
        <w:pStyle w:val="Heading2"/>
      </w:pPr>
      <w:r>
        <w:rPr>
          <w:color w:val="1A569A"/>
          <w:sz w:val="24"/>
        </w:rPr>
        <w:t>Data Minimization and Purpose Limitation</w:t>
      </w:r>
    </w:p>
    <w:p>
      <w:pPr>
        <w:pStyle w:val="ListBullet"/>
        <w:ind w:left="283"/>
      </w:pPr>
      <w:r>
        <w:rPr>
          <w:sz w:val="20"/>
        </w:rPr>
        <w:t>Collect only necessary data for defined use-cases.</w:t>
      </w:r>
    </w:p>
    <w:p>
      <w:pPr>
        <w:pStyle w:val="ListBullet"/>
        <w:ind w:left="283"/>
      </w:pPr>
      <w:r>
        <w:rPr>
          <w:sz w:val="20"/>
        </w:rPr>
        <w:t>Separate operational vs research processing purposes.</w:t>
      </w:r>
    </w:p>
    <w:p>
      <w:pPr>
        <w:pStyle w:val="ListBullet"/>
        <w:ind w:left="283"/>
      </w:pPr>
      <w:r>
        <w:rPr>
          <w:sz w:val="20"/>
        </w:rPr>
        <w:t>Restrict secondary use without proper basis.</w:t>
      </w:r>
    </w:p>
    <w:p>
      <w:pPr>
        <w:pStyle w:val="Heading2"/>
      </w:pPr>
      <w:r>
        <w:rPr>
          <w:color w:val="1A569A"/>
          <w:sz w:val="24"/>
        </w:rPr>
        <w:t>Retention and Deletion</w:t>
      </w:r>
    </w:p>
    <w:p>
      <w:pPr>
        <w:pStyle w:val="ListBullet"/>
        <w:ind w:left="283"/>
      </w:pPr>
      <w:r>
        <w:rPr>
          <w:sz w:val="20"/>
        </w:rPr>
        <w:t>Retention matrix by data class.</w:t>
      </w:r>
    </w:p>
    <w:p>
      <w:pPr>
        <w:pStyle w:val="ListBullet"/>
        <w:ind w:left="283"/>
      </w:pPr>
      <w:r>
        <w:rPr>
          <w:sz w:val="20"/>
        </w:rPr>
        <w:t>Automated deletion/anonymization schedules.</w:t>
      </w:r>
    </w:p>
    <w:p>
      <w:pPr>
        <w:pStyle w:val="ListBullet"/>
        <w:ind w:left="283"/>
      </w:pPr>
      <w:r>
        <w:rPr>
          <w:sz w:val="20"/>
        </w:rPr>
        <w:t>Legal hold exceptions and governance.</w:t>
      </w:r>
    </w:p>
    <w:p>
      <w:pPr>
        <w:pStyle w:val="Heading2"/>
      </w:pPr>
      <w:r>
        <w:rPr>
          <w:color w:val="1A569A"/>
          <w:sz w:val="24"/>
        </w:rPr>
        <w:t>International Transfers</w:t>
      </w:r>
    </w:p>
    <w:p>
      <w:pPr>
        <w:pStyle w:val="ListBullet"/>
        <w:ind w:left="283"/>
      </w:pPr>
      <w:r>
        <w:rPr>
          <w:sz w:val="20"/>
        </w:rPr>
        <w:t>Transfer mechanism inventory.</w:t>
      </w:r>
    </w:p>
    <w:p>
      <w:pPr>
        <w:pStyle w:val="ListBullet"/>
        <w:ind w:left="283"/>
      </w:pPr>
      <w:r>
        <w:rPr>
          <w:sz w:val="20"/>
        </w:rPr>
        <w:t>SCCs or equivalent safeguards where needed.</w:t>
      </w:r>
    </w:p>
    <w:p>
      <w:pPr>
        <w:pStyle w:val="ListBullet"/>
        <w:ind w:left="283"/>
      </w:pPr>
      <w:r>
        <w:rPr>
          <w:sz w:val="20"/>
        </w:rPr>
        <w:t>Third-country risk assessment process.</w:t>
      </w:r>
    </w:p>
    <w:p>
      <w:pPr>
        <w:pStyle w:val="Heading2"/>
      </w:pPr>
      <w:r>
        <w:rPr>
          <w:color w:val="1A569A"/>
          <w:sz w:val="24"/>
        </w:rPr>
        <w:t>DPIA and High-Risk Processing</w:t>
      </w:r>
    </w:p>
    <w:p>
      <w:pPr>
        <w:pStyle w:val="ListBullet"/>
        <w:ind w:left="283"/>
      </w:pPr>
      <w:r>
        <w:rPr>
          <w:sz w:val="20"/>
        </w:rPr>
        <w:t>DPIA triggers for sensitive-scale analytics.</w:t>
      </w:r>
    </w:p>
    <w:p>
      <w:pPr>
        <w:pStyle w:val="ListBullet"/>
        <w:ind w:left="283"/>
      </w:pPr>
      <w:r>
        <w:rPr>
          <w:sz w:val="20"/>
        </w:rPr>
        <w:t>Periodic DPIA review for model/policy changes.</w:t>
      </w:r>
    </w:p>
    <w:p>
      <w:pPr>
        <w:pStyle w:val="ListBullet"/>
        <w:ind w:left="283"/>
      </w:pPr>
      <w:r>
        <w:rPr>
          <w:sz w:val="20"/>
        </w:rPr>
        <w:t>Residual risk acceptance workflow.</w:t>
      </w:r>
    </w:p>
    <w:p>
      <w:pPr>
        <w:pStyle w:val="Heading2"/>
      </w:pPr>
      <w:r>
        <w:rPr>
          <w:color w:val="1A569A"/>
          <w:sz w:val="24"/>
        </w:rPr>
        <w:t>Breach Response</w:t>
      </w:r>
    </w:p>
    <w:p>
      <w:pPr>
        <w:pStyle w:val="ListBullet"/>
        <w:ind w:left="283"/>
      </w:pPr>
      <w:r>
        <w:rPr>
          <w:sz w:val="20"/>
        </w:rPr>
        <w:t>Detection and triage playbook.</w:t>
      </w:r>
    </w:p>
    <w:p>
      <w:pPr>
        <w:pStyle w:val="ListBullet"/>
        <w:ind w:left="283"/>
      </w:pPr>
      <w:r>
        <w:rPr>
          <w:sz w:val="20"/>
        </w:rPr>
        <w:t>72-hour notification readiness.</w:t>
      </w:r>
    </w:p>
    <w:p>
      <w:pPr>
        <w:pStyle w:val="ListBullet"/>
        <w:ind w:left="283"/>
      </w:pPr>
      <w:r>
        <w:rPr>
          <w:sz w:val="20"/>
        </w:rPr>
        <w:t>Impacted subject communication policy.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Є актуальний Record of Processing Activities.</w:t>
      </w:r>
    </w:p>
    <w:p>
      <w:pPr>
        <w:pStyle w:val="ListBullet"/>
        <w:ind w:left="283"/>
      </w:pPr>
      <w:r>
        <w:rPr>
          <w:sz w:val="20"/>
        </w:rPr>
        <w:t>Права суб'єктів даних обробляються за затвердженим SOP.</w:t>
      </w:r>
    </w:p>
    <w:p>
      <w:pPr>
        <w:pStyle w:val="ListBullet"/>
        <w:ind w:left="283"/>
      </w:pPr>
      <w:r>
        <w:rPr>
          <w:sz w:val="20"/>
        </w:rPr>
        <w:t>DPIA покриває high-risk processing сценарії.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35-security.md, 37-ethics.md, 08-dataset-specification.md, 44-risk-management.md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