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Ethics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Ethics</w:t>
      </w:r>
    </w:p>
    <w:p>
      <w:r>
        <w:rPr>
          <w:sz w:val="20"/>
        </w:rPr>
        <w:t>Мова: Українська (default) | [English](37-ethics.en.md)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Ethics Lead</w:t>
      </w:r>
    </w:p>
    <w:p>
      <w:pPr>
        <w:pStyle w:val="ListBullet"/>
        <w:ind w:left="283"/>
      </w:pPr>
      <w:r>
        <w:rPr>
          <w:sz w:val="20"/>
        </w:rPr>
        <w:t>Contributors: Clinical Advisors, Research Team, Product Team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Встановити етичні принципи і процеси контролю для рішень Dzvin.co + DIP у чутливому домені mental wellbeing.</w:t>
      </w:r>
    </w:p>
    <w:p>
      <w:pPr>
        <w:pStyle w:val="Heading2"/>
      </w:pPr>
      <w:r>
        <w:rPr>
          <w:color w:val="1A569A"/>
          <w:sz w:val="24"/>
        </w:rPr>
        <w:t>Ethical Principles</w:t>
      </w:r>
    </w:p>
    <w:p>
      <w:pPr>
        <w:pStyle w:val="ListBullet"/>
        <w:ind w:left="283"/>
      </w:pPr>
      <w:r>
        <w:rPr>
          <w:sz w:val="20"/>
        </w:rPr>
        <w:t>Beneficence: максимізація користі для користувачів і організацій.</w:t>
      </w:r>
    </w:p>
    <w:p>
      <w:pPr>
        <w:pStyle w:val="ListBullet"/>
        <w:ind w:left="283"/>
      </w:pPr>
      <w:r>
        <w:rPr>
          <w:sz w:val="20"/>
        </w:rPr>
        <w:t>Non-maleficence: мінімізація потенційної шкоди.</w:t>
      </w:r>
    </w:p>
    <w:p>
      <w:pPr>
        <w:pStyle w:val="ListBullet"/>
        <w:ind w:left="283"/>
      </w:pPr>
      <w:r>
        <w:rPr>
          <w:sz w:val="20"/>
        </w:rPr>
        <w:t>Autonomy: інформований вибір і контроль користувача.</w:t>
      </w:r>
    </w:p>
    <w:p>
      <w:pPr>
        <w:pStyle w:val="ListBullet"/>
        <w:ind w:left="283"/>
      </w:pPr>
      <w:r>
        <w:rPr>
          <w:sz w:val="20"/>
        </w:rPr>
        <w:t>Justice: справедливий доступ і відсутність системної дискримінації.</w:t>
      </w:r>
    </w:p>
    <w:p>
      <w:pPr>
        <w:pStyle w:val="ListBullet"/>
        <w:ind w:left="283"/>
      </w:pPr>
      <w:r>
        <w:rPr>
          <w:sz w:val="20"/>
        </w:rPr>
        <w:t>Accountability: зрозуміла відповідальність за рішення.</w:t>
      </w:r>
    </w:p>
    <w:p>
      <w:pPr>
        <w:pStyle w:val="Heading2"/>
      </w:pPr>
      <w:r>
        <w:rPr>
          <w:color w:val="1A569A"/>
          <w:sz w:val="24"/>
        </w:rPr>
        <w:t>Sensitive Use Constraints</w:t>
      </w:r>
    </w:p>
    <w:p>
      <w:pPr>
        <w:pStyle w:val="ListBullet"/>
        <w:ind w:left="283"/>
      </w:pPr>
      <w:r>
        <w:rPr>
          <w:sz w:val="20"/>
        </w:rPr>
        <w:t>Заборона діагностичних висновків у user-facing поверхнях.</w:t>
      </w:r>
    </w:p>
    <w:p>
      <w:pPr>
        <w:pStyle w:val="ListBullet"/>
        <w:ind w:left="283"/>
      </w:pPr>
      <w:r>
        <w:rPr>
          <w:sz w:val="20"/>
        </w:rPr>
        <w:t>Обов'язкове повідомлення про обмеження алгоритму.</w:t>
      </w:r>
    </w:p>
    <w:p>
      <w:pPr>
        <w:pStyle w:val="ListBullet"/>
        <w:ind w:left="283"/>
      </w:pPr>
      <w:r>
        <w:rPr>
          <w:sz w:val="20"/>
        </w:rPr>
        <w:t>Людський перегляд для high-risk або low-confidence рішень.</w:t>
      </w:r>
    </w:p>
    <w:p>
      <w:pPr>
        <w:pStyle w:val="Heading2"/>
      </w:pPr>
      <w:r>
        <w:rPr>
          <w:color w:val="1A569A"/>
          <w:sz w:val="24"/>
        </w:rPr>
        <w:t>Ethics Governance Model</w:t>
      </w:r>
    </w:p>
    <w:p>
      <w:pPr>
        <w:pStyle w:val="ListBullet"/>
        <w:ind w:left="283"/>
      </w:pPr>
      <w:r>
        <w:rPr>
          <w:sz w:val="20"/>
        </w:rPr>
        <w:t>Ethics review board for major policy/model changes.</w:t>
      </w:r>
    </w:p>
    <w:p>
      <w:pPr>
        <w:pStyle w:val="ListBullet"/>
        <w:ind w:left="283"/>
      </w:pPr>
      <w:r>
        <w:rPr>
          <w:sz w:val="20"/>
        </w:rPr>
        <w:t>Pre-release ethics checklist.</w:t>
      </w:r>
    </w:p>
    <w:p>
      <w:pPr>
        <w:pStyle w:val="ListBullet"/>
        <w:ind w:left="283"/>
      </w:pPr>
      <w:r>
        <w:rPr>
          <w:sz w:val="20"/>
        </w:rPr>
        <w:t>Incident review cadence with action tracking.</w:t>
      </w:r>
    </w:p>
    <w:p>
      <w:pPr>
        <w:pStyle w:val="Heading2"/>
      </w:pPr>
      <w:r>
        <w:rPr>
          <w:color w:val="1A569A"/>
          <w:sz w:val="24"/>
        </w:rPr>
        <w:t>Participant and User Safeguards</w:t>
      </w:r>
    </w:p>
    <w:p>
      <w:pPr>
        <w:pStyle w:val="ListBullet"/>
        <w:ind w:left="283"/>
      </w:pPr>
      <w:r>
        <w:rPr>
          <w:sz w:val="20"/>
        </w:rPr>
        <w:t>Прозоре інформування про обробку даних.</w:t>
      </w:r>
    </w:p>
    <w:p>
      <w:pPr>
        <w:pStyle w:val="ListBullet"/>
        <w:ind w:left="283"/>
      </w:pPr>
      <w:r>
        <w:rPr>
          <w:sz w:val="20"/>
        </w:rPr>
        <w:t>Механізми opt-out де це допустимо.</w:t>
      </w:r>
    </w:p>
    <w:p>
      <w:pPr>
        <w:pStyle w:val="ListBullet"/>
        <w:ind w:left="283"/>
      </w:pPr>
      <w:r>
        <w:rPr>
          <w:sz w:val="20"/>
        </w:rPr>
        <w:t>Канали підтримки при дистрес-сигналах.</w:t>
      </w:r>
    </w:p>
    <w:p>
      <w:pPr>
        <w:pStyle w:val="Heading2"/>
      </w:pPr>
      <w:r>
        <w:rPr>
          <w:color w:val="1A569A"/>
          <w:sz w:val="24"/>
        </w:rPr>
        <w:t>Fairness and Inclusion</w:t>
      </w:r>
    </w:p>
    <w:p>
      <w:pPr>
        <w:pStyle w:val="ListBullet"/>
        <w:ind w:left="283"/>
      </w:pPr>
      <w:r>
        <w:rPr>
          <w:sz w:val="20"/>
        </w:rPr>
        <w:t>Audit by demographic and organizational segments (де юридично допустимо).</w:t>
      </w:r>
    </w:p>
    <w:p>
      <w:pPr>
        <w:pStyle w:val="ListBullet"/>
        <w:ind w:left="283"/>
      </w:pPr>
      <w:r>
        <w:rPr>
          <w:sz w:val="20"/>
        </w:rPr>
        <w:t>Monitoring disparate impact indicators.</w:t>
      </w:r>
    </w:p>
    <w:p>
      <w:pPr>
        <w:pStyle w:val="ListBullet"/>
        <w:ind w:left="283"/>
      </w:pPr>
      <w:r>
        <w:rPr>
          <w:sz w:val="20"/>
        </w:rPr>
        <w:t>Mitigation plan for detected imbalance.</w:t>
      </w:r>
    </w:p>
    <w:p>
      <w:pPr>
        <w:pStyle w:val="Heading2"/>
      </w:pPr>
      <w:r>
        <w:rPr>
          <w:color w:val="1A569A"/>
          <w:sz w:val="24"/>
        </w:rPr>
        <w:t>Explainability Ethics</w:t>
      </w:r>
    </w:p>
    <w:p>
      <w:pPr>
        <w:pStyle w:val="ListBullet"/>
        <w:ind w:left="283"/>
      </w:pPr>
      <w:r>
        <w:rPr>
          <w:sz w:val="20"/>
        </w:rPr>
        <w:t>Пояснення не повинні маніпулювати користувачем.</w:t>
      </w:r>
    </w:p>
    <w:p>
      <w:pPr>
        <w:pStyle w:val="ListBullet"/>
        <w:ind w:left="283"/>
      </w:pPr>
      <w:r>
        <w:rPr>
          <w:sz w:val="20"/>
        </w:rPr>
        <w:t>Формулювання мають уникати стигматизації.</w:t>
      </w:r>
    </w:p>
    <w:p>
      <w:pPr>
        <w:pStyle w:val="ListBullet"/>
        <w:ind w:left="283"/>
      </w:pPr>
      <w:r>
        <w:rPr>
          <w:sz w:val="20"/>
        </w:rPr>
        <w:t>Невизначеність має бути явно показана.</w:t>
      </w:r>
    </w:p>
    <w:p>
      <w:pPr>
        <w:pStyle w:val="Heading2"/>
      </w:pPr>
      <w:r>
        <w:rPr>
          <w:color w:val="1A569A"/>
          <w:sz w:val="24"/>
        </w:rPr>
        <w:t>Responsible Research Publication</w:t>
      </w:r>
    </w:p>
    <w:p>
      <w:pPr>
        <w:pStyle w:val="ListBullet"/>
        <w:ind w:left="283"/>
      </w:pPr>
      <w:r>
        <w:rPr>
          <w:sz w:val="20"/>
        </w:rPr>
        <w:t>No re-identification risk in published outputs.</w:t>
      </w:r>
    </w:p>
    <w:p>
      <w:pPr>
        <w:pStyle w:val="ListBullet"/>
        <w:ind w:left="283"/>
      </w:pPr>
      <w:r>
        <w:rPr>
          <w:sz w:val="20"/>
        </w:rPr>
        <w:t>Aggregated and privacy-preserving reporting.</w:t>
      </w:r>
    </w:p>
    <w:p>
      <w:pPr>
        <w:pStyle w:val="ListBullet"/>
        <w:ind w:left="283"/>
      </w:pPr>
      <w:r>
        <w:rPr>
          <w:sz w:val="20"/>
        </w:rPr>
        <w:t>Disclosure of methodological limitations.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Етичні ризики каталогізовані і мають власників.</w:t>
      </w:r>
    </w:p>
    <w:p>
      <w:pPr>
        <w:pStyle w:val="ListBullet"/>
        <w:ind w:left="283"/>
      </w:pPr>
      <w:r>
        <w:rPr>
          <w:sz w:val="20"/>
        </w:rPr>
        <w:t>Для high-impact workflows є ethics sign-off.</w:t>
      </w:r>
    </w:p>
    <w:p>
      <w:pPr>
        <w:pStyle w:val="ListBullet"/>
        <w:ind w:left="283"/>
      </w:pPr>
      <w:r>
        <w:rPr>
          <w:sz w:val="20"/>
        </w:rPr>
        <w:t>Є журнал етичних інцидентів та коригувальних дій.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20-explainability.md, 27-clinical-validation.md, 36-gdpr.md, 13-bias.md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