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Impact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Impact</w:t>
      </w:r>
    </w:p>
    <w:p>
      <w:r>
        <w:rPr>
          <w:sz w:val="20"/>
        </w:rPr>
        <w:t>Мова: Українська (default) | [English](38-impact.en.md)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Impact Lead</w:t>
      </w:r>
    </w:p>
    <w:p>
      <w:pPr>
        <w:pStyle w:val="ListBullet"/>
        <w:ind w:left="283"/>
      </w:pPr>
      <w:r>
        <w:rPr>
          <w:sz w:val="20"/>
        </w:rPr>
        <w:t>Contributors: Product, Research, Partnerships, Policy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Визначити цільовий impact проєкту на науковому, суспільному та економічному рівнях.</w:t>
      </w:r>
    </w:p>
    <w:p>
      <w:pPr>
        <w:pStyle w:val="Heading2"/>
      </w:pPr>
      <w:r>
        <w:rPr>
          <w:color w:val="1A569A"/>
          <w:sz w:val="24"/>
        </w:rPr>
        <w:t>Impact Pathways</w:t>
      </w:r>
    </w:p>
    <w:p>
      <w:pPr>
        <w:pStyle w:val="ListBullet"/>
        <w:ind w:left="283"/>
      </w:pPr>
      <w:r>
        <w:rPr>
          <w:sz w:val="20"/>
        </w:rPr>
        <w:t>Scientific: validated methods for explainable hybrid decision intelligence.</w:t>
      </w:r>
    </w:p>
    <w:p>
      <w:pPr>
        <w:pStyle w:val="ListBullet"/>
        <w:ind w:left="283"/>
      </w:pPr>
      <w:r>
        <w:rPr>
          <w:sz w:val="20"/>
        </w:rPr>
        <w:t>Societal: better early detection and response in wellbeing contexts.</w:t>
      </w:r>
    </w:p>
    <w:p>
      <w:pPr>
        <w:pStyle w:val="ListBullet"/>
        <w:ind w:left="283"/>
      </w:pPr>
      <w:r>
        <w:rPr>
          <w:sz w:val="20"/>
        </w:rPr>
        <w:t>Economic: improved organizational decision quality and productivity outcomes.</w:t>
      </w:r>
    </w:p>
    <w:p>
      <w:pPr>
        <w:pStyle w:val="Heading2"/>
      </w:pPr>
      <w:r>
        <w:rPr>
          <w:color w:val="1A569A"/>
          <w:sz w:val="24"/>
        </w:rPr>
        <w:t>Beneficiary Groups</w:t>
      </w:r>
    </w:p>
    <w:p>
      <w:pPr>
        <w:pStyle w:val="ListBullet"/>
        <w:ind w:left="283"/>
      </w:pPr>
      <w:r>
        <w:rPr>
          <w:sz w:val="20"/>
        </w:rPr>
        <w:t>Employees and individual users.</w:t>
      </w:r>
    </w:p>
    <w:p>
      <w:pPr>
        <w:pStyle w:val="ListBullet"/>
        <w:ind w:left="283"/>
      </w:pPr>
      <w:r>
        <w:rPr>
          <w:sz w:val="20"/>
        </w:rPr>
        <w:t>HR/managers and organizational leaders.</w:t>
      </w:r>
    </w:p>
    <w:p>
      <w:pPr>
        <w:pStyle w:val="ListBullet"/>
        <w:ind w:left="283"/>
      </w:pPr>
      <w:r>
        <w:rPr>
          <w:sz w:val="20"/>
        </w:rPr>
        <w:t>Researchers and innovation ecosystems.</w:t>
      </w:r>
    </w:p>
    <w:p>
      <w:pPr>
        <w:pStyle w:val="ListBullet"/>
        <w:ind w:left="283"/>
      </w:pPr>
      <w:r>
        <w:rPr>
          <w:sz w:val="20"/>
        </w:rPr>
        <w:t>Future integrators of DIP.</w:t>
      </w:r>
    </w:p>
    <w:p>
      <w:pPr>
        <w:pStyle w:val="Heading2"/>
      </w:pPr>
      <w:r>
        <w:rPr>
          <w:color w:val="1A569A"/>
          <w:sz w:val="24"/>
        </w:rPr>
        <w:t>Outcome Horizon</w:t>
      </w:r>
    </w:p>
    <w:p>
      <w:pPr>
        <w:pStyle w:val="ListBullet"/>
        <w:ind w:left="283"/>
      </w:pPr>
      <w:r>
        <w:rPr>
          <w:sz w:val="20"/>
        </w:rPr>
        <w:t>Short-term: improved decision transparency and adoption.</w:t>
      </w:r>
    </w:p>
    <w:p>
      <w:pPr>
        <w:pStyle w:val="ListBullet"/>
        <w:ind w:left="283"/>
      </w:pPr>
      <w:r>
        <w:rPr>
          <w:sz w:val="20"/>
        </w:rPr>
        <w:t>Mid-term: measurable reduction in unmanaged high-risk periods.</w:t>
      </w:r>
    </w:p>
    <w:p>
      <w:pPr>
        <w:pStyle w:val="ListBullet"/>
        <w:ind w:left="283"/>
      </w:pPr>
      <w:r>
        <w:rPr>
          <w:sz w:val="20"/>
        </w:rPr>
        <w:t>Long-term: reusable platform impact across multiple domains.</w:t>
      </w:r>
    </w:p>
    <w:p>
      <w:pPr>
        <w:pStyle w:val="Heading2"/>
      </w:pPr>
      <w:r>
        <w:rPr>
          <w:color w:val="1A569A"/>
          <w:sz w:val="24"/>
        </w:rPr>
        <w:t>Impact KPIs (Draft)</w:t>
      </w:r>
    </w:p>
    <w:p>
      <w:pPr>
        <w:pStyle w:val="ListBullet"/>
        <w:ind w:left="283"/>
      </w:pPr>
      <w:r>
        <w:rPr>
          <w:sz w:val="20"/>
        </w:rPr>
        <w:t>Trust and adoption uplift.</w:t>
      </w:r>
    </w:p>
    <w:p>
      <w:pPr>
        <w:pStyle w:val="ListBullet"/>
        <w:ind w:left="283"/>
      </w:pPr>
      <w:r>
        <w:rPr>
          <w:sz w:val="20"/>
        </w:rPr>
        <w:t>High-risk signal response timeliness.</w:t>
      </w:r>
    </w:p>
    <w:p>
      <w:pPr>
        <w:pStyle w:val="ListBullet"/>
        <w:ind w:left="283"/>
      </w:pPr>
      <w:r>
        <w:rPr>
          <w:sz w:val="20"/>
        </w:rPr>
        <w:t>Decision quality improvement vs baseline.</w:t>
      </w:r>
    </w:p>
    <w:p>
      <w:pPr>
        <w:pStyle w:val="ListBullet"/>
        <w:ind w:left="283"/>
      </w:pPr>
      <w:r>
        <w:rPr>
          <w:sz w:val="20"/>
        </w:rPr>
        <w:t>Number of reusable platform integrations.</w:t>
      </w:r>
    </w:p>
    <w:p>
      <w:pPr>
        <w:pStyle w:val="Heading2"/>
      </w:pPr>
      <w:r>
        <w:rPr>
          <w:color w:val="1A569A"/>
          <w:sz w:val="24"/>
        </w:rPr>
        <w:t>Measurement Strategy</w:t>
      </w:r>
    </w:p>
    <w:p>
      <w:pPr>
        <w:pStyle w:val="ListBullet"/>
        <w:ind w:left="283"/>
      </w:pPr>
      <w:r>
        <w:rPr>
          <w:sz w:val="20"/>
        </w:rPr>
        <w:t>Baseline vs post-intervention comparisons.</w:t>
      </w:r>
    </w:p>
    <w:p>
      <w:pPr>
        <w:pStyle w:val="ListBullet"/>
        <w:ind w:left="283"/>
      </w:pPr>
      <w:r>
        <w:rPr>
          <w:sz w:val="20"/>
        </w:rPr>
        <w:t>Segment-level impact monitoring.</w:t>
      </w:r>
    </w:p>
    <w:p>
      <w:pPr>
        <w:pStyle w:val="ListBullet"/>
        <w:ind w:left="283"/>
      </w:pPr>
      <w:r>
        <w:rPr>
          <w:sz w:val="20"/>
        </w:rPr>
        <w:t>Mixed-method evidence (quant + qualitative).</w:t>
      </w:r>
    </w:p>
    <w:p>
      <w:pPr>
        <w:pStyle w:val="Heading2"/>
      </w:pPr>
      <w:r>
        <w:rPr>
          <w:color w:val="1A569A"/>
          <w:sz w:val="24"/>
        </w:rPr>
        <w:t>Risks to Impact</w:t>
      </w:r>
    </w:p>
    <w:p>
      <w:pPr>
        <w:pStyle w:val="ListBullet"/>
        <w:ind w:left="283"/>
      </w:pPr>
      <w:r>
        <w:rPr>
          <w:sz w:val="20"/>
        </w:rPr>
        <w:t>Slow enterprise adoption.</w:t>
      </w:r>
    </w:p>
    <w:p>
      <w:pPr>
        <w:pStyle w:val="ListBullet"/>
        <w:ind w:left="283"/>
      </w:pPr>
      <w:r>
        <w:rPr>
          <w:sz w:val="20"/>
        </w:rPr>
        <w:t>Data quality variability.</w:t>
      </w:r>
    </w:p>
    <w:p>
      <w:pPr>
        <w:pStyle w:val="ListBullet"/>
        <w:ind w:left="283"/>
      </w:pPr>
      <w:r>
        <w:rPr>
          <w:sz w:val="20"/>
        </w:rPr>
        <w:t>Misinterpretation of signals without training.</w:t>
      </w:r>
    </w:p>
    <w:p>
      <w:pPr>
        <w:pStyle w:val="Heading2"/>
      </w:pPr>
      <w:r>
        <w:rPr>
          <w:color w:val="1A569A"/>
          <w:sz w:val="24"/>
        </w:rPr>
        <w:t>Mitigation</w:t>
      </w:r>
    </w:p>
    <w:p>
      <w:pPr>
        <w:pStyle w:val="ListBullet"/>
        <w:ind w:left="283"/>
      </w:pPr>
      <w:r>
        <w:rPr>
          <w:sz w:val="20"/>
        </w:rPr>
        <w:t>Governance-first onboarding playbooks.</w:t>
      </w:r>
    </w:p>
    <w:p>
      <w:pPr>
        <w:pStyle w:val="ListBullet"/>
        <w:ind w:left="283"/>
      </w:pPr>
      <w:r>
        <w:rPr>
          <w:sz w:val="20"/>
        </w:rPr>
        <w:t>Role-specific explainability and training assets.</w:t>
      </w:r>
    </w:p>
    <w:p>
      <w:pPr>
        <w:pStyle w:val="ListBullet"/>
        <w:ind w:left="283"/>
      </w:pPr>
      <w:r>
        <w:rPr>
          <w:sz w:val="20"/>
        </w:rPr>
        <w:t>Progressive rollout with guardrails.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Impact chain clearly maps outputs -&gt; outcomes -&gt; long-term effects.</w:t>
      </w:r>
    </w:p>
    <w:p>
      <w:pPr>
        <w:pStyle w:val="ListBullet"/>
        <w:ind w:left="283"/>
      </w:pPr>
      <w:r>
        <w:rPr>
          <w:sz w:val="20"/>
        </w:rPr>
        <w:t>KPIs are measurable and linked to data sources.</w:t>
      </w:r>
    </w:p>
    <w:p>
      <w:pPr>
        <w:pStyle w:val="ListBullet"/>
        <w:ind w:left="283"/>
      </w:pPr>
      <w:r>
        <w:rPr>
          <w:sz w:val="20"/>
        </w:rPr>
        <w:t>Impact claims remain evidence-bound and non-inflated.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39-exploitation.md, 40-commercialisation.md, 41-dissemination.md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