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Exploitation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Exploitation</w:t>
      </w:r>
    </w:p>
    <w:p>
      <w:r>
        <w:rPr>
          <w:sz w:val="20"/>
        </w:rPr>
        <w:t>Мова: Українська (default) | [English](39-exploitation.en.md)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Exploitation Lead</w:t>
      </w:r>
    </w:p>
    <w:p>
      <w:pPr>
        <w:pStyle w:val="ListBullet"/>
        <w:ind w:left="283"/>
      </w:pPr>
      <w:r>
        <w:rPr>
          <w:sz w:val="20"/>
        </w:rPr>
        <w:t>Contributors: Commercial Team, Legal, Platform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Описати, як результати R&amp;D будуть використані після завершення проєкту.</w:t>
      </w:r>
    </w:p>
    <w:p>
      <w:pPr>
        <w:pStyle w:val="Heading2"/>
      </w:pPr>
      <w:r>
        <w:rPr>
          <w:color w:val="1A569A"/>
          <w:sz w:val="24"/>
        </w:rPr>
        <w:t>Exploitable Assets</w:t>
      </w:r>
    </w:p>
    <w:p>
      <w:pPr>
        <w:pStyle w:val="ListBullet"/>
        <w:ind w:left="283"/>
      </w:pPr>
      <w:r>
        <w:rPr>
          <w:sz w:val="20"/>
        </w:rPr>
        <w:t>Platform architecture and decision contracts.</w:t>
      </w:r>
    </w:p>
    <w:p>
      <w:pPr>
        <w:pStyle w:val="ListBullet"/>
        <w:ind w:left="283"/>
      </w:pPr>
      <w:r>
        <w:rPr>
          <w:sz w:val="20"/>
        </w:rPr>
        <w:t>Validated policy/governance patterns.</w:t>
      </w:r>
    </w:p>
    <w:p>
      <w:pPr>
        <w:pStyle w:val="ListBullet"/>
        <w:ind w:left="283"/>
      </w:pPr>
      <w:r>
        <w:rPr>
          <w:sz w:val="20"/>
        </w:rPr>
        <w:t>Explainability and evaluation protocols.</w:t>
      </w:r>
    </w:p>
    <w:p>
      <w:pPr>
        <w:pStyle w:val="ListBullet"/>
        <w:ind w:left="283"/>
      </w:pPr>
      <w:r>
        <w:rPr>
          <w:sz w:val="20"/>
        </w:rPr>
        <w:t>Product integration playbooks.</w:t>
      </w:r>
    </w:p>
    <w:p>
      <w:pPr>
        <w:pStyle w:val="Heading2"/>
      </w:pPr>
      <w:r>
        <w:rPr>
          <w:color w:val="1A569A"/>
          <w:sz w:val="24"/>
        </w:rPr>
        <w:t>Exploitation Routes</w:t>
      </w:r>
    </w:p>
    <w:p>
      <w:pPr>
        <w:pStyle w:val="ListBullet"/>
        <w:ind w:left="283"/>
      </w:pPr>
      <w:r>
        <w:rPr>
          <w:sz w:val="20"/>
        </w:rPr>
        <w:t>Internal product scaling in Dzvin.co.</w:t>
      </w:r>
    </w:p>
    <w:p>
      <w:pPr>
        <w:pStyle w:val="ListBullet"/>
        <w:ind w:left="283"/>
      </w:pPr>
      <w:r>
        <w:rPr>
          <w:sz w:val="20"/>
        </w:rPr>
        <w:t>Platformization of DIP capabilities.</w:t>
      </w:r>
    </w:p>
    <w:p>
      <w:pPr>
        <w:pStyle w:val="ListBullet"/>
        <w:ind w:left="283"/>
      </w:pPr>
      <w:r>
        <w:rPr>
          <w:sz w:val="20"/>
        </w:rPr>
        <w:t>Partner-led implementations.</w:t>
      </w:r>
    </w:p>
    <w:p>
      <w:pPr>
        <w:pStyle w:val="ListBullet"/>
        <w:ind w:left="283"/>
      </w:pPr>
      <w:r>
        <w:rPr>
          <w:sz w:val="20"/>
        </w:rPr>
        <w:t>Research collaboration outputs.</w:t>
      </w:r>
    </w:p>
    <w:p>
      <w:pPr>
        <w:pStyle w:val="Heading2"/>
      </w:pPr>
      <w:r>
        <w:rPr>
          <w:color w:val="1A569A"/>
          <w:sz w:val="24"/>
        </w:rPr>
        <w:t>IP and Ownership Considerations</w:t>
      </w:r>
    </w:p>
    <w:p>
      <w:pPr>
        <w:pStyle w:val="ListBullet"/>
        <w:ind w:left="283"/>
      </w:pPr>
      <w:r>
        <w:rPr>
          <w:sz w:val="20"/>
        </w:rPr>
        <w:t>Asset inventory and ownership mapping.</w:t>
      </w:r>
    </w:p>
    <w:p>
      <w:pPr>
        <w:pStyle w:val="ListBullet"/>
        <w:ind w:left="283"/>
      </w:pPr>
      <w:r>
        <w:rPr>
          <w:sz w:val="20"/>
        </w:rPr>
        <w:t>Licensing strategy options.</w:t>
      </w:r>
    </w:p>
    <w:p>
      <w:pPr>
        <w:pStyle w:val="ListBullet"/>
        <w:ind w:left="283"/>
      </w:pPr>
      <w:r>
        <w:rPr>
          <w:sz w:val="20"/>
        </w:rPr>
        <w:t>Collaboration and publication boundaries.</w:t>
      </w:r>
    </w:p>
    <w:p>
      <w:pPr>
        <w:pStyle w:val="Heading2"/>
      </w:pPr>
      <w:r>
        <w:rPr>
          <w:color w:val="1A569A"/>
          <w:sz w:val="24"/>
        </w:rPr>
        <w:t>Post-Project Plan</w:t>
      </w:r>
    </w:p>
    <w:p>
      <w:pPr>
        <w:pStyle w:val="ListBullet"/>
        <w:ind w:left="283"/>
      </w:pPr>
      <w:r>
        <w:rPr>
          <w:sz w:val="20"/>
        </w:rPr>
        <w:t>Prioritized asset commercialization backlog.</w:t>
      </w:r>
    </w:p>
    <w:p>
      <w:pPr>
        <w:pStyle w:val="ListBullet"/>
        <w:ind w:left="283"/>
      </w:pPr>
      <w:r>
        <w:rPr>
          <w:sz w:val="20"/>
        </w:rPr>
        <w:t>Adoption targets by segment.</w:t>
      </w:r>
    </w:p>
    <w:p>
      <w:pPr>
        <w:pStyle w:val="ListBullet"/>
        <w:ind w:left="283"/>
      </w:pPr>
      <w:r>
        <w:rPr>
          <w:sz w:val="20"/>
        </w:rPr>
        <w:t>Maintenance and support model.</w:t>
      </w:r>
    </w:p>
    <w:p>
      <w:pPr>
        <w:pStyle w:val="Heading2"/>
      </w:pPr>
      <w:r>
        <w:rPr>
          <w:color w:val="1A569A"/>
          <w:sz w:val="24"/>
        </w:rPr>
        <w:t>Success Indicators</w:t>
      </w:r>
    </w:p>
    <w:p>
      <w:pPr>
        <w:pStyle w:val="ListBullet"/>
        <w:ind w:left="283"/>
      </w:pPr>
      <w:r>
        <w:rPr>
          <w:sz w:val="20"/>
        </w:rPr>
        <w:t>Number of assets moved to production use.</w:t>
      </w:r>
    </w:p>
    <w:p>
      <w:pPr>
        <w:pStyle w:val="ListBullet"/>
        <w:ind w:left="283"/>
      </w:pPr>
      <w:r>
        <w:rPr>
          <w:sz w:val="20"/>
        </w:rPr>
        <w:t>Number of partner integrations.</w:t>
      </w:r>
    </w:p>
    <w:p>
      <w:pPr>
        <w:pStyle w:val="ListBullet"/>
        <w:ind w:left="283"/>
      </w:pPr>
      <w:r>
        <w:rPr>
          <w:sz w:val="20"/>
        </w:rPr>
        <w:t>Revenue contribution of exploited outputs.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Кожен ключовий R&amp;D результат має exploitation route.</w:t>
      </w:r>
    </w:p>
    <w:p>
      <w:pPr>
        <w:pStyle w:val="ListBullet"/>
        <w:ind w:left="283"/>
      </w:pPr>
      <w:r>
        <w:rPr>
          <w:sz w:val="20"/>
        </w:rPr>
        <w:t>Ownership and usage rights are documented.</w:t>
      </w:r>
    </w:p>
    <w:p>
      <w:pPr>
        <w:pStyle w:val="ListBullet"/>
        <w:ind w:left="283"/>
      </w:pPr>
      <w:r>
        <w:rPr>
          <w:sz w:val="20"/>
        </w:rPr>
        <w:t>Exploitation milestones linked to WP and budget.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38-impact.md, 40-commercialisation.md, 42-work-packages.md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