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Commercialisation</w:t>
      </w:r>
    </w:p>
    <w:p>
      <w:pPr>
        <w:jc w:val="center"/>
      </w:pPr>
      <w:r>
        <w:rPr>
          <w:sz w:val="24"/>
        </w:rPr>
        <w:t>Grant Documentation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Commercialisation</w:t>
      </w:r>
    </w:p>
    <w:p>
      <w:r>
        <w:rPr>
          <w:sz w:val="20"/>
        </w:rPr>
        <w:t>Мова: Українська (default) | [English](40-commercialisation.en.md)</w:t>
      </w:r>
    </w:p>
    <w:p>
      <w:pPr>
        <w:pStyle w:val="Heading2"/>
      </w:pPr>
      <w:r>
        <w:rPr>
          <w:color w:val="1A569A"/>
          <w:sz w:val="24"/>
        </w:rPr>
        <w:t>Document Metadata</w:t>
      </w:r>
    </w:p>
    <w:p>
      <w:pPr>
        <w:pStyle w:val="ListBullet"/>
        <w:ind w:left="283"/>
      </w:pPr>
      <w:r>
        <w:rPr>
          <w:sz w:val="20"/>
        </w:rPr>
        <w:t>Owner: Commercial Lead</w:t>
      </w:r>
    </w:p>
    <w:p>
      <w:pPr>
        <w:pStyle w:val="ListBullet"/>
        <w:ind w:left="283"/>
      </w:pPr>
      <w:r>
        <w:rPr>
          <w:sz w:val="20"/>
        </w:rPr>
        <w:t>Contributors: Product, Partnerships, Strategy Team</w:t>
      </w:r>
    </w:p>
    <w:p>
      <w:pPr>
        <w:pStyle w:val="ListBullet"/>
        <w:ind w:left="283"/>
      </w:pPr>
      <w:r>
        <w:rPr>
          <w:sz w:val="20"/>
        </w:rPr>
        <w:t>Version: 0.2</w:t>
      </w:r>
    </w:p>
    <w:p>
      <w:pPr>
        <w:pStyle w:val="ListBullet"/>
        <w:ind w:left="283"/>
      </w:pPr>
      <w:r>
        <w:rPr>
          <w:sz w:val="20"/>
        </w:rPr>
        <w:t>Last Updated: 2026-08-01</w:t>
      </w:r>
    </w:p>
    <w:p>
      <w:pPr>
        <w:pStyle w:val="ListBullet"/>
        <w:ind w:left="283"/>
      </w:pPr>
      <w:r>
        <w:rPr>
          <w:sz w:val="20"/>
        </w:rPr>
        <w:t>Status: Draft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Сформувати комерційну стратегію для Dzvin.co + DIP після R&amp;D фази з акцентом на sustainability та масштабування.</w:t>
      </w:r>
    </w:p>
    <w:p>
      <w:pPr>
        <w:pStyle w:val="Heading2"/>
      </w:pPr>
      <w:r>
        <w:rPr>
          <w:color w:val="1A569A"/>
          <w:sz w:val="24"/>
        </w:rPr>
        <w:t>Commercial Model</w:t>
      </w:r>
    </w:p>
    <w:p>
      <w:pPr>
        <w:pStyle w:val="ListBullet"/>
        <w:ind w:left="283"/>
      </w:pPr>
      <w:r>
        <w:rPr>
          <w:sz w:val="20"/>
        </w:rPr>
        <w:t>Dzvin.co: B2B/B2B2C wellbeing solution for organizations.</w:t>
      </w:r>
    </w:p>
    <w:p>
      <w:pPr>
        <w:pStyle w:val="ListBullet"/>
        <w:ind w:left="283"/>
      </w:pPr>
      <w:r>
        <w:rPr>
          <w:sz w:val="20"/>
        </w:rPr>
        <w:t>DIP: platform licensing/integration model for decision intelligence use-cases.</w:t>
      </w:r>
    </w:p>
    <w:p>
      <w:pPr>
        <w:pStyle w:val="ListBullet"/>
        <w:ind w:left="283"/>
      </w:pPr>
      <w:r>
        <w:rPr>
          <w:sz w:val="20"/>
        </w:rPr>
        <w:t>Combined strategy: application revenue + platform leverage.</w:t>
      </w:r>
    </w:p>
    <w:p>
      <w:pPr>
        <w:pStyle w:val="Heading2"/>
      </w:pPr>
      <w:r>
        <w:rPr>
          <w:color w:val="1A569A"/>
          <w:sz w:val="24"/>
        </w:rPr>
        <w:t>Target Segments</w:t>
      </w:r>
    </w:p>
    <w:p>
      <w:pPr>
        <w:pStyle w:val="ListBullet"/>
        <w:ind w:left="283"/>
      </w:pPr>
      <w:r>
        <w:rPr>
          <w:sz w:val="20"/>
        </w:rPr>
        <w:t>Mid-size and enterprise employers.</w:t>
      </w:r>
    </w:p>
    <w:p>
      <w:pPr>
        <w:pStyle w:val="ListBullet"/>
        <w:ind w:left="283"/>
      </w:pPr>
      <w:r>
        <w:rPr>
          <w:sz w:val="20"/>
        </w:rPr>
        <w:t>HR/People Operations teams.</w:t>
      </w:r>
    </w:p>
    <w:p>
      <w:pPr>
        <w:pStyle w:val="ListBullet"/>
        <w:ind w:left="283"/>
      </w:pPr>
      <w:r>
        <w:rPr>
          <w:sz w:val="20"/>
        </w:rPr>
        <w:t>Partner ecosystems (integrators, consultancies, health programs).</w:t>
      </w:r>
    </w:p>
    <w:p>
      <w:pPr>
        <w:pStyle w:val="ListBullet"/>
        <w:ind w:left="283"/>
      </w:pPr>
      <w:r>
        <w:rPr>
          <w:sz w:val="20"/>
        </w:rPr>
        <w:t>Future cross-domain adopters for DIP modules.</w:t>
      </w:r>
    </w:p>
    <w:p>
      <w:pPr>
        <w:pStyle w:val="Heading2"/>
      </w:pPr>
      <w:r>
        <w:rPr>
          <w:color w:val="1A569A"/>
          <w:sz w:val="24"/>
        </w:rPr>
        <w:t>Value Propositions</w:t>
      </w:r>
    </w:p>
    <w:p>
      <w:pPr>
        <w:pStyle w:val="ListBullet"/>
        <w:ind w:left="283"/>
      </w:pPr>
      <w:r>
        <w:rPr>
          <w:sz w:val="20"/>
        </w:rPr>
        <w:t>Faster and more explainable risk-aware decisions.</w:t>
      </w:r>
    </w:p>
    <w:p>
      <w:pPr>
        <w:pStyle w:val="ListBullet"/>
        <w:ind w:left="283"/>
      </w:pPr>
      <w:r>
        <w:rPr>
          <w:sz w:val="20"/>
        </w:rPr>
        <w:t>Lower adoption friction via actionable outputs.</w:t>
      </w:r>
    </w:p>
    <w:p>
      <w:pPr>
        <w:pStyle w:val="ListBullet"/>
        <w:ind w:left="283"/>
      </w:pPr>
      <w:r>
        <w:rPr>
          <w:sz w:val="20"/>
        </w:rPr>
        <w:t>Auditability for governance-focused buyers.</w:t>
      </w:r>
    </w:p>
    <w:p>
      <w:pPr>
        <w:pStyle w:val="Heading2"/>
      </w:pPr>
      <w:r>
        <w:rPr>
          <w:color w:val="1A569A"/>
          <w:sz w:val="24"/>
        </w:rPr>
        <w:t>Go-to-Market Phases</w:t>
      </w:r>
    </w:p>
    <w:p>
      <w:r>
        <w:rPr>
          <w:sz w:val="20"/>
        </w:rPr>
        <w:t>1. Validation pilots and reference customers.</w:t>
      </w:r>
    </w:p>
    <w:p>
      <w:r>
        <w:rPr>
          <w:sz w:val="20"/>
        </w:rPr>
        <w:t>2. Repeatable deployment package.</w:t>
      </w:r>
    </w:p>
    <w:p>
      <w:r>
        <w:rPr>
          <w:sz w:val="20"/>
        </w:rPr>
        <w:t>3. Regional scaling with partner channels.</w:t>
      </w:r>
    </w:p>
    <w:p>
      <w:r>
        <w:rPr>
          <w:sz w:val="20"/>
        </w:rPr>
        <w:t>4. Platform extension into adjacent domains.</w:t>
      </w:r>
    </w:p>
    <w:p>
      <w:pPr>
        <w:pStyle w:val="Heading2"/>
      </w:pPr>
      <w:r>
        <w:rPr>
          <w:color w:val="1A569A"/>
          <w:sz w:val="24"/>
        </w:rPr>
        <w:t>Pricing and Packaging (Draft)</w:t>
      </w:r>
    </w:p>
    <w:p>
      <w:pPr>
        <w:pStyle w:val="ListBullet"/>
        <w:ind w:left="283"/>
      </w:pPr>
      <w:r>
        <w:rPr>
          <w:sz w:val="20"/>
        </w:rPr>
        <w:t>Dzvin.co: tiered subscription by active population and modules.</w:t>
      </w:r>
    </w:p>
    <w:p>
      <w:pPr>
        <w:pStyle w:val="ListBullet"/>
        <w:ind w:left="283"/>
      </w:pPr>
      <w:r>
        <w:rPr>
          <w:sz w:val="20"/>
        </w:rPr>
        <w:t>DIP: usage/license components by decision volume and capabilities.</w:t>
      </w:r>
    </w:p>
    <w:p>
      <w:pPr>
        <w:pStyle w:val="ListBullet"/>
        <w:ind w:left="283"/>
      </w:pPr>
      <w:r>
        <w:rPr>
          <w:sz w:val="20"/>
        </w:rPr>
        <w:t>Professional services: onboarding and governance setup.</w:t>
      </w:r>
    </w:p>
    <w:p>
      <w:pPr>
        <w:pStyle w:val="Heading2"/>
      </w:pPr>
      <w:r>
        <w:rPr>
          <w:color w:val="1A569A"/>
          <w:sz w:val="24"/>
        </w:rPr>
        <w:t>Commercial Risks</w:t>
      </w:r>
    </w:p>
    <w:p>
      <w:pPr>
        <w:pStyle w:val="ListBullet"/>
        <w:ind w:left="283"/>
      </w:pPr>
      <w:r>
        <w:rPr>
          <w:sz w:val="20"/>
        </w:rPr>
        <w:t>Long enterprise sales cycles.</w:t>
      </w:r>
    </w:p>
    <w:p>
      <w:pPr>
        <w:pStyle w:val="ListBullet"/>
        <w:ind w:left="283"/>
      </w:pPr>
      <w:r>
        <w:rPr>
          <w:sz w:val="20"/>
        </w:rPr>
        <w:t>Procurement and compliance barriers.</w:t>
      </w:r>
    </w:p>
    <w:p>
      <w:pPr>
        <w:pStyle w:val="ListBullet"/>
        <w:ind w:left="283"/>
      </w:pPr>
      <w:r>
        <w:rPr>
          <w:sz w:val="20"/>
        </w:rPr>
        <w:t>Need for localized regulatory adaptation.</w:t>
      </w:r>
    </w:p>
    <w:p>
      <w:pPr>
        <w:pStyle w:val="Heading2"/>
      </w:pPr>
      <w:r>
        <w:rPr>
          <w:color w:val="1A569A"/>
          <w:sz w:val="24"/>
        </w:rPr>
        <w:t>Mitigation</w:t>
      </w:r>
    </w:p>
    <w:p>
      <w:pPr>
        <w:pStyle w:val="ListBullet"/>
        <w:ind w:left="283"/>
      </w:pPr>
      <w:r>
        <w:rPr>
          <w:sz w:val="20"/>
        </w:rPr>
        <w:t>Build evidence-led sales assets from R&amp;D outcomes.</w:t>
      </w:r>
    </w:p>
    <w:p>
      <w:pPr>
        <w:pStyle w:val="ListBullet"/>
        <w:ind w:left="283"/>
      </w:pPr>
      <w:r>
        <w:rPr>
          <w:sz w:val="20"/>
        </w:rPr>
        <w:t>Standardized compliance documentation package.</w:t>
      </w:r>
    </w:p>
    <w:p>
      <w:pPr>
        <w:pStyle w:val="ListBullet"/>
        <w:ind w:left="283"/>
      </w:pPr>
      <w:r>
        <w:rPr>
          <w:sz w:val="20"/>
        </w:rPr>
        <w:t>Partner-led market entry in regulated sectors.</w:t>
      </w:r>
    </w:p>
    <w:p>
      <w:pPr>
        <w:pStyle w:val="Heading2"/>
      </w:pPr>
      <w:r>
        <w:rPr>
          <w:color w:val="1A569A"/>
          <w:sz w:val="24"/>
        </w:rPr>
        <w:t>Success Metrics</w:t>
      </w:r>
    </w:p>
    <w:p>
      <w:pPr>
        <w:pStyle w:val="ListBullet"/>
        <w:ind w:left="283"/>
      </w:pPr>
      <w:r>
        <w:rPr>
          <w:sz w:val="20"/>
        </w:rPr>
        <w:t>Pilot-to-paid conversion rate.</w:t>
      </w:r>
    </w:p>
    <w:p>
      <w:pPr>
        <w:pStyle w:val="ListBullet"/>
        <w:ind w:left="283"/>
      </w:pPr>
      <w:r>
        <w:rPr>
          <w:sz w:val="20"/>
        </w:rPr>
        <w:t>Net revenue retention.</w:t>
      </w:r>
    </w:p>
    <w:p>
      <w:pPr>
        <w:pStyle w:val="ListBullet"/>
        <w:ind w:left="283"/>
      </w:pPr>
      <w:r>
        <w:rPr>
          <w:sz w:val="20"/>
        </w:rPr>
        <w:t>Time-to-value after onboarding.</w:t>
      </w:r>
    </w:p>
    <w:p>
      <w:pPr>
        <w:pStyle w:val="ListBullet"/>
        <w:ind w:left="283"/>
      </w:pPr>
      <w:r>
        <w:rPr>
          <w:sz w:val="20"/>
        </w:rPr>
        <w:t>Platform attachment rate (DIP-enabled modules).</w:t>
      </w:r>
    </w:p>
    <w:p>
      <w:pPr>
        <w:pStyle w:val="Heading2"/>
      </w:pPr>
      <w:r>
        <w:rPr>
          <w:color w:val="1A569A"/>
          <w:sz w:val="24"/>
        </w:rPr>
        <w:t>Acceptance Criteria</w:t>
      </w:r>
    </w:p>
    <w:p>
      <w:pPr>
        <w:pStyle w:val="ListBullet"/>
        <w:ind w:left="283"/>
      </w:pPr>
      <w:r>
        <w:rPr>
          <w:sz w:val="20"/>
        </w:rPr>
        <w:t>Є чіткий шлях від R&amp;D результатів до revenue streams.</w:t>
      </w:r>
    </w:p>
    <w:p>
      <w:pPr>
        <w:pStyle w:val="ListBullet"/>
        <w:ind w:left="283"/>
      </w:pPr>
      <w:r>
        <w:rPr>
          <w:sz w:val="20"/>
        </w:rPr>
        <w:t>GTM гіпотези підкріплені pilot evidence.</w:t>
      </w:r>
    </w:p>
    <w:p>
      <w:pPr>
        <w:pStyle w:val="ListBullet"/>
        <w:ind w:left="283"/>
      </w:pPr>
      <w:r>
        <w:rPr>
          <w:sz w:val="20"/>
        </w:rPr>
        <w:t>Commercial KPI framework узгоджений з impact KPI.</w:t>
      </w:r>
    </w:p>
    <w:p>
      <w:pPr>
        <w:pStyle w:val="Heading2"/>
      </w:pPr>
      <w:r>
        <w:rPr>
          <w:color w:val="1A569A"/>
          <w:sz w:val="24"/>
        </w:rPr>
        <w:t>Links</w:t>
      </w:r>
    </w:p>
    <w:p>
      <w:pPr>
        <w:pStyle w:val="ListBullet"/>
        <w:ind w:left="283"/>
      </w:pPr>
      <w:r>
        <w:rPr>
          <w:sz w:val="20"/>
        </w:rPr>
        <w:t>Related docs: 31-dzvin.md, 32-dip.md, 38-impact.md, 39-exploitation.md, 41-dissemination.md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