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Dissemination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Dissemination</w:t>
      </w:r>
    </w:p>
    <w:p>
      <w:r>
        <w:rPr>
          <w:sz w:val="20"/>
        </w:rPr>
        <w:t>Мова: Українська (default) | [English](41-dissemination.en.md)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Dissemination Lead</w:t>
      </w:r>
    </w:p>
    <w:p>
      <w:pPr>
        <w:pStyle w:val="ListBullet"/>
        <w:ind w:left="283"/>
      </w:pPr>
      <w:r>
        <w:rPr>
          <w:sz w:val="20"/>
        </w:rPr>
        <w:t>Contributors: Scientific Coordinator, Marketing, Partnerships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план поширення результатів проєкту для наукових, професійних та ринкових аудиторій.</w:t>
      </w:r>
    </w:p>
    <w:p>
      <w:pPr>
        <w:pStyle w:val="Heading2"/>
      </w:pPr>
      <w:r>
        <w:rPr>
          <w:color w:val="1A569A"/>
          <w:sz w:val="24"/>
        </w:rPr>
        <w:t>Target Audiences</w:t>
      </w:r>
    </w:p>
    <w:p>
      <w:pPr>
        <w:pStyle w:val="ListBullet"/>
        <w:ind w:left="283"/>
      </w:pPr>
      <w:r>
        <w:rPr>
          <w:sz w:val="20"/>
        </w:rPr>
        <w:t>Scientific community</w:t>
      </w:r>
    </w:p>
    <w:p>
      <w:pPr>
        <w:pStyle w:val="ListBullet"/>
        <w:ind w:left="283"/>
      </w:pPr>
      <w:r>
        <w:rPr>
          <w:sz w:val="20"/>
        </w:rPr>
        <w:t>Industry practitioners</w:t>
      </w:r>
    </w:p>
    <w:p>
      <w:pPr>
        <w:pStyle w:val="ListBullet"/>
        <w:ind w:left="283"/>
      </w:pPr>
      <w:r>
        <w:rPr>
          <w:sz w:val="20"/>
        </w:rPr>
        <w:t>Enterprise decision-makers</w:t>
      </w:r>
    </w:p>
    <w:p>
      <w:pPr>
        <w:pStyle w:val="ListBullet"/>
        <w:ind w:left="283"/>
      </w:pPr>
      <w:r>
        <w:rPr>
          <w:sz w:val="20"/>
        </w:rPr>
        <w:t>Public innovation stakeholders</w:t>
      </w:r>
    </w:p>
    <w:p>
      <w:pPr>
        <w:pStyle w:val="Heading2"/>
      </w:pPr>
      <w:r>
        <w:rPr>
          <w:color w:val="1A569A"/>
          <w:sz w:val="24"/>
        </w:rPr>
        <w:t>Dissemination Channels</w:t>
      </w:r>
    </w:p>
    <w:p>
      <w:pPr>
        <w:pStyle w:val="ListBullet"/>
        <w:ind w:left="283"/>
      </w:pPr>
      <w:r>
        <w:rPr>
          <w:sz w:val="20"/>
        </w:rPr>
        <w:t>Peer-reviewed publications.</w:t>
      </w:r>
    </w:p>
    <w:p>
      <w:pPr>
        <w:pStyle w:val="ListBullet"/>
        <w:ind w:left="283"/>
      </w:pPr>
      <w:r>
        <w:rPr>
          <w:sz w:val="20"/>
        </w:rPr>
        <w:t>Conference talks/workshops.</w:t>
      </w:r>
    </w:p>
    <w:p>
      <w:pPr>
        <w:pStyle w:val="ListBullet"/>
        <w:ind w:left="283"/>
      </w:pPr>
      <w:r>
        <w:rPr>
          <w:sz w:val="20"/>
        </w:rPr>
        <w:t>Technical whitepapers and briefs.</w:t>
      </w:r>
    </w:p>
    <w:p>
      <w:pPr>
        <w:pStyle w:val="ListBullet"/>
        <w:ind w:left="283"/>
      </w:pPr>
      <w:r>
        <w:rPr>
          <w:sz w:val="20"/>
        </w:rPr>
        <w:t>Webinars and partner events.</w:t>
      </w:r>
    </w:p>
    <w:p>
      <w:pPr>
        <w:pStyle w:val="Heading2"/>
      </w:pPr>
      <w:r>
        <w:rPr>
          <w:color w:val="1A569A"/>
          <w:sz w:val="24"/>
        </w:rPr>
        <w:t>Content Streams</w:t>
      </w:r>
    </w:p>
    <w:p>
      <w:pPr>
        <w:pStyle w:val="ListBullet"/>
        <w:ind w:left="283"/>
      </w:pPr>
      <w:r>
        <w:rPr>
          <w:sz w:val="20"/>
        </w:rPr>
        <w:t>Methodology and evaluation insights.</w:t>
      </w:r>
    </w:p>
    <w:p>
      <w:pPr>
        <w:pStyle w:val="ListBullet"/>
        <w:ind w:left="283"/>
      </w:pPr>
      <w:r>
        <w:rPr>
          <w:sz w:val="20"/>
        </w:rPr>
        <w:t>Explainability and governance practices.</w:t>
      </w:r>
    </w:p>
    <w:p>
      <w:pPr>
        <w:pStyle w:val="ListBullet"/>
        <w:ind w:left="283"/>
      </w:pPr>
      <w:r>
        <w:rPr>
          <w:sz w:val="20"/>
        </w:rPr>
        <w:t>Product and deployment lessons.</w:t>
      </w:r>
    </w:p>
    <w:p>
      <w:pPr>
        <w:pStyle w:val="Heading2"/>
      </w:pPr>
      <w:r>
        <w:rPr>
          <w:color w:val="1A569A"/>
          <w:sz w:val="24"/>
        </w:rPr>
        <w:t>Open Science and Privacy Balance</w:t>
      </w:r>
    </w:p>
    <w:p>
      <w:pPr>
        <w:pStyle w:val="ListBullet"/>
        <w:ind w:left="283"/>
      </w:pPr>
      <w:r>
        <w:rPr>
          <w:sz w:val="20"/>
        </w:rPr>
        <w:t>Publish aggregated, non-identifiable evidence.</w:t>
      </w:r>
    </w:p>
    <w:p>
      <w:pPr>
        <w:pStyle w:val="ListBullet"/>
        <w:ind w:left="283"/>
      </w:pPr>
      <w:r>
        <w:rPr>
          <w:sz w:val="20"/>
        </w:rPr>
        <w:t>Preserve confidentiality and contractual constraints.</w:t>
      </w:r>
    </w:p>
    <w:p>
      <w:pPr>
        <w:pStyle w:val="ListBullet"/>
        <w:ind w:left="283"/>
      </w:pPr>
      <w:r>
        <w:rPr>
          <w:sz w:val="20"/>
        </w:rPr>
        <w:t>Provide reproducibility artifacts where appropriate.</w:t>
      </w:r>
    </w:p>
    <w:p>
      <w:pPr>
        <w:pStyle w:val="Heading2"/>
      </w:pPr>
      <w:r>
        <w:rPr>
          <w:color w:val="1A569A"/>
          <w:sz w:val="24"/>
        </w:rPr>
        <w:t>Timeline</w:t>
      </w:r>
    </w:p>
    <w:p>
      <w:pPr>
        <w:pStyle w:val="ListBullet"/>
        <w:ind w:left="283"/>
      </w:pPr>
      <w:r>
        <w:rPr>
          <w:sz w:val="20"/>
        </w:rPr>
        <w:t>Early: framing and protocol publications.</w:t>
      </w:r>
    </w:p>
    <w:p>
      <w:pPr>
        <w:pStyle w:val="ListBullet"/>
        <w:ind w:left="283"/>
      </w:pPr>
      <w:r>
        <w:rPr>
          <w:sz w:val="20"/>
        </w:rPr>
        <w:t>Mid: interim findings and technical notes.</w:t>
      </w:r>
    </w:p>
    <w:p>
      <w:pPr>
        <w:pStyle w:val="ListBullet"/>
        <w:ind w:left="283"/>
      </w:pPr>
      <w:r>
        <w:rPr>
          <w:sz w:val="20"/>
        </w:rPr>
        <w:t>Late: validated outcomes and implementation guidance.</w:t>
      </w:r>
    </w:p>
    <w:p>
      <w:pPr>
        <w:pStyle w:val="Heading2"/>
      </w:pPr>
      <w:r>
        <w:rPr>
          <w:color w:val="1A569A"/>
          <w:sz w:val="24"/>
        </w:rPr>
        <w:t>KPIs</w:t>
      </w:r>
    </w:p>
    <w:p>
      <w:pPr>
        <w:pStyle w:val="ListBullet"/>
        <w:ind w:left="283"/>
      </w:pPr>
      <w:r>
        <w:rPr>
          <w:sz w:val="20"/>
        </w:rPr>
        <w:t>Number/quality of publications.</w:t>
      </w:r>
    </w:p>
    <w:p>
      <w:pPr>
        <w:pStyle w:val="ListBullet"/>
        <w:ind w:left="283"/>
      </w:pPr>
      <w:r>
        <w:rPr>
          <w:sz w:val="20"/>
        </w:rPr>
        <w:t>Audience reach and engagement.</w:t>
      </w:r>
    </w:p>
    <w:p>
      <w:pPr>
        <w:pStyle w:val="ListBullet"/>
        <w:ind w:left="283"/>
      </w:pPr>
      <w:r>
        <w:rPr>
          <w:sz w:val="20"/>
        </w:rPr>
        <w:t>Citation and collaboration signals.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Dissemination assets mapped to milestones.</w:t>
      </w:r>
    </w:p>
    <w:p>
      <w:pPr>
        <w:pStyle w:val="ListBullet"/>
        <w:ind w:left="283"/>
      </w:pPr>
      <w:r>
        <w:rPr>
          <w:sz w:val="20"/>
        </w:rPr>
        <w:t>Compliance and privacy checks integrated.</w:t>
      </w:r>
    </w:p>
    <w:p>
      <w:pPr>
        <w:pStyle w:val="ListBullet"/>
        <w:ind w:left="283"/>
      </w:pPr>
      <w:r>
        <w:rPr>
          <w:sz w:val="20"/>
        </w:rPr>
        <w:t>Measurable outreach KPIs defined.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38-impact.md, 39-exploitation.md, 30-reproducibility.md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