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Budget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Budget</w:t>
      </w:r>
    </w:p>
    <w:p>
      <w:r>
        <w:rPr>
          <w:sz w:val="20"/>
        </w:rPr>
        <w:t>Мова: Українська (default) | [English](43-budget.en.md)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Finance Lead</w:t>
      </w:r>
    </w:p>
    <w:p>
      <w:pPr>
        <w:pStyle w:val="ListBullet"/>
        <w:ind w:left="283"/>
      </w:pPr>
      <w:r>
        <w:rPr>
          <w:sz w:val="20"/>
        </w:rPr>
        <w:t>Contributors: Program Manager, Technical Leads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бюджетну структуру R&amp;D програми та обгрунтування витрат під Work Packages.</w:t>
      </w:r>
    </w:p>
    <w:p>
      <w:pPr>
        <w:pStyle w:val="Heading2"/>
      </w:pPr>
      <w:r>
        <w:rPr>
          <w:color w:val="1A569A"/>
          <w:sz w:val="24"/>
        </w:rPr>
        <w:t>Budget Principles</w:t>
      </w:r>
    </w:p>
    <w:p>
      <w:pPr>
        <w:pStyle w:val="ListBullet"/>
        <w:ind w:left="283"/>
      </w:pPr>
      <w:r>
        <w:rPr>
          <w:sz w:val="20"/>
        </w:rPr>
        <w:t>Cost realism and traceability.</w:t>
      </w:r>
    </w:p>
    <w:p>
      <w:pPr>
        <w:pStyle w:val="ListBullet"/>
        <w:ind w:left="283"/>
      </w:pPr>
      <w:r>
        <w:rPr>
          <w:sz w:val="20"/>
        </w:rPr>
        <w:t>Direct linkage: cost item -&gt; WP deliverable.</w:t>
      </w:r>
    </w:p>
    <w:p>
      <w:pPr>
        <w:pStyle w:val="ListBullet"/>
        <w:ind w:left="283"/>
      </w:pPr>
      <w:r>
        <w:rPr>
          <w:sz w:val="20"/>
        </w:rPr>
        <w:t>Compliance with grant eligibility rules.</w:t>
      </w:r>
    </w:p>
    <w:p>
      <w:pPr>
        <w:pStyle w:val="ListBullet"/>
        <w:ind w:left="283"/>
      </w:pPr>
      <w:r>
        <w:rPr>
          <w:sz w:val="20"/>
        </w:rPr>
        <w:t>Transparent overhead treatment.</w:t>
      </w:r>
    </w:p>
    <w:p>
      <w:pPr>
        <w:pStyle w:val="Heading2"/>
      </w:pPr>
      <w:r>
        <w:rPr>
          <w:color w:val="1A569A"/>
          <w:sz w:val="24"/>
        </w:rPr>
        <w:t>Cost Categories</w:t>
      </w:r>
    </w:p>
    <w:p>
      <w:pPr>
        <w:pStyle w:val="ListBullet"/>
        <w:ind w:left="283"/>
      </w:pPr>
      <w:r>
        <w:rPr>
          <w:sz w:val="20"/>
        </w:rPr>
        <w:t>Personnel</w:t>
      </w:r>
    </w:p>
    <w:p>
      <w:pPr>
        <w:pStyle w:val="ListBullet"/>
        <w:ind w:left="283"/>
      </w:pPr>
      <w:r>
        <w:rPr>
          <w:sz w:val="20"/>
        </w:rPr>
        <w:t>Subcontracting</w:t>
      </w:r>
    </w:p>
    <w:p>
      <w:pPr>
        <w:pStyle w:val="ListBullet"/>
        <w:ind w:left="283"/>
      </w:pPr>
      <w:r>
        <w:rPr>
          <w:sz w:val="20"/>
        </w:rPr>
        <w:t>Equipment and infrastructure</w:t>
      </w:r>
    </w:p>
    <w:p>
      <w:pPr>
        <w:pStyle w:val="ListBullet"/>
        <w:ind w:left="283"/>
      </w:pPr>
      <w:r>
        <w:rPr>
          <w:sz w:val="20"/>
        </w:rPr>
        <w:t>Cloud/software/services</w:t>
      </w:r>
    </w:p>
    <w:p>
      <w:pPr>
        <w:pStyle w:val="ListBullet"/>
        <w:ind w:left="283"/>
      </w:pPr>
      <w:r>
        <w:rPr>
          <w:sz w:val="20"/>
        </w:rPr>
        <w:t>Travel and dissemination</w:t>
      </w:r>
    </w:p>
    <w:p>
      <w:pPr>
        <w:pStyle w:val="ListBullet"/>
        <w:ind w:left="283"/>
      </w:pPr>
      <w:r>
        <w:rPr>
          <w:sz w:val="20"/>
        </w:rPr>
        <w:t>Indirect costs</w:t>
      </w:r>
    </w:p>
    <w:p>
      <w:pPr>
        <w:pStyle w:val="Heading2"/>
      </w:pPr>
      <w:r>
        <w:rPr>
          <w:color w:val="1A569A"/>
          <w:sz w:val="24"/>
        </w:rPr>
        <w:t>Allocation Logic</w:t>
      </w:r>
    </w:p>
    <w:p>
      <w:pPr>
        <w:pStyle w:val="ListBullet"/>
        <w:ind w:left="283"/>
      </w:pPr>
      <w:r>
        <w:rPr>
          <w:sz w:val="20"/>
        </w:rPr>
        <w:t>WP2/WP3: highest technical development and data governance share.</w:t>
      </w:r>
    </w:p>
    <w:p>
      <w:pPr>
        <w:pStyle w:val="ListBullet"/>
        <w:ind w:left="283"/>
      </w:pPr>
      <w:r>
        <w:rPr>
          <w:sz w:val="20"/>
        </w:rPr>
        <w:t>WP4: evaluation and validation intensive share.</w:t>
      </w:r>
    </w:p>
    <w:p>
      <w:pPr>
        <w:pStyle w:val="ListBullet"/>
        <w:ind w:left="283"/>
      </w:pPr>
      <w:r>
        <w:rPr>
          <w:sz w:val="20"/>
        </w:rPr>
        <w:t>WP5: pilot deployment and support share.</w:t>
      </w:r>
    </w:p>
    <w:p>
      <w:pPr>
        <w:pStyle w:val="ListBullet"/>
        <w:ind w:left="283"/>
      </w:pPr>
      <w:r>
        <w:rPr>
          <w:sz w:val="20"/>
        </w:rPr>
        <w:t>WP1/WP6: management, dissemination, exploitation share.</w:t>
      </w:r>
    </w:p>
    <w:p>
      <w:pPr>
        <w:pStyle w:val="Heading2"/>
      </w:pPr>
      <w:r>
        <w:rPr>
          <w:color w:val="1A569A"/>
          <w:sz w:val="24"/>
        </w:rPr>
        <w:t>Personnel Assumptions</w:t>
      </w:r>
    </w:p>
    <w:p>
      <w:pPr>
        <w:pStyle w:val="ListBullet"/>
        <w:ind w:left="283"/>
      </w:pPr>
      <w:r>
        <w:rPr>
          <w:sz w:val="20"/>
        </w:rPr>
        <w:t>Defined FTE matrix by role and WP.</w:t>
      </w:r>
    </w:p>
    <w:p>
      <w:pPr>
        <w:pStyle w:val="ListBullet"/>
        <w:ind w:left="283"/>
      </w:pPr>
      <w:r>
        <w:rPr>
          <w:sz w:val="20"/>
        </w:rPr>
        <w:t>Role rates documented with policy source.</w:t>
      </w:r>
    </w:p>
    <w:p>
      <w:pPr>
        <w:pStyle w:val="ListBullet"/>
        <w:ind w:left="283"/>
      </w:pPr>
      <w:r>
        <w:rPr>
          <w:sz w:val="20"/>
        </w:rPr>
        <w:t>Capacity buffers for risk mitigation tasks.</w:t>
      </w:r>
    </w:p>
    <w:p>
      <w:pPr>
        <w:pStyle w:val="Heading2"/>
      </w:pPr>
      <w:r>
        <w:rPr>
          <w:color w:val="1A569A"/>
          <w:sz w:val="24"/>
        </w:rPr>
        <w:t>Infrastructure Assumptions</w:t>
      </w:r>
    </w:p>
    <w:p>
      <w:pPr>
        <w:pStyle w:val="ListBullet"/>
        <w:ind w:left="283"/>
      </w:pPr>
      <w:r>
        <w:rPr>
          <w:sz w:val="20"/>
        </w:rPr>
        <w:t>Compute for model training and evaluation.</w:t>
      </w:r>
    </w:p>
    <w:p>
      <w:pPr>
        <w:pStyle w:val="ListBullet"/>
        <w:ind w:left="283"/>
      </w:pPr>
      <w:r>
        <w:rPr>
          <w:sz w:val="20"/>
        </w:rPr>
        <w:t>Storage for datasets, artifacts, and audit logs.</w:t>
      </w:r>
    </w:p>
    <w:p>
      <w:pPr>
        <w:pStyle w:val="ListBullet"/>
        <w:ind w:left="283"/>
      </w:pPr>
      <w:r>
        <w:rPr>
          <w:sz w:val="20"/>
        </w:rPr>
        <w:t>Security/compliance tooling.</w:t>
      </w:r>
    </w:p>
    <w:p>
      <w:pPr>
        <w:pStyle w:val="Heading2"/>
      </w:pPr>
      <w:r>
        <w:rPr>
          <w:color w:val="1A569A"/>
          <w:sz w:val="24"/>
        </w:rPr>
        <w:t>Contingency Policy</w:t>
      </w:r>
    </w:p>
    <w:p>
      <w:pPr>
        <w:pStyle w:val="ListBullet"/>
        <w:ind w:left="283"/>
      </w:pPr>
      <w:r>
        <w:rPr>
          <w:sz w:val="20"/>
        </w:rPr>
        <w:t>Controlled contingency reserve for technical risk.</w:t>
      </w:r>
    </w:p>
    <w:p>
      <w:pPr>
        <w:pStyle w:val="ListBullet"/>
        <w:ind w:left="283"/>
      </w:pPr>
      <w:r>
        <w:rPr>
          <w:sz w:val="20"/>
        </w:rPr>
        <w:t>Governance for reallocation approvals.</w:t>
      </w:r>
    </w:p>
    <w:p>
      <w:pPr>
        <w:pStyle w:val="ListBullet"/>
        <w:ind w:left="283"/>
      </w:pPr>
      <w:r>
        <w:rPr>
          <w:sz w:val="20"/>
        </w:rPr>
        <w:t>No use for non-eligible activities.</w:t>
      </w:r>
    </w:p>
    <w:p>
      <w:pPr>
        <w:pStyle w:val="Heading2"/>
      </w:pPr>
      <w:r>
        <w:rPr>
          <w:color w:val="1A569A"/>
          <w:sz w:val="24"/>
        </w:rPr>
        <w:t>Budget Risks</w:t>
      </w:r>
    </w:p>
    <w:p>
      <w:pPr>
        <w:pStyle w:val="ListBullet"/>
        <w:ind w:left="283"/>
      </w:pPr>
      <w:r>
        <w:rPr>
          <w:sz w:val="20"/>
        </w:rPr>
        <w:t>Underestimation of compliance workload.</w:t>
      </w:r>
    </w:p>
    <w:p>
      <w:pPr>
        <w:pStyle w:val="ListBullet"/>
        <w:ind w:left="283"/>
      </w:pPr>
      <w:r>
        <w:rPr>
          <w:sz w:val="20"/>
        </w:rPr>
        <w:t>Pilot expansion beyond planned scope.</w:t>
      </w:r>
    </w:p>
    <w:p>
      <w:pPr>
        <w:pStyle w:val="ListBullet"/>
        <w:ind w:left="283"/>
      </w:pPr>
      <w:r>
        <w:rPr>
          <w:sz w:val="20"/>
        </w:rPr>
        <w:t>Vendor cost volatility.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Кожна бюджетна стаття має WP mapping.</w:t>
      </w:r>
    </w:p>
    <w:p>
      <w:pPr>
        <w:pStyle w:val="ListBullet"/>
        <w:ind w:left="283"/>
      </w:pPr>
      <w:r>
        <w:rPr>
          <w:sz w:val="20"/>
        </w:rPr>
        <w:t>Є обгрунтування для всіх major cost drivers.</w:t>
      </w:r>
    </w:p>
    <w:p>
      <w:pPr>
        <w:pStyle w:val="ListBullet"/>
        <w:ind w:left="283"/>
      </w:pPr>
      <w:r>
        <w:rPr>
          <w:sz w:val="20"/>
        </w:rPr>
        <w:t>Бюджет проходить internal compliance review.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42-work-packages.md, 44-risk-management.md, 40-commercialisation.md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