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Risk Management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Risk Management</w:t>
      </w:r>
    </w:p>
    <w:p>
      <w:r>
        <w:rPr>
          <w:sz w:val="20"/>
        </w:rPr>
        <w:t>Мова: Українська (default) | [English](44-risk-management.en.md)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Risk Manager</w:t>
      </w:r>
    </w:p>
    <w:p>
      <w:pPr>
        <w:pStyle w:val="ListBullet"/>
        <w:ind w:left="283"/>
      </w:pPr>
      <w:r>
        <w:rPr>
          <w:sz w:val="20"/>
        </w:rPr>
        <w:t>Contributors: All Work Package Leads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Сформувати єдиний risk management framework для наукових, технічних, регуляторних, операційних і комерційних ризиків.</w:t>
      </w:r>
    </w:p>
    <w:p>
      <w:pPr>
        <w:pStyle w:val="Heading2"/>
      </w:pPr>
      <w:r>
        <w:rPr>
          <w:color w:val="1A569A"/>
          <w:sz w:val="24"/>
        </w:rPr>
        <w:t>Risk Categories</w:t>
      </w:r>
    </w:p>
    <w:p>
      <w:pPr>
        <w:pStyle w:val="ListBullet"/>
        <w:ind w:left="283"/>
      </w:pPr>
      <w:r>
        <w:rPr>
          <w:sz w:val="20"/>
        </w:rPr>
        <w:t>Scientific risk</w:t>
      </w:r>
    </w:p>
    <w:p>
      <w:pPr>
        <w:pStyle w:val="ListBullet"/>
        <w:ind w:left="283"/>
      </w:pPr>
      <w:r>
        <w:rPr>
          <w:sz w:val="20"/>
        </w:rPr>
        <w:t>Data/quality risk</w:t>
      </w:r>
    </w:p>
    <w:p>
      <w:pPr>
        <w:pStyle w:val="ListBullet"/>
        <w:ind w:left="283"/>
      </w:pPr>
      <w:r>
        <w:rPr>
          <w:sz w:val="20"/>
        </w:rPr>
        <w:t>Technical/architecture risk</w:t>
      </w:r>
    </w:p>
    <w:p>
      <w:pPr>
        <w:pStyle w:val="ListBullet"/>
        <w:ind w:left="283"/>
      </w:pPr>
      <w:r>
        <w:rPr>
          <w:sz w:val="20"/>
        </w:rPr>
        <w:t>Security/privacy risk</w:t>
      </w:r>
    </w:p>
    <w:p>
      <w:pPr>
        <w:pStyle w:val="ListBullet"/>
        <w:ind w:left="283"/>
      </w:pPr>
      <w:r>
        <w:rPr>
          <w:sz w:val="20"/>
        </w:rPr>
        <w:t>Compliance/ethics risk</w:t>
      </w:r>
    </w:p>
    <w:p>
      <w:pPr>
        <w:pStyle w:val="ListBullet"/>
        <w:ind w:left="283"/>
      </w:pPr>
      <w:r>
        <w:rPr>
          <w:sz w:val="20"/>
        </w:rPr>
        <w:t>Adoption/commercial risk</w:t>
      </w:r>
    </w:p>
    <w:p>
      <w:pPr>
        <w:pStyle w:val="Heading2"/>
      </w:pPr>
      <w:r>
        <w:rPr>
          <w:color w:val="1A569A"/>
          <w:sz w:val="24"/>
        </w:rPr>
        <w:t>Risk Register Model</w:t>
      </w:r>
    </w:p>
    <w:p>
      <w:r>
        <w:rPr>
          <w:sz w:val="20"/>
        </w:rPr>
        <w:t>Для кожного ризику:</w:t>
      </w:r>
    </w:p>
    <w:p>
      <w:pPr>
        <w:pStyle w:val="ListBullet"/>
        <w:ind w:left="283"/>
      </w:pPr>
      <w:r>
        <w:rPr>
          <w:sz w:val="20"/>
        </w:rPr>
        <w:t>risk_id</w:t>
      </w:r>
    </w:p>
    <w:p>
      <w:pPr>
        <w:pStyle w:val="ListBullet"/>
        <w:ind w:left="283"/>
      </w:pPr>
      <w:r>
        <w:rPr>
          <w:sz w:val="20"/>
        </w:rPr>
        <w:t>description</w:t>
      </w:r>
    </w:p>
    <w:p>
      <w:pPr>
        <w:pStyle w:val="ListBullet"/>
        <w:ind w:left="283"/>
      </w:pPr>
      <w:r>
        <w:rPr>
          <w:sz w:val="20"/>
        </w:rPr>
        <w:t>probability</w:t>
      </w:r>
    </w:p>
    <w:p>
      <w:pPr>
        <w:pStyle w:val="ListBullet"/>
        <w:ind w:left="283"/>
      </w:pPr>
      <w:r>
        <w:rPr>
          <w:sz w:val="20"/>
        </w:rPr>
        <w:t>impact</w:t>
      </w:r>
    </w:p>
    <w:p>
      <w:pPr>
        <w:pStyle w:val="ListBullet"/>
        <w:ind w:left="283"/>
      </w:pPr>
      <w:r>
        <w:rPr>
          <w:sz w:val="20"/>
        </w:rPr>
        <w:t>trigger indicators</w:t>
      </w:r>
    </w:p>
    <w:p>
      <w:pPr>
        <w:pStyle w:val="ListBullet"/>
        <w:ind w:left="283"/>
      </w:pPr>
      <w:r>
        <w:rPr>
          <w:sz w:val="20"/>
        </w:rPr>
        <w:t>mitigation actions</w:t>
      </w:r>
    </w:p>
    <w:p>
      <w:pPr>
        <w:pStyle w:val="ListBullet"/>
        <w:ind w:left="283"/>
      </w:pPr>
      <w:r>
        <w:rPr>
          <w:sz w:val="20"/>
        </w:rPr>
        <w:t>owner</w:t>
      </w:r>
    </w:p>
    <w:p>
      <w:pPr>
        <w:pStyle w:val="ListBullet"/>
        <w:ind w:left="283"/>
      </w:pPr>
      <w:r>
        <w:rPr>
          <w:sz w:val="20"/>
        </w:rPr>
        <w:t>review cadence</w:t>
      </w:r>
    </w:p>
    <w:p>
      <w:pPr>
        <w:pStyle w:val="Heading2"/>
      </w:pPr>
      <w:r>
        <w:rPr>
          <w:color w:val="1A569A"/>
          <w:sz w:val="24"/>
        </w:rPr>
        <w:t>Governance Process</w:t>
      </w:r>
    </w:p>
    <w:p>
      <w:pPr>
        <w:pStyle w:val="ListBullet"/>
        <w:ind w:left="283"/>
      </w:pPr>
      <w:r>
        <w:rPr>
          <w:sz w:val="20"/>
        </w:rPr>
        <w:t>Monthly risk review board.</w:t>
      </w:r>
    </w:p>
    <w:p>
      <w:pPr>
        <w:pStyle w:val="ListBullet"/>
        <w:ind w:left="283"/>
      </w:pPr>
      <w:r>
        <w:rPr>
          <w:sz w:val="20"/>
        </w:rPr>
        <w:t>Escalation for high-severity risks.</w:t>
      </w:r>
    </w:p>
    <w:p>
      <w:pPr>
        <w:pStyle w:val="ListBullet"/>
        <w:ind w:left="283"/>
      </w:pPr>
      <w:r>
        <w:rPr>
          <w:sz w:val="20"/>
        </w:rPr>
        <w:t>Mitigation progress tracking.</w:t>
      </w:r>
    </w:p>
    <w:p>
      <w:pPr>
        <w:pStyle w:val="ListBullet"/>
        <w:ind w:left="283"/>
      </w:pPr>
      <w:r>
        <w:rPr>
          <w:sz w:val="20"/>
        </w:rPr>
        <w:t>Residual risk acceptance workflow.</w:t>
      </w:r>
    </w:p>
    <w:p>
      <w:pPr>
        <w:pStyle w:val="Heading2"/>
      </w:pPr>
      <w:r>
        <w:rPr>
          <w:color w:val="1A569A"/>
          <w:sz w:val="24"/>
        </w:rPr>
        <w:t>Quantification Approach</w:t>
      </w:r>
    </w:p>
    <w:p>
      <w:pPr>
        <w:pStyle w:val="ListBullet"/>
        <w:ind w:left="283"/>
      </w:pPr>
      <w:r>
        <w:rPr>
          <w:sz w:val="20"/>
        </w:rPr>
        <w:t>Probability-impact matrix.</w:t>
      </w:r>
    </w:p>
    <w:p>
      <w:pPr>
        <w:pStyle w:val="ListBullet"/>
        <w:ind w:left="283"/>
      </w:pPr>
      <w:r>
        <w:rPr>
          <w:sz w:val="20"/>
        </w:rPr>
        <w:t>Scenario-based stress tests.</w:t>
      </w:r>
    </w:p>
    <w:p>
      <w:pPr>
        <w:pStyle w:val="ListBullet"/>
        <w:ind w:left="283"/>
      </w:pPr>
      <w:r>
        <w:rPr>
          <w:sz w:val="20"/>
        </w:rPr>
        <w:t>Thresholds for automatic escalation.</w:t>
      </w:r>
    </w:p>
    <w:p>
      <w:pPr>
        <w:pStyle w:val="Heading2"/>
      </w:pPr>
      <w:r>
        <w:rPr>
          <w:color w:val="1A569A"/>
          <w:sz w:val="24"/>
        </w:rPr>
        <w:t>Integration with Delivery</w:t>
      </w:r>
    </w:p>
    <w:p>
      <w:pPr>
        <w:pStyle w:val="ListBullet"/>
        <w:ind w:left="283"/>
      </w:pPr>
      <w:r>
        <w:rPr>
          <w:sz w:val="20"/>
        </w:rPr>
        <w:t>Risks mapped to WP milestones.</w:t>
      </w:r>
    </w:p>
    <w:p>
      <w:pPr>
        <w:pStyle w:val="ListBullet"/>
        <w:ind w:left="283"/>
      </w:pPr>
      <w:r>
        <w:rPr>
          <w:sz w:val="20"/>
        </w:rPr>
        <w:t>Budget reserves tied to risk scenarios.</w:t>
      </w:r>
    </w:p>
    <w:p>
      <w:pPr>
        <w:pStyle w:val="ListBullet"/>
        <w:ind w:left="283"/>
      </w:pPr>
      <w:r>
        <w:rPr>
          <w:sz w:val="20"/>
        </w:rPr>
        <w:t>Decision gates include risk status checks.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High/critical risks have tested mitigations.</w:t>
      </w:r>
    </w:p>
    <w:p>
      <w:pPr>
        <w:pStyle w:val="ListBullet"/>
        <w:ind w:left="283"/>
      </w:pPr>
      <w:r>
        <w:rPr>
          <w:sz w:val="20"/>
        </w:rPr>
        <w:t>Risk register is continuously updated.</w:t>
      </w:r>
    </w:p>
    <w:p>
      <w:pPr>
        <w:pStyle w:val="ListBullet"/>
        <w:ind w:left="283"/>
      </w:pPr>
      <w:r>
        <w:rPr>
          <w:sz w:val="20"/>
        </w:rPr>
        <w:t>Risk status included in periodic grant reporting.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42-work-packages.md, 43-budget.md, 35-security.md, 37-ethics.md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