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TRL Roadmap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TRL Roadmap</w:t>
      </w:r>
    </w:p>
    <w:p>
      <w:r>
        <w:rPr>
          <w:sz w:val="20"/>
        </w:rPr>
        <w:t>Мова: Українська (default) | [English](45-trl-roadmap.en.md)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Program Manager</w:t>
      </w:r>
    </w:p>
    <w:p>
      <w:pPr>
        <w:pStyle w:val="ListBullet"/>
        <w:ind w:left="283"/>
      </w:pPr>
      <w:r>
        <w:rPr>
          <w:sz w:val="20"/>
        </w:rPr>
        <w:t>Contributors: Technical Leads, Product Leads, Research Lead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шлях розвитку технології від поточного стану до цільових TRL рівнів для DIP і Dzvin.co.</w:t>
      </w:r>
    </w:p>
    <w:p>
      <w:pPr>
        <w:pStyle w:val="Heading2"/>
      </w:pPr>
      <w:r>
        <w:rPr>
          <w:color w:val="1A569A"/>
          <w:sz w:val="24"/>
        </w:rPr>
        <w:t>Baseline TRL (Draft)</w:t>
      </w:r>
    </w:p>
    <w:p>
      <w:pPr>
        <w:pStyle w:val="ListBullet"/>
        <w:ind w:left="283"/>
      </w:pPr>
      <w:r>
        <w:rPr>
          <w:sz w:val="20"/>
        </w:rPr>
        <w:t>DIP core capabilities: TRL 4-5 (validated components in relevant environment).</w:t>
      </w:r>
    </w:p>
    <w:p>
      <w:pPr>
        <w:pStyle w:val="ListBullet"/>
        <w:ind w:left="283"/>
      </w:pPr>
      <w:r>
        <w:rPr>
          <w:sz w:val="20"/>
        </w:rPr>
        <w:t>Dzvin.co integrated wellbeing workflows: TRL 6 (pilot/operational context elements).</w:t>
      </w:r>
    </w:p>
    <w:p>
      <w:pPr>
        <w:pStyle w:val="Heading2"/>
      </w:pPr>
      <w:r>
        <w:rPr>
          <w:color w:val="1A569A"/>
          <w:sz w:val="24"/>
        </w:rPr>
        <w:t>Target TRL by Project End</w:t>
      </w:r>
    </w:p>
    <w:p>
      <w:pPr>
        <w:pStyle w:val="ListBullet"/>
        <w:ind w:left="283"/>
      </w:pPr>
      <w:r>
        <w:rPr>
          <w:sz w:val="20"/>
        </w:rPr>
        <w:t>DIP decision governance stack: TRL 6-7.</w:t>
      </w:r>
    </w:p>
    <w:p>
      <w:pPr>
        <w:pStyle w:val="ListBullet"/>
        <w:ind w:left="283"/>
      </w:pPr>
      <w:r>
        <w:rPr>
          <w:sz w:val="20"/>
        </w:rPr>
        <w:t>Explainability and policy evaluation framework: TRL 6-7.</w:t>
      </w:r>
    </w:p>
    <w:p>
      <w:pPr>
        <w:pStyle w:val="ListBullet"/>
        <w:ind w:left="283"/>
      </w:pPr>
      <w:r>
        <w:rPr>
          <w:sz w:val="20"/>
        </w:rPr>
        <w:t>Cross-domain reusability evidence: TRL 5-6.</w:t>
      </w:r>
    </w:p>
    <w:p>
      <w:pPr>
        <w:pStyle w:val="Heading2"/>
      </w:pPr>
      <w:r>
        <w:rPr>
          <w:color w:val="1A569A"/>
          <w:sz w:val="24"/>
        </w:rPr>
        <w:t>TRL Advancement Levers</w:t>
      </w:r>
    </w:p>
    <w:p>
      <w:pPr>
        <w:pStyle w:val="ListBullet"/>
        <w:ind w:left="283"/>
      </w:pPr>
      <w:r>
        <w:rPr>
          <w:sz w:val="20"/>
        </w:rPr>
        <w:t>Controlled pilots.</w:t>
      </w:r>
    </w:p>
    <w:p>
      <w:pPr>
        <w:pStyle w:val="ListBullet"/>
        <w:ind w:left="283"/>
      </w:pPr>
      <w:r>
        <w:rPr>
          <w:sz w:val="20"/>
        </w:rPr>
        <w:t>Reproducible validation evidence.</w:t>
      </w:r>
    </w:p>
    <w:p>
      <w:pPr>
        <w:pStyle w:val="ListBullet"/>
        <w:ind w:left="283"/>
      </w:pPr>
      <w:r>
        <w:rPr>
          <w:sz w:val="20"/>
        </w:rPr>
        <w:t>Robust security/compliance operations.</w:t>
      </w:r>
    </w:p>
    <w:p>
      <w:pPr>
        <w:pStyle w:val="ListBullet"/>
        <w:ind w:left="283"/>
      </w:pPr>
      <w:r>
        <w:rPr>
          <w:sz w:val="20"/>
        </w:rPr>
        <w:t>Integration maturity across surfaces.</w:t>
      </w:r>
    </w:p>
    <w:p>
      <w:pPr>
        <w:pStyle w:val="Heading2"/>
      </w:pPr>
      <w:r>
        <w:rPr>
          <w:color w:val="1A569A"/>
          <w:sz w:val="24"/>
        </w:rPr>
        <w:t>Milestone Mapping</w:t>
      </w:r>
    </w:p>
    <w:p>
      <w:pPr>
        <w:pStyle w:val="ListBullet"/>
        <w:ind w:left="283"/>
      </w:pPr>
      <w:r>
        <w:rPr>
          <w:sz w:val="20"/>
        </w:rPr>
        <w:t>M1: architecture and protocol freeze -&gt; TRL stability foundation.</w:t>
      </w:r>
    </w:p>
    <w:p>
      <w:pPr>
        <w:pStyle w:val="ListBullet"/>
        <w:ind w:left="283"/>
      </w:pPr>
      <w:r>
        <w:rPr>
          <w:sz w:val="20"/>
        </w:rPr>
        <w:t>M2: hybrid engine validated -&gt; TRL progression in core stack.</w:t>
      </w:r>
    </w:p>
    <w:p>
      <w:pPr>
        <w:pStyle w:val="ListBullet"/>
        <w:ind w:left="283"/>
      </w:pPr>
      <w:r>
        <w:rPr>
          <w:sz w:val="20"/>
        </w:rPr>
        <w:t>M3: online governance proven -&gt; TRL progression in operational readiness.</w:t>
      </w:r>
    </w:p>
    <w:p>
      <w:pPr>
        <w:pStyle w:val="ListBullet"/>
        <w:ind w:left="283"/>
      </w:pPr>
      <w:r>
        <w:rPr>
          <w:sz w:val="20"/>
        </w:rPr>
        <w:t>M4: pilot evidence package -&gt; TRL progression in application readiness.</w:t>
      </w:r>
    </w:p>
    <w:p>
      <w:pPr>
        <w:pStyle w:val="Heading2"/>
      </w:pPr>
      <w:r>
        <w:rPr>
          <w:color w:val="1A569A"/>
          <w:sz w:val="24"/>
        </w:rPr>
        <w:t>Risks to TRL Progression</w:t>
      </w:r>
    </w:p>
    <w:p>
      <w:pPr>
        <w:pStyle w:val="ListBullet"/>
        <w:ind w:left="283"/>
      </w:pPr>
      <w:r>
        <w:rPr>
          <w:sz w:val="20"/>
        </w:rPr>
        <w:t>Insufficient validation sample sizes.</w:t>
      </w:r>
    </w:p>
    <w:p>
      <w:pPr>
        <w:pStyle w:val="ListBullet"/>
        <w:ind w:left="283"/>
      </w:pPr>
      <w:r>
        <w:rPr>
          <w:sz w:val="20"/>
        </w:rPr>
        <w:t>Integration instability.</w:t>
      </w:r>
    </w:p>
    <w:p>
      <w:pPr>
        <w:pStyle w:val="ListBullet"/>
        <w:ind w:left="283"/>
      </w:pPr>
      <w:r>
        <w:rPr>
          <w:sz w:val="20"/>
        </w:rPr>
        <w:t>Compliance bottlenecks.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TRL claims backed by documented evidence.</w:t>
      </w:r>
    </w:p>
    <w:p>
      <w:pPr>
        <w:pStyle w:val="ListBullet"/>
        <w:ind w:left="283"/>
      </w:pPr>
      <w:r>
        <w:rPr>
          <w:sz w:val="20"/>
        </w:rPr>
        <w:t>Each TRL jump linked to concrete deliverables/tests.</w:t>
      </w:r>
    </w:p>
    <w:p>
      <w:pPr>
        <w:pStyle w:val="ListBullet"/>
        <w:ind w:left="283"/>
      </w:pPr>
      <w:r>
        <w:rPr>
          <w:sz w:val="20"/>
        </w:rPr>
        <w:t>Independent review readiness for TRL status.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25-evaluation.md, 30-reproducibility.md, 42-work-packages.md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