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A03 Metrics Calculation Sheet</w:t>
      </w:r>
    </w:p>
    <w:p>
      <w:pPr>
        <w:jc w:val="center"/>
      </w:pPr>
      <w:r>
        <w:rPr>
          <w:sz w:val="24"/>
        </w:rPr>
        <w:t>Appendices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A03 Metrics Calculation Sheet</w:t>
      </w:r>
    </w:p>
    <w:p>
      <w:r>
        <w:rPr>
          <w:sz w:val="20"/>
        </w:rPr>
        <w:t>Мова: Українська (default) | [English](A03-metrics-calculation-sheet.en.md)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Точний реєстр формул і порогів метрик, що використовуються в production-коді. Джерело — `mentality-back`.</w:t>
      </w:r>
    </w:p>
    <w:p>
      <w:pPr>
        <w:pStyle w:val="Heading2"/>
      </w:pPr>
      <w:r>
        <w:rPr>
          <w:color w:val="1A569A"/>
          <w:sz w:val="24"/>
        </w:rPr>
        <w:t>Code references</w:t>
      </w:r>
    </w:p>
    <w:p>
      <w:pPr>
        <w:pStyle w:val="ListBullet"/>
        <w:ind w:left="283"/>
      </w:pPr>
      <w:r>
        <w:rPr>
          <w:sz w:val="20"/>
        </w:rPr>
        <w:t>`src/decision-support/helpers/burnout-index.calculator.ts`</w:t>
      </w:r>
    </w:p>
    <w:p>
      <w:pPr>
        <w:pStyle w:val="ListBullet"/>
        <w:ind w:left="283"/>
      </w:pPr>
      <w:r>
        <w:rPr>
          <w:sz w:val="20"/>
        </w:rPr>
        <w:t>`src/decision-support/helpers/ml-risk.engine.ts`</w:t>
      </w:r>
    </w:p>
    <w:p>
      <w:pPr>
        <w:pStyle w:val="ListBullet"/>
        <w:ind w:left="283"/>
      </w:pPr>
      <w:r>
        <w:rPr>
          <w:sz w:val="20"/>
        </w:rPr>
        <w:t>`src/decision-support/helpers/adaptive-risk.engine.ts`</w:t>
      </w:r>
    </w:p>
    <w:p>
      <w:pPr>
        <w:pStyle w:val="ListBullet"/>
        <w:ind w:left="283"/>
      </w:pPr>
      <w:r>
        <w:rPr>
          <w:sz w:val="20"/>
        </w:rPr>
        <w:t>`src/decision-support/helpers/rule-engine.ts`</w:t>
      </w:r>
    </w:p>
    <w:p>
      <w:pPr>
        <w:pStyle w:val="ListBullet"/>
        <w:ind w:left="283"/>
      </w:pPr>
      <w:r>
        <w:rPr>
          <w:sz w:val="20"/>
        </w:rPr>
        <w:t>`src/decision-support/helpers/impact-estimator.calculator.ts`</w:t>
      </w:r>
    </w:p>
    <w:p>
      <w:pPr>
        <w:pStyle w:val="ListBullet"/>
        <w:ind w:left="283"/>
      </w:pPr>
      <w:r>
        <w:rPr>
          <w:sz w:val="20"/>
        </w:rPr>
        <w:t>`src/decision-support/decision-support-online-evaluation.service.ts`</w:t>
      </w:r>
    </w:p>
    <w:p/>
    <w:p>
      <w:pPr>
        <w:pStyle w:val="Heading2"/>
      </w:pPr>
      <w:r>
        <w:rPr>
          <w:color w:val="1A569A"/>
          <w:sz w:val="24"/>
        </w:rPr>
        <w:t>1. Burnout Index</w:t>
      </w:r>
    </w:p>
    <w:p>
      <w:r>
        <w:rPr>
          <w:sz w:val="20"/>
        </w:rPr>
      </w:r>
      <w:r>
        <w:rPr>
          <w:b/>
          <w:sz w:val="20"/>
        </w:rPr>
        <w:t>Formula</w:t>
      </w:r>
      <w:r>
        <w:rPr>
          <w:sz w:val="20"/>
        </w:rPr>
        <w:t xml:space="preserve"> (weighted sum, 0–100):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burnoutIndex =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stress_norm × 30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(1 − mood_norm) × 20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(1 − energy_norm) × 20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(1 − focus_norm) × 10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high_risk_ratio × 15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engagement_gap × 5</w:t>
      </w:r>
    </w:p>
    <w:p>
      <w:r>
        <w:rPr>
          <w:sz w:val="20"/>
        </w:rPr>
        <w:t>Where:</w:t>
      </w:r>
    </w:p>
    <w:p>
      <w:pPr>
        <w:pStyle w:val="ListBullet"/>
        <w:ind w:left="283"/>
      </w:pPr>
      <w:r>
        <w:rPr>
          <w:sz w:val="20"/>
        </w:rPr>
        <w:t>`stress_norm = (avgStress − 1) / 4` (scale 1–5)</w:t>
      </w:r>
    </w:p>
    <w:p>
      <w:pPr>
        <w:pStyle w:val="ListBullet"/>
        <w:ind w:left="283"/>
      </w:pPr>
      <w:r>
        <w:rPr>
          <w:sz w:val="20"/>
        </w:rPr>
        <w:t>`mood_norm = (avgMood − 1) / 4` (inverted: lower mood → higher score)</w:t>
      </w:r>
    </w:p>
    <w:p>
      <w:pPr>
        <w:pStyle w:val="ListBullet"/>
        <w:ind w:left="283"/>
      </w:pPr>
      <w:r>
        <w:rPr>
          <w:sz w:val="20"/>
        </w:rPr>
        <w:t>`energy_norm = (avgEnergy − 1) / 4` (inverted)</w:t>
      </w:r>
    </w:p>
    <w:p>
      <w:pPr>
        <w:pStyle w:val="ListBullet"/>
        <w:ind w:left="283"/>
      </w:pPr>
      <w:r>
        <w:rPr>
          <w:sz w:val="20"/>
        </w:rPr>
        <w:t>`focus_norm = (avgFocus − 1) / 4` (inverted)</w:t>
      </w:r>
    </w:p>
    <w:p>
      <w:pPr>
        <w:pStyle w:val="ListBullet"/>
        <w:ind w:left="283"/>
      </w:pPr>
      <w:r>
        <w:rPr>
          <w:sz w:val="20"/>
        </w:rPr>
        <w:t>`high_risk_ratio = riskDistribution.high / totalEmployees`</w:t>
      </w:r>
    </w:p>
    <w:p>
      <w:pPr>
        <w:pStyle w:val="ListBullet"/>
        <w:ind w:left="283"/>
      </w:pPr>
      <w:r>
        <w:rPr>
          <w:sz w:val="20"/>
        </w:rPr>
        <w:t>`engagement_gap = 1 − (activeEmployees / totalEmployees)`</w:t>
      </w:r>
    </w:p>
    <w:p>
      <w:r>
        <w:rPr>
          <w:sz w:val="20"/>
        </w:rPr>
      </w:r>
      <w:r>
        <w:rPr>
          <w:b/>
          <w:sz w:val="20"/>
        </w:rPr>
        <w:t>Levels: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Level | Condition |</w:t>
      </w:r>
    </w:p>
    <w:p>
      <w:r>
        <w:rPr>
          <w:rFonts w:ascii="Courier New" w:hAnsi="Courier New"/>
          <w:sz w:val="20"/>
        </w:rPr>
        <w:t>|-------|-----------|</w:t>
      </w:r>
    </w:p>
    <w:p>
      <w:r>
        <w:rPr>
          <w:rFonts w:ascii="Courier New" w:hAnsi="Courier New"/>
          <w:sz w:val="20"/>
        </w:rPr>
        <w:t>| high | burnoutIndex ≥ 60 |</w:t>
      </w:r>
    </w:p>
    <w:p>
      <w:r>
        <w:rPr>
          <w:rFonts w:ascii="Courier New" w:hAnsi="Courier New"/>
          <w:sz w:val="20"/>
        </w:rPr>
        <w:t>| medium | 35 ≤ burnoutIndex &lt; 60 |</w:t>
      </w:r>
    </w:p>
    <w:p>
      <w:r>
        <w:rPr>
          <w:rFonts w:ascii="Courier New" w:hAnsi="Courier New"/>
          <w:sz w:val="20"/>
        </w:rPr>
        <w:t>| low | burnoutIndex &lt; 35 |</w:t>
      </w:r>
    </w:p>
    <w:p>
      <w:r>
        <w:rPr>
          <w:sz w:val="20"/>
        </w:rPr>
      </w:r>
      <w:r>
        <w:rPr>
          <w:b/>
          <w:sz w:val="20"/>
        </w:rPr>
        <w:t>Factor triggers: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Factor                  | Trigger condition     |</w:t>
      </w:r>
    </w:p>
    <w:p>
      <w:r>
        <w:rPr>
          <w:rFonts w:ascii="Courier New" w:hAnsi="Courier New"/>
          <w:sz w:val="20"/>
        </w:rPr>
        <w:t>| ----------------------- | --------------------- |</w:t>
      </w:r>
    </w:p>
    <w:p>
      <w:r>
        <w:rPr>
          <w:rFonts w:ascii="Courier New" w:hAnsi="Courier New"/>
          <w:sz w:val="20"/>
        </w:rPr>
        <w:t>| high_stress             | stress_norm &gt; 0.6     |</w:t>
      </w:r>
    </w:p>
    <w:p>
      <w:r>
        <w:rPr>
          <w:rFonts w:ascii="Courier New" w:hAnsi="Courier New"/>
          <w:sz w:val="20"/>
        </w:rPr>
        <w:t>| low_mood                | (1−mood_norm) &gt; 0.6   |</w:t>
      </w:r>
    </w:p>
    <w:p>
      <w:r>
        <w:rPr>
          <w:rFonts w:ascii="Courier New" w:hAnsi="Courier New"/>
          <w:sz w:val="20"/>
        </w:rPr>
        <w:t>| low_energy              | (1−energy_norm) &gt; 0.6 |</w:t>
      </w:r>
    </w:p>
    <w:p>
      <w:r>
        <w:rPr>
          <w:rFonts w:ascii="Courier New" w:hAnsi="Courier New"/>
          <w:sz w:val="20"/>
        </w:rPr>
        <w:t>| low_focus               | (1−focus_norm) &gt; 0.6  |</w:t>
      </w:r>
    </w:p>
    <w:p>
      <w:r>
        <w:rPr>
          <w:rFonts w:ascii="Courier New" w:hAnsi="Courier New"/>
          <w:sz w:val="20"/>
        </w:rPr>
        <w:t>| high_risk_concentration | high_risk_ratio &gt; 0.3 |</w:t>
      </w:r>
    </w:p>
    <w:p>
      <w:r>
        <w:rPr>
          <w:rFonts w:ascii="Courier New" w:hAnsi="Courier New"/>
          <w:sz w:val="20"/>
        </w:rPr>
        <w:t>| low_engagement          | engagement_gap &gt; 0.4  |</w:t>
      </w:r>
    </w:p>
    <w:p/>
    <w:p>
      <w:pPr>
        <w:pStyle w:val="Heading2"/>
      </w:pPr>
      <w:r>
        <w:rPr>
          <w:color w:val="1A569A"/>
          <w:sz w:val="24"/>
        </w:rPr>
        <w:t>2. Composite Risk Score (riskScore)</w:t>
      </w:r>
    </w:p>
    <w:p>
      <w:r>
        <w:rPr>
          <w:sz w:val="20"/>
        </w:rPr>
      </w:r>
      <w:r>
        <w:rPr>
          <w:b/>
          <w:sz w:val="20"/>
        </w:rPr>
        <w:t>Formula:</w:t>
      </w:r>
      <w:r>
        <w:rPr>
          <w:sz w:val="20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riskScore = (w_p × predictionProbability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w_a × anomalyScore +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w_z × sigmoid(zScore)) / (w_p + w_a + w_z)</w:t>
      </w:r>
    </w:p>
    <w:p>
      <w:r>
        <w:rPr>
          <w:sz w:val="20"/>
        </w:rPr>
      </w:r>
      <w:r>
        <w:rPr>
          <w:b/>
          <w:sz w:val="20"/>
        </w:rPr>
        <w:t>Default weights: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Component | Weight |</w:t>
      </w:r>
    </w:p>
    <w:p>
      <w:r>
        <w:rPr>
          <w:rFonts w:ascii="Courier New" w:hAnsi="Courier New"/>
          <w:sz w:val="20"/>
        </w:rPr>
        <w:t>|-----------|--------|</w:t>
      </w:r>
    </w:p>
    <w:p>
      <w:r>
        <w:rPr>
          <w:rFonts w:ascii="Courier New" w:hAnsi="Courier New"/>
          <w:sz w:val="20"/>
        </w:rPr>
        <w:t>| predictionProbability | 0.55 |</w:t>
      </w:r>
    </w:p>
    <w:p>
      <w:r>
        <w:rPr>
          <w:rFonts w:ascii="Courier New" w:hAnsi="Courier New"/>
          <w:sz w:val="20"/>
        </w:rPr>
        <w:t>| anomalyScore | 0.25 |</w:t>
      </w:r>
    </w:p>
    <w:p>
      <w:r>
        <w:rPr>
          <w:rFonts w:ascii="Courier New" w:hAnsi="Courier New"/>
          <w:sz w:val="20"/>
        </w:rPr>
        <w:t>| zScore (sigmoid-normalized) | 0.20 |</w:t>
      </w:r>
    </w:p>
    <w:p>
      <w:r>
        <w:rPr>
          <w:sz w:val="20"/>
        </w:rPr>
        <w:t>`sigmoid(x) = 1 / (1 + e^−x)` — stabilizes extreme z-score values.</w:t>
      </w:r>
    </w:p>
    <w:p>
      <w:r>
        <w:rPr>
          <w:sz w:val="20"/>
        </w:rPr>
        <w:t>Output: `riskScore ∈ [0, 1]`</w:t>
      </w:r>
    </w:p>
    <w:p/>
    <w:p>
      <w:pPr>
        <w:pStyle w:val="Heading2"/>
      </w:pPr>
      <w:r>
        <w:rPr>
          <w:color w:val="1A569A"/>
          <w:sz w:val="24"/>
        </w:rPr>
        <w:t>3. Prediction Probability (heuristic mode)</w:t>
      </w:r>
    </w:p>
    <w:p>
      <w:r>
        <w:rPr>
          <w:sz w:val="20"/>
        </w:rPr>
        <w:t>Rolling-window regression surrogate (no offline training required):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linear = −2.2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+ 1.1 × (stress_t − 3)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+ 0.7 × (stress_7d_avg − 3)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+ 0.6 × (stress_14d_avg − 3)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+ 0.8 × stress_delta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+ 0.9 × volatility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− 0.5 × (mood_t − 3)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predictionProbability = sigmoid(linear)</w:t>
      </w:r>
    </w:p>
    <w:p>
      <w:r>
        <w:rPr>
          <w:sz w:val="20"/>
        </w:rPr>
      </w:r>
      <w:r>
        <w:rPr>
          <w:b/>
          <w:sz w:val="20"/>
        </w:rPr>
        <w:t>Features: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Feature | Description |</w:t>
      </w:r>
    </w:p>
    <w:p>
      <w:r>
        <w:rPr>
          <w:rFonts w:ascii="Courier New" w:hAnsi="Courier New"/>
          <w:sz w:val="20"/>
        </w:rPr>
        <w:t>|---------|-------------|</w:t>
      </w:r>
    </w:p>
    <w:p>
      <w:r>
        <w:rPr>
          <w:rFonts w:ascii="Courier New" w:hAnsi="Courier New"/>
          <w:sz w:val="20"/>
        </w:rPr>
        <w:t>| stress_t | Current stress level (1–5) |</w:t>
      </w:r>
    </w:p>
    <w:p>
      <w:r>
        <w:rPr>
          <w:rFonts w:ascii="Courier New" w:hAnsi="Courier New"/>
          <w:sz w:val="20"/>
        </w:rPr>
        <w:t>| stress_7d_avg | 7-day rolling average stress |</w:t>
      </w:r>
    </w:p>
    <w:p>
      <w:r>
        <w:rPr>
          <w:rFonts w:ascii="Courier New" w:hAnsi="Courier New"/>
          <w:sz w:val="20"/>
        </w:rPr>
        <w:t>| stress_14d_avg | 14-day rolling average stress |</w:t>
      </w:r>
    </w:p>
    <w:p>
      <w:r>
        <w:rPr>
          <w:rFonts w:ascii="Courier New" w:hAnsi="Courier New"/>
          <w:sz w:val="20"/>
        </w:rPr>
        <w:t>| stress_delta | stress_t − stress_7d_avg |</w:t>
      </w:r>
    </w:p>
    <w:p>
      <w:r>
        <w:rPr>
          <w:rFonts w:ascii="Courier New" w:hAnsi="Courier New"/>
          <w:sz w:val="20"/>
        </w:rPr>
        <w:t>| volatility | std-dev of recent stress values |</w:t>
      </w:r>
    </w:p>
    <w:p>
      <w:r>
        <w:rPr>
          <w:rFonts w:ascii="Courier New" w:hAnsi="Courier New"/>
          <w:sz w:val="20"/>
        </w:rPr>
        <w:t>| mood_t | Current mood level (1–5) |</w:t>
      </w:r>
    </w:p>
    <w:p/>
    <w:p>
      <w:pPr>
        <w:pStyle w:val="Heading2"/>
      </w:pPr>
      <w:r>
        <w:rPr>
          <w:color w:val="1A569A"/>
          <w:sz w:val="24"/>
        </w:rPr>
        <w:t>4. Anomaly Score</w:t>
      </w:r>
    </w:p>
    <w:p>
      <w:r>
        <w:rPr>
          <w:sz w:val="20"/>
        </w:rPr>
        <w:t>Isolation-heuristic approach: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expectedStress = (stress_7d_avg + stress_14d_avg) / 2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localDeviation = |stress_t − expectedStress|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weightedDeviation = localDeviation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     + |stress_delta| × 0.7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     + volatility × 0.8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anomalyScore = clamp(weightedDeviation / 3, 0, 1)</w:t>
      </w:r>
    </w:p>
    <w:p/>
    <w:p>
      <w:pPr>
        <w:pStyle w:val="Heading2"/>
      </w:pPr>
      <w:r>
        <w:rPr>
          <w:color w:val="1A569A"/>
          <w:sz w:val="24"/>
        </w:rPr>
        <w:t>5. Z-Score (personalised baseline)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baseline.mean = mean(stress_30d_history)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baseline.std  = max(std(stress_30d_history), 0.15)   # floor prevents collapse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zScore = (currentStress − baseline.mean) / baseline.std</w:t>
      </w:r>
    </w:p>
    <w:p>
      <w:r>
        <w:rPr>
          <w:sz w:val="20"/>
        </w:rPr>
        <w:t>Baseline recomputed from the last 30 observations per user.</w:t>
      </w:r>
    </w:p>
    <w:p/>
    <w:p>
      <w:pPr>
        <w:pStyle w:val="Heading2"/>
      </w:pPr>
      <w:r>
        <w:rPr>
          <w:color w:val="1A569A"/>
          <w:sz w:val="24"/>
        </w:rPr>
        <w:t>6. ML Trust Score</w:t>
      </w:r>
    </w:p>
    <w:p>
      <w:r>
        <w:rPr>
          <w:sz w:val="20"/>
        </w:rPr>
        <w:t>Weighted composite of four quality indicators: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mlTrust.accuracy     = accuracy × 0.40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mlTrust.calibration  = (1 − calibrationError) × 0.25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mlTrust.drift        = (1 − driftScore) × 0.20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mlTrust.coverage     = cohortCoverageScore × 0.15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weighted = mlTrust.accuracy + mlTrust.calibration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+ mlTrust.drift + mlTrust.coverage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mlTrustScore = clamp(weighted × samplePenalty, 0, 1)</w:t>
      </w:r>
    </w:p>
    <w:p>
      <w:r>
        <w:rPr>
          <w:sz w:val="20"/>
        </w:rPr>
      </w:r>
      <w:r>
        <w:rPr>
          <w:b/>
          <w:sz w:val="20"/>
        </w:rPr>
        <w:t>Classification: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Level | Condition |</w:t>
      </w:r>
    </w:p>
    <w:p>
      <w:r>
        <w:rPr>
          <w:rFonts w:ascii="Courier New" w:hAnsi="Courier New"/>
          <w:sz w:val="20"/>
        </w:rPr>
        <w:t>|-------|-----------|</w:t>
      </w:r>
    </w:p>
    <w:p>
      <w:r>
        <w:rPr>
          <w:rFonts w:ascii="Courier New" w:hAnsi="Courier New"/>
          <w:sz w:val="20"/>
        </w:rPr>
        <w:t>| low | mlTrustScore &lt; 0.45 |</w:t>
      </w:r>
    </w:p>
    <w:p>
      <w:r>
        <w:rPr>
          <w:rFonts w:ascii="Courier New" w:hAnsi="Courier New"/>
          <w:sz w:val="20"/>
        </w:rPr>
        <w:t>| medium | 0.45 ≤ mlTrustScore &lt; 0.65 |</w:t>
      </w:r>
    </w:p>
    <w:p>
      <w:r>
        <w:rPr>
          <w:rFonts w:ascii="Courier New" w:hAnsi="Courier New"/>
          <w:sz w:val="20"/>
        </w:rPr>
        <w:t>| high | mlTrustScore ≥ 0.65 |</w:t>
      </w:r>
    </w:p>
    <w:p>
      <w:r>
        <w:rPr>
          <w:sz w:val="20"/>
        </w:rPr>
        <w:t>Minimum conclusive sample for trust: 20 observations.</w:t>
      </w:r>
    </w:p>
    <w:p/>
    <w:p>
      <w:pPr>
        <w:pStyle w:val="Heading2"/>
      </w:pPr>
      <w:r>
        <w:rPr>
          <w:color w:val="1A569A"/>
          <w:sz w:val="24"/>
        </w:rPr>
        <w:t>7. Drift Score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recentMean  = mean(predictedScores in last 7 days)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overallMean = mean(predictedScores in evaluation window, 30 days)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driftScore = clamp(|recentMean − overallMean|, 0, 1)</w:t>
      </w:r>
    </w:p>
    <w:p>
      <w:r>
        <w:rPr>
          <w:sz w:val="20"/>
        </w:rPr>
        <w:t>Alert threshold: `driftScore ≥ 0.20`</w:t>
      </w:r>
    </w:p>
    <w:p/>
    <w:p>
      <w:pPr>
        <w:pStyle w:val="Heading2"/>
      </w:pPr>
      <w:r>
        <w:rPr>
          <w:color w:val="1A569A"/>
          <w:sz w:val="24"/>
        </w:rPr>
        <w:t>8. Calibration Error (Mean Absolute Error)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calibrationError = (1 / N) × Σ |predictedScore_i − actualScore_i|</w:t>
      </w:r>
    </w:p>
    <w:p>
      <w:r>
        <w:rPr>
          <w:sz w:val="20"/>
        </w:rPr>
        <w:t>Where `actualScore ∈ {0.0 (not_worsened), 0.5 (inconclusive), 1.0 (worsened)}`.</w:t>
      </w:r>
    </w:p>
    <w:p/>
    <w:p>
      <w:pPr>
        <w:pStyle w:val="Heading2"/>
      </w:pPr>
      <w:r>
        <w:rPr>
          <w:color w:val="1A569A"/>
          <w:sz w:val="24"/>
        </w:rPr>
        <w:t>9. Rule Engine Thresholds</w:t>
      </w:r>
    </w:p>
    <w:p>
      <w:r>
        <w:rPr>
          <w:sz w:val="20"/>
        </w:rPr>
        <w:t>Deterministic rule conditions applied per team/company:</w:t>
      </w:r>
    </w:p>
    <w:p>
      <w:r>
        <w:rPr>
          <w:rFonts w:ascii="Courier New" w:hAnsi="Courier New"/>
          <w:sz w:val="20"/>
        </w:rPr>
        <w:t>| Rule | Condition                                         | Action type       | Priority |</w:t>
      </w:r>
    </w:p>
    <w:p>
      <w:r>
        <w:rPr>
          <w:rFonts w:ascii="Courier New" w:hAnsi="Courier New"/>
          <w:sz w:val="20"/>
        </w:rPr>
        <w:t>| ---- | ------------------------------------------------- | ----------------- | -------- |</w:t>
      </w:r>
    </w:p>
    <w:p>
      <w:r>
        <w:rPr>
          <w:rFonts w:ascii="Courier New" w:hAnsi="Courier New"/>
          <w:sz w:val="20"/>
        </w:rPr>
        <w:t>| R-1  | avgStress ≥ 4.0 AND highRiskRatio &gt; 40%           | team_intervention | high     |</w:t>
      </w:r>
    </w:p>
    <w:p>
      <w:r>
        <w:rPr>
          <w:rFonts w:ascii="Courier New" w:hAnsi="Courier New"/>
          <w:sz w:val="20"/>
        </w:rPr>
        <w:t>| R-2  | mediumPlusRiskRatio &gt; 25% AND highRiskRatio ≤ 40% | manager_alert     | medium   |</w:t>
      </w:r>
    </w:p>
    <w:p>
      <w:r>
        <w:rPr>
          <w:rFonts w:ascii="Courier New" w:hAnsi="Courier New"/>
          <w:sz w:val="20"/>
        </w:rPr>
        <w:t>| R-3  | avgMood ≤ 2.5                                     | team_intervention | medium   |</w:t>
      </w:r>
    </w:p>
    <w:p>
      <w:r>
        <w:rPr>
          <w:rFonts w:ascii="Courier New" w:hAnsi="Courier New"/>
          <w:sz w:val="20"/>
        </w:rPr>
        <w:t>| R-4  | avgEnergy ≤ 2.5                                   | manager_alert     | medium   |</w:t>
      </w:r>
    </w:p>
    <w:p>
      <w:r>
        <w:rPr>
          <w:rFonts w:ascii="Courier New" w:hAnsi="Courier New"/>
          <w:sz w:val="20"/>
        </w:rPr>
        <w:t>| R-5  | avgFocus ≤ 2.5                                    | manager_alert     | low      |</w:t>
      </w:r>
    </w:p>
    <w:p>
      <w:r>
        <w:rPr>
          <w:rFonts w:ascii="Courier New" w:hAnsi="Courier New"/>
          <w:sz w:val="20"/>
        </w:rPr>
        <w:t>| R-6  | activeEmployees / totalEmployees &lt; 60%            | manager_alert     | medium   |</w:t>
      </w:r>
    </w:p>
    <w:p>
      <w:r>
        <w:rPr>
          <w:rFonts w:ascii="Courier New" w:hAnsi="Courier New"/>
          <w:sz w:val="20"/>
        </w:rPr>
        <w:t>| R-7  | Company-wide avgStress ≥ 4.0                      | org_change        | high     |</w:t>
      </w:r>
    </w:p>
    <w:p>
      <w:r>
        <w:rPr>
          <w:rFonts w:ascii="Courier New" w:hAnsi="Courier New"/>
          <w:sz w:val="20"/>
        </w:rPr>
        <w:t>| R-8  | Company-wide engagement &lt; 60%                     | org_change        | high     |</w:t>
      </w:r>
    </w:p>
    <w:p>
      <w:r>
        <w:rPr>
          <w:rFonts w:ascii="Courier New" w:hAnsi="Courier New"/>
          <w:sz w:val="20"/>
        </w:rPr>
        <w:t>| R-9  | stress ↔ GAD-7 correlation ≥ 0.7                  | org_change        | high     |</w:t>
      </w:r>
    </w:p>
    <w:p>
      <w:r>
        <w:rPr>
          <w:rFonts w:ascii="Courier New" w:hAnsi="Courier New"/>
          <w:sz w:val="20"/>
        </w:rPr>
        <w:t>| R-10 | stress ↔ PHQ-9 correlation ≥ 0.7                  | org_change        | high     |</w:t>
      </w:r>
    </w:p>
    <w:p>
      <w:r>
        <w:rPr>
          <w:sz w:val="20"/>
        </w:rPr>
      </w:r>
      <w:r>
        <w:rPr>
          <w:b/>
          <w:sz w:val="20"/>
        </w:rPr>
        <w:t>Severity enrichment (baseline-aware):</w:t>
      </w:r>
      <w:r>
        <w:rPr>
          <w:sz w:val="20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stressDelta = avgStress − prevAvgStress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severity = critical  if avgStress ≥ 4.0 AND highRiskRatio &gt; 0.4 AND stressDelta ≥ 0.5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= high      if avgStress ≥ 4.0 OR stressDelta ≥ 0.5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= medium    if avgStress &gt; 3.5 OR stressDelta ≥ 0.3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= low       otherwise</w:t>
      </w:r>
    </w:p>
    <w:p>
      <w:r>
        <w:rPr>
          <w:sz w:val="20"/>
        </w:rPr>
      </w:r>
      <w:r>
        <w:rPr>
          <w:b/>
          <w:sz w:val="20"/>
        </w:rPr>
        <w:t>Signal confidence:</w:t>
      </w:r>
      <w:r>
        <w:rPr>
          <w:sz w:val="20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engagement = activeEmployees / totalEmployees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confidence = 1.0  if totalEmployees ≥ 20 AND engagement ≥ 0.7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= 0.8  if totalEmployees ≥ 20 OR engagement ≥ 0.7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= 0.6  if totalEmployees ≥ 10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= 0.4  otherwise</w:t>
      </w:r>
    </w:p>
    <w:p/>
    <w:p>
      <w:pPr>
        <w:pStyle w:val="Heading2"/>
      </w:pPr>
      <w:r>
        <w:rPr>
          <w:color w:val="1A569A"/>
          <w:sz w:val="24"/>
        </w:rPr>
        <w:t>10. Business Impact Model (ROI Layer)</w:t>
      </w:r>
    </w:p>
    <w:p>
      <w:r>
        <w:rPr>
          <w:sz w:val="20"/>
        </w:rPr>
        <w:t>Piecewise-linear attrition probability by burnoutIndex: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attritionPct(index):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index ∈ [0, 35)  →  2 + (index / 35) × (5 − 2)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index ∈ [35, 60) →  5 + ((index − 35) / 25) × (12 − 5)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index ∈ [60, 100]→  12 + ((index − 60) / 40) × (25 − 12)</w:t>
      </w:r>
    </w:p>
    <w:p>
      <w:r>
        <w:rPr>
          <w:sz w:val="20"/>
        </w:rPr>
        <w:t>Replacement cost: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replacementCostPerEmployee = avgAnnualSalary × replacementFactor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replacementFactor: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junior → 0.40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mid    → 0.75  (default)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senior → 1.50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estimatedAttritionCost = activeEmployees × (attritionPct / 100) × replacementCostPerEmployee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avgMonthlySalary = avgAnnualSalary / 12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productivityLossMid = (productivityLossMin + productivityLossMax) / 2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estimatedProductivityLoss = activeEmployees × avgMonthlySalary × (productivityLossMid / 100)</w:t>
      </w:r>
    </w:p>
    <w:p>
      <w:r>
        <w:rPr>
          <w:sz w:val="20"/>
        </w:rPr>
      </w:r>
      <w:r>
        <w:rPr>
          <w:b/>
          <w:sz w:val="20"/>
        </w:rPr>
        <w:t>Productivity and sick-days table (source: Gallup, WHO, SHRM):</w:t>
      </w:r>
      <w:r>
        <w:rPr>
          <w:sz w:val="20"/>
        </w:rPr>
      </w:r>
    </w:p>
    <w:p>
      <w:r>
        <w:rPr>
          <w:rFonts w:ascii="Courier New" w:hAnsi="Courier New"/>
          <w:sz w:val="20"/>
        </w:rPr>
        <w:t>| Burnout level | Productivity loss | Sick days increase |</w:t>
      </w:r>
    </w:p>
    <w:p>
      <w:r>
        <w:rPr>
          <w:rFonts w:ascii="Courier New" w:hAnsi="Courier New"/>
          <w:sz w:val="20"/>
        </w:rPr>
        <w:t>| ------------- | ----------------- | ------------------ |</w:t>
      </w:r>
    </w:p>
    <w:p>
      <w:r>
        <w:rPr>
          <w:rFonts w:ascii="Courier New" w:hAnsi="Courier New"/>
          <w:sz w:val="20"/>
        </w:rPr>
        <w:t>| low           | 0–5%              | +0–5%              |</w:t>
      </w:r>
    </w:p>
    <w:p>
      <w:r>
        <w:rPr>
          <w:rFonts w:ascii="Courier New" w:hAnsi="Courier New"/>
          <w:sz w:val="20"/>
        </w:rPr>
        <w:t>| medium        | 5–12%             | +5–15%             |</w:t>
      </w:r>
    </w:p>
    <w:p>
      <w:r>
        <w:rPr>
          <w:rFonts w:ascii="Courier New" w:hAnsi="Courier New"/>
          <w:sz w:val="20"/>
        </w:rPr>
        <w:t>| high          | 12–25%            | +15–30%            |</w:t>
      </w:r>
    </w:p>
    <w:p>
      <w:r>
        <w:rPr>
          <w:sz w:val="20"/>
        </w:rPr>
        <w:t>Default `avgAnnualSalary = €60,000`.</w:t>
      </w:r>
    </w:p>
    <w:p/>
    <w:p>
      <w:pPr>
        <w:pStyle w:val="Heading2"/>
      </w:pPr>
      <w:r>
        <w:rPr>
          <w:color w:val="1A569A"/>
          <w:sz w:val="24"/>
        </w:rPr>
        <w:t>11. Adaptive Baseline (EWMA)</w:t>
      </w:r>
    </w:p>
    <w:p>
      <w:r>
        <w:rPr>
          <w:sz w:val="20"/>
        </w:rPr>
        <w:t>Exponentially weighted moving average for personalised baseline: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ewma_t = α × value_t + (1 − α) × ewma_{t−1}</w:t>
      </w:r>
    </w:p>
    <w:p>
      <w:r>
        <w:rPr>
          <w:sz w:val="20"/>
        </w:rPr>
        <w:t>Where `α = 0.38` (recency weight parameter).</w:t>
      </w:r>
    </w:p>
    <w:p>
      <w:r>
        <w:rPr>
          <w:sz w:val="20"/>
        </w:rPr>
      </w:r>
      <w:r>
        <w:rPr>
          <w:b/>
          <w:sz w:val="20"/>
        </w:rPr>
        <w:t>Weighted standard deviation with recency decay:</w:t>
      </w:r>
      <w:r>
        <w:rPr>
          <w:sz w:val="20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weight_i = 0.92^(N − 1 − i)   # 0.92 = RECENCY_DECAY, i = position ascending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variance  = Σ(weight_i × (value_i − ewma)²) / Σ(weight_i)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std       = max(sqrt(variance), 0.18)   # floor = MIN_STD</w:t>
      </w:r>
    </w:p>
    <w:p>
      <w:r>
        <w:rPr>
          <w:sz w:val="20"/>
        </w:rPr>
      </w:r>
      <w:r>
        <w:rPr>
          <w:b/>
          <w:sz w:val="20"/>
        </w:rPr>
        <w:t>Baseline confidence:</w:t>
      </w:r>
      <w:r>
        <w:rPr>
          <w:sz w:val="20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coverage  = clamp(n_samples / 10, 0, 1)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recency   = 1.00 if hours_since_last ≤ 48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= 0.80 if hours_since_last ≤ 96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= 0.60 otherwise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stability = 1 − clamp(volatility / 1.4, 0, 1)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confidence = clamp(0.20 + coverage × 0.40 + recency × 0.15 + stability × 0.25, 0.20, 0.95)</w:t>
      </w:r>
    </w:p>
    <w:p/>
    <w:p>
      <w:pPr>
        <w:pStyle w:val="Heading2"/>
      </w:pPr>
      <w:r>
        <w:rPr>
          <w:color w:val="1A569A"/>
          <w:sz w:val="24"/>
        </w:rPr>
        <w:t>12. Risk Levels (individual, from riskScore)</w:t>
      </w:r>
    </w:p>
    <w:p>
      <w:r>
        <w:rPr>
          <w:rFonts w:ascii="Courier New" w:hAnsi="Courier New"/>
          <w:sz w:val="20"/>
        </w:rPr>
        <w:t>| Level  | Condition               |</w:t>
      </w:r>
    </w:p>
    <w:p>
      <w:r>
        <w:rPr>
          <w:rFonts w:ascii="Courier New" w:hAnsi="Courier New"/>
          <w:sz w:val="20"/>
        </w:rPr>
        <w:t>| ------ | ----------------------- |</w:t>
      </w:r>
    </w:p>
    <w:p>
      <w:r>
        <w:rPr>
          <w:rFonts w:ascii="Courier New" w:hAnsi="Courier New"/>
          <w:sz w:val="20"/>
        </w:rPr>
        <w:t>| low    | riskScore &lt; 0.38        |</w:t>
      </w:r>
    </w:p>
    <w:p>
      <w:r>
        <w:rPr>
          <w:rFonts w:ascii="Courier New" w:hAnsi="Courier New"/>
          <w:sz w:val="20"/>
        </w:rPr>
        <w:t>| medium | 0.38 ≤ riskScore &lt; 0.68 |</w:t>
      </w:r>
    </w:p>
    <w:p>
      <w:r>
        <w:rPr>
          <w:rFonts w:ascii="Courier New" w:hAnsi="Courier New"/>
          <w:sz w:val="20"/>
        </w:rPr>
        <w:t>| high   | riskScore ≥ 0.68        |</w:t>
      </w:r>
    </w:p>
    <w:p>
      <w:r>
        <w:rPr>
          <w:sz w:val="20"/>
        </w:rPr>
        <w:t>Uncertainty classification: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uncertaintyLevel = high    if confidence &lt; 0.45 OR uncertaintyCoefficient ≥ 1.15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    = medium  if confidence &lt; 0.70 OR uncertaintyCoefficient ≥ 0.70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    = low     otherwise</w:t>
      </w:r>
    </w:p>
    <w:p/>
    <w:p>
      <w:pPr>
        <w:pStyle w:val="Heading2"/>
      </w:pPr>
      <w:r>
        <w:rPr>
          <w:color w:val="1A569A"/>
          <w:sz w:val="24"/>
        </w:rPr>
        <w:t>13. Outcome Worsening Evidence (online evaluation)</w:t>
      </w:r>
    </w:p>
    <w:p>
      <w:r>
        <w:rPr>
          <w:sz w:val="20"/>
        </w:rPr>
        <w:t>Applied 7 days after a risk event prediction: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worsenedByDeltaAndVolatility: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stressAfter − stressBefore ≥ 0.30   (WORSENING_STRESS_DELTA)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AND stressVolatilityAfter ≥ 0.35    (WORSENING_VOLATILITY_THRESHOLD)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worsenedByMoodAndTrend: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moodBefore − moodAfter ≥ 0.25       (WORSENING_MOOD_DELTA)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AND sustainedWorseningDays ≥ 3      (WORSENING_SUSTAINED_DAYS)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actualOutcome = worsened     if worsenedByDeltaAndVolatility OR worsenedByMoodAndTrend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   = not_worsened otherwise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