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A04 Risk Register Template</w:t>
      </w:r>
    </w:p>
    <w:p>
      <w:pPr>
        <w:jc w:val="center"/>
      </w:pPr>
      <w:r>
        <w:rPr>
          <w:sz w:val="24"/>
        </w:rPr>
        <w:t>Appendices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A04 Risk Register Template</w:t>
      </w:r>
    </w:p>
    <w:p>
      <w:r>
        <w:rPr>
          <w:sz w:val="20"/>
        </w:rPr>
        <w:t>Мова: Українська (default) | [English](A04-risk-register-template.en.md)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Template for scientific, technical, legal, and adoption risks.</w:t>
      </w:r>
    </w:p>
    <w:p>
      <w:pPr>
        <w:pStyle w:val="Heading2"/>
      </w:pPr>
      <w:r>
        <w:rPr>
          <w:color w:val="1A569A"/>
          <w:sz w:val="24"/>
        </w:rPr>
        <w:t>Table Template</w:t>
      </w:r>
    </w:p>
    <w:p>
      <w:r>
        <w:rPr>
          <w:rFonts w:ascii="Courier New" w:hAnsi="Courier New"/>
          <w:sz w:val="20"/>
        </w:rPr>
        <w:t>| Risk ID | Category | Description | Probability | Impact | Trigger | Mitigation | Owner | Status |</w:t>
      </w:r>
    </w:p>
    <w:p>
      <w:r>
        <w:rPr>
          <w:rFonts w:ascii="Courier New" w:hAnsi="Courier New"/>
          <w:sz w:val="20"/>
        </w:rPr>
        <w:t>|---------|----------|-------------|-------------|--------|---------|------------|-------|--------|</w:t>
      </w:r>
    </w:p>
    <w:p>
      <w:r>
        <w:rPr>
          <w:rFonts w:ascii="Courier New" w:hAnsi="Courier New"/>
          <w:sz w:val="20"/>
        </w:rPr>
        <w:t>| R-001 |  |  |  |  |  |  |  |  |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