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A05 Consent and Ethics Templates</w:t>
      </w:r>
    </w:p>
    <w:p>
      <w:pPr>
        <w:jc w:val="center"/>
      </w:pPr>
      <w:r>
        <w:rPr>
          <w:sz w:val="24"/>
        </w:rPr>
        <w:t>Appendices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A05 Consent and Ethics Templates</w:t>
      </w:r>
    </w:p>
    <w:p>
      <w:r>
        <w:rPr>
          <w:sz w:val="20"/>
        </w:rPr>
        <w:t>Мова: Українська (default) | [English](A05-consent-and-ethics-templates.en.md)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Checklist and placeholders for consent forms, participant information sheets, and ethics review packages.</w:t>
      </w:r>
    </w:p>
    <w:p>
      <w:pPr>
        <w:pStyle w:val="Heading2"/>
      </w:pPr>
      <w:r>
        <w:rPr>
          <w:color w:val="1A569A"/>
          <w:sz w:val="24"/>
        </w:rPr>
        <w:t>Checklist</w:t>
      </w:r>
    </w:p>
    <w:p>
      <w:pPr>
        <w:pStyle w:val="ListBullet"/>
        <w:ind w:left="283"/>
      </w:pPr>
      <w:r>
        <w:rPr>
          <w:sz w:val="20"/>
        </w:rPr>
        <w:t>Participant information sheet</w:t>
      </w:r>
    </w:p>
    <w:p>
      <w:pPr>
        <w:pStyle w:val="ListBullet"/>
        <w:ind w:left="283"/>
      </w:pPr>
      <w:r>
        <w:rPr>
          <w:sz w:val="20"/>
        </w:rPr>
        <w:t>Informed consent form</w:t>
      </w:r>
    </w:p>
    <w:p>
      <w:pPr>
        <w:pStyle w:val="ListBullet"/>
        <w:ind w:left="283"/>
      </w:pPr>
      <w:r>
        <w:rPr>
          <w:sz w:val="20"/>
        </w:rPr>
        <w:t>Withdrawal process</w:t>
      </w:r>
    </w:p>
    <w:p>
      <w:pPr>
        <w:pStyle w:val="ListBullet"/>
        <w:ind w:left="283"/>
      </w:pPr>
      <w:r>
        <w:rPr>
          <w:sz w:val="20"/>
        </w:rPr>
        <w:t>Data retention statement</w:t>
      </w:r>
    </w:p>
    <w:p>
      <w:pPr>
        <w:pStyle w:val="ListBullet"/>
        <w:ind w:left="283"/>
      </w:pPr>
      <w:r>
        <w:rPr>
          <w:sz w:val="20"/>
        </w:rPr>
        <w:t>Sensitive data handling policy</w:t>
      </w:r>
    </w:p>
    <w:p>
      <w:pPr>
        <w:pStyle w:val="ListBullet"/>
        <w:ind w:left="283"/>
      </w:pPr>
      <w:r>
        <w:rPr>
          <w:sz w:val="20"/>
        </w:rPr>
        <w:t>Incident/escalation protocol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