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4"/>
        </w:rPr>
        <w:t>Part B — Section 1: Excellence</w:t>
      </w:r>
    </w:p>
    <w:p>
      <w:pPr>
        <w:jc w:val="center"/>
      </w:pPr>
      <w:r>
        <w:rPr>
          <w:sz w:val="26"/>
        </w:rPr>
        <w:t>EIC Pathfinder — Technical Proposal</w:t>
      </w:r>
    </w:p>
    <w:p>
      <w:pPr>
        <w:jc w:val="center"/>
      </w:pPr>
      <w:r>
        <w:rPr>
          <w:color w:val="555555"/>
          <w:sz w:val="20"/>
        </w:rPr>
        <w:t>Dzvin.co + DIP  |  2026-08-08  |  Grant Application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1.1 Objectives and Ambition</w:t>
      </w:r>
    </w:p>
    <w:p>
      <w:r>
        <w:rPr>
          <w:sz w:val="20"/>
        </w:rPr>
        <w:t>This project develops a theoretically grounded Decision Intelligence Platform (DIP) for corporate mental wellbeing (Dzvin.co), demonstrating how explainable hybrid AI can improve the quality, safety, and auditability of high-stakes organisational decisions at scale.</w:t>
      </w:r>
    </w:p>
    <w:p>
      <w:r>
        <w:rPr>
          <w:b/>
          <w:sz w:val="20"/>
        </w:rPr>
        <w:t>Chain of evidence:</w:t>
      </w:r>
    </w:p>
    <w:p>
      <w:pPr>
        <w:pStyle w:val="ListBullet"/>
      </w:pPr>
      <w:r>
        <w:rPr>
          <w:sz w:val="20"/>
        </w:rPr>
        <w:t>Existing system (Dzvin.co + DIP MVP, TRL 4-6)</w:t>
      </w:r>
    </w:p>
    <w:p>
      <w:pPr>
        <w:pStyle w:val="ListBullet"/>
      </w:pPr>
      <w:r>
        <w:rPr>
          <w:sz w:val="20"/>
        </w:rPr>
        <w:t>Mathematical problem: heuristic weights without theoretical optimality guarantees</w:t>
      </w:r>
    </w:p>
    <w:p>
      <w:pPr>
        <w:pStyle w:val="ListBullet"/>
      </w:pPr>
      <w:r>
        <w:rPr>
          <w:sz w:val="20"/>
        </w:rPr>
        <w:t>Proposed method: state-vector risk model + minimax estimation + hybrid governance</w:t>
      </w:r>
    </w:p>
    <w:p>
      <w:pPr>
        <w:pStyle w:val="ListBullet"/>
      </w:pPr>
      <w:r>
        <w:rPr>
          <w:sz w:val="20"/>
        </w:rPr>
        <w:t>Scientific novelty: 5 testable claims (N1-N5)</w:t>
      </w:r>
    </w:p>
    <w:p>
      <w:pPr>
        <w:pStyle w:val="ListBullet"/>
      </w:pPr>
      <w:r>
        <w:rPr>
          <w:sz w:val="20"/>
        </w:rPr>
        <w:t>Verification: 5 hypotheses (H1-H5) mapped to 5 experiments</w:t>
      </w:r>
    </w:p>
    <w:p>
      <w:pPr>
        <w:pStyle w:val="ListBullet"/>
      </w:pPr>
      <w:r>
        <w:rPr>
          <w:sz w:val="20"/>
        </w:rPr>
        <w:t>Expected result: TRL 6-7, 2+ publications, open algorithm specification</w:t>
      </w:r>
    </w:p>
    <w:p>
      <w:pPr>
        <w:pStyle w:val="Heading1"/>
      </w:pPr>
      <w:r>
        <w:rPr>
          <w:color w:val="222A5C"/>
          <w:sz w:val="30"/>
        </w:rPr>
        <w:t>1.2 Relation to the State of the Art</w:t>
      </w:r>
    </w:p>
    <w:p>
      <w:pPr>
        <w:pStyle w:val="Heading2"/>
      </w:pPr>
      <w:r>
        <w:rPr>
          <w:color w:val="1A569A"/>
          <w:sz w:val="24"/>
        </w:rPr>
        <w:t>Problem gap</w:t>
      </w:r>
    </w:p>
    <w:p>
      <w:pPr>
        <w:pStyle w:val="ListBullet"/>
      </w:pPr>
      <w:r>
        <w:rPr>
          <w:sz w:val="20"/>
        </w:rPr>
        <w:t>Existing wellbeing platforms: static dashboards, no formal risk model</w:t>
      </w:r>
    </w:p>
    <w:p>
      <w:pPr>
        <w:pStyle w:val="ListBullet"/>
      </w:pPr>
      <w:r>
        <w:rPr>
          <w:sz w:val="20"/>
        </w:rPr>
        <w:t>MLOps platforms: no domain-specific decision governance for mental wellbeing</w:t>
      </w:r>
    </w:p>
    <w:p>
      <w:pPr>
        <w:pStyle w:val="ListBullet"/>
      </w:pPr>
      <w:r>
        <w:rPr>
          <w:sz w:val="20"/>
        </w:rPr>
        <w:t>Academic literature: risk models for mental health use population-level statistics, not personalised state vectors</w:t>
      </w:r>
    </w:p>
    <w:p>
      <w:pPr>
        <w:pStyle w:val="Heading2"/>
      </w:pPr>
      <w:r>
        <w:rPr>
          <w:color w:val="1A569A"/>
          <w:sz w:val="24"/>
        </w:rPr>
        <w:t>Proposed contribution</w:t>
      </w:r>
    </w:p>
    <w:p>
      <w:pPr>
        <w:pStyle w:val="ListBullet"/>
      </w:pPr>
      <w:r>
        <w:rPr>
          <w:sz w:val="20"/>
        </w:rPr>
        <w:t>N1: Declarative hybrid decision layer — rules + ML + policy conflict resolution + explanation artifact</w:t>
      </w:r>
    </w:p>
    <w:p>
      <w:pPr>
        <w:pStyle w:val="ListBullet"/>
      </w:pPr>
      <w:r>
        <w:rPr>
          <w:sz w:val="20"/>
        </w:rPr>
        <w:t>N2: Explainability as first-class API contract, not post-hoc UI</w:t>
      </w:r>
    </w:p>
    <w:p>
      <w:pPr>
        <w:pStyle w:val="ListBullet"/>
      </w:pPr>
      <w:r>
        <w:rPr>
          <w:sz w:val="20"/>
        </w:rPr>
        <w:t>N3: 5-dimensional state vector x_t = (stress, mood, volatility, recovery, social stability) with minimax bounds</w:t>
      </w:r>
    </w:p>
    <w:p>
      <w:pPr>
        <w:pStyle w:val="ListBullet"/>
      </w:pPr>
      <w:r>
        <w:rPr>
          <w:sz w:val="20"/>
        </w:rPr>
        <w:t>N4: Online policy self-protection: auto-mitigation under drift, formal safety guarantees</w:t>
      </w:r>
    </w:p>
    <w:p>
      <w:pPr>
        <w:pStyle w:val="ListBullet"/>
      </w:pPr>
      <w:r>
        <w:rPr>
          <w:sz w:val="20"/>
        </w:rPr>
        <w:t>N5: Research-to-production traceability: same contract from experiment to inference</w:t>
      </w:r>
    </w:p>
    <w:p>
      <w:pPr>
        <w:pStyle w:val="Heading1"/>
      </w:pPr>
      <w:r>
        <w:rPr>
          <w:color w:val="222A5C"/>
          <w:sz w:val="30"/>
        </w:rPr>
        <w:t>1.3 Methodology</w:t>
      </w:r>
    </w:p>
    <w:p>
      <w:pPr>
        <w:pStyle w:val="Heading2"/>
      </w:pPr>
      <w:r>
        <w:rPr>
          <w:color w:val="1A569A"/>
          <w:sz w:val="24"/>
        </w:rPr>
        <w:t>Scientific hypotheses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454"/>
            <w:shd w:val="clear" w:color="auto" w:fill="D6E4F7"/>
          </w:tcPr>
          <w:p>
            <w:r>
              <w:rPr>
                <w:b/>
                <w:sz w:val="18"/>
              </w:rPr>
              <w:t>H</w:t>
            </w:r>
          </w:p>
        </w:tc>
        <w:tc>
          <w:tcPr>
            <w:tcW w:type="dxa" w:w="3118"/>
            <w:shd w:val="clear" w:color="auto" w:fill="D6E4F7"/>
          </w:tcPr>
          <w:p>
            <w:r>
              <w:rPr>
                <w:b/>
                <w:sz w:val="18"/>
              </w:rPr>
              <w:t>Statement</w:t>
            </w:r>
          </w:p>
        </w:tc>
        <w:tc>
          <w:tcPr>
            <w:tcW w:type="dxa" w:w="2381"/>
            <w:shd w:val="clear" w:color="auto" w:fill="D6E4F7"/>
          </w:tcPr>
          <w:p>
            <w:r>
              <w:rPr>
                <w:b/>
                <w:sz w:val="18"/>
              </w:rPr>
              <w:t>Primary Metrics</w:t>
            </w:r>
          </w:p>
        </w:tc>
        <w:tc>
          <w:tcPr>
            <w:tcW w:type="dxa" w:w="1701"/>
            <w:shd w:val="clear" w:color="auto" w:fill="D6E4F7"/>
          </w:tcPr>
          <w:p>
            <w:r>
              <w:rPr>
                <w:b/>
                <w:sz w:val="18"/>
              </w:rPr>
              <w:t>Experiment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Hybrid Rule+ML &gt; pure ML and rules-only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AUROC, false alert rate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EXP-HYB-002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Personal EWMA baseline &gt; population baseline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Calibration error, Brier score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EXP-AB-001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Explainability increases trust and adoption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Trust uplift ≥ +10%, comprehension ≥ 80%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EXP-XAI-003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H4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Adaptive features stable under drift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Drift resilience index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EXP-004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H5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Governance loops reduce degraded periods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Degraded cycle duration, rollback rate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EXP-GOV-004</w:t>
            </w:r>
          </w:p>
        </w:tc>
      </w:tr>
    </w:tbl>
    <w:p/>
    <w:p>
      <w:pPr>
        <w:pStyle w:val="Heading2"/>
      </w:pPr>
      <w:r>
        <w:rPr>
          <w:color w:val="1A569A"/>
          <w:sz w:val="24"/>
        </w:rPr>
        <w:t>Key verified formulas (from production code)</w:t>
      </w:r>
    </w:p>
    <w:p>
      <w:pPr>
        <w:pStyle w:val="ListBullet"/>
      </w:pPr>
      <w:r>
        <w:rPr>
          <w:sz w:val="20"/>
        </w:rPr>
        <w:t>riskScore = 0.55·P_pred + 0.25·P_anomaly + 0.20·sigmoid(zScore)</w:t>
      </w:r>
    </w:p>
    <w:p>
      <w:pPr>
        <w:pStyle w:val="ListBullet"/>
      </w:pPr>
      <w:r>
        <w:rPr>
          <w:sz w:val="20"/>
        </w:rPr>
        <w:t>Burnout Index = 0.30·s_norm + 0.20·(1-m) + 0.20·(1-e) + 0.10·(1-f) + 0.15·h + 0.05·g</w:t>
      </w:r>
    </w:p>
    <w:p>
      <w:pPr>
        <w:pStyle w:val="ListBullet"/>
      </w:pPr>
      <w:r>
        <w:rPr>
          <w:sz w:val="20"/>
        </w:rPr>
        <w:t>EWMA: ŝ_t = 0.38·s_t + 0.62·ŝ_{t-1}; std floor = 0.18</w:t>
      </w:r>
    </w:p>
    <w:p>
      <w:pPr>
        <w:pStyle w:val="ListBullet"/>
      </w:pPr>
      <w:r>
        <w:rPr>
          <w:sz w:val="20"/>
        </w:rPr>
        <w:t>ML Trust = clamp([0.40·acc + 0.25·(1-cal) + 0.20·(1-drift) + 0.15·cov] × penalty)</w:t>
      </w:r>
    </w:p>
    <w:p>
      <w:pPr>
        <w:pStyle w:val="ListBullet"/>
      </w:pPr>
      <w:r>
        <w:rPr>
          <w:sz w:val="20"/>
        </w:rPr>
        <w:t>See 11-rd-technical-dossier.docx for full specification</w:t>
      </w:r>
    </w:p>
    <w:p>
      <w:pPr>
        <w:pStyle w:val="Heading2"/>
      </w:pPr>
      <w:r>
        <w:rPr>
          <w:color w:val="1A569A"/>
          <w:sz w:val="24"/>
        </w:rPr>
        <w:t>Numerical evidence (current 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D6E4F7"/>
          </w:tcPr>
          <w:p>
            <w:r>
              <w:rPr>
                <w:b/>
                <w:sz w:val="18"/>
              </w:rPr>
              <w:t>Example</w:t>
            </w:r>
          </w:p>
        </w:tc>
        <w:tc>
          <w:tcPr>
            <w:tcW w:type="dxa" w:w="4535"/>
            <w:shd w:val="clear" w:color="auto" w:fill="D6E4F7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551"/>
            <w:shd w:val="clear" w:color="auto" w:fill="D6E4F7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Burnout Index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avgStress=3.8, avgMood=2.8, avgEnergy=2.6, highRisk=30%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BI = 55 (medium)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Risk Score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stress_t=4.2, volatility=0.9, baseline.mean=3.0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riskScore = 0.780 (high)</w:t>
            </w:r>
          </w:p>
        </w:tc>
      </w:tr>
    </w:tbl>
    <w:p/>
    <w:p>
      <w:pPr>
        <w:pStyle w:val="Heading1"/>
      </w:pPr>
      <w:r>
        <w:rPr>
          <w:color w:val="222A5C"/>
          <w:sz w:val="30"/>
        </w:rPr>
        <w:t>1.4 Ambition</w:t>
      </w:r>
    </w:p>
    <w:p>
      <w:pPr>
        <w:pStyle w:val="ListBullet"/>
      </w:pPr>
      <w:r>
        <w:rPr>
          <w:sz w:val="20"/>
        </w:rPr>
        <w:t>First formally grounded state-vector risk model validated in a real corporate mental wellbeing deployment</w:t>
      </w:r>
    </w:p>
    <w:p>
      <w:pPr>
        <w:pStyle w:val="ListBullet"/>
      </w:pPr>
      <w:r>
        <w:rPr>
          <w:sz w:val="20"/>
        </w:rPr>
        <w:t>Open algorithm specification enabling replication and extension by the research community</w:t>
      </w:r>
    </w:p>
    <w:p>
      <w:pPr>
        <w:pStyle w:val="ListBullet"/>
      </w:pPr>
      <w:r>
        <w:rPr>
          <w:sz w:val="20"/>
        </w:rPr>
        <w:t>Demonstration that platform-level decision governance can operate safely under distributional drift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Horizon Europe References:</w:t>
      </w:r>
    </w:p>
    <w:p>
      <w:pPr>
        <w:pStyle w:val="ListBullet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</w:pPr>
      <w:r>
        <w:rPr>
          <w:sz w:val="20"/>
        </w:rPr>
        <w:t>Funding and Tenders Portal: https://research-and-innovation.ec.europa.eu/funding/how-apply/application-process_en</w:t>
      </w:r>
    </w:p>
    <w:p>
      <w:pPr>
        <w:pStyle w:val="ListBullet"/>
      </w:pPr>
      <w:r>
        <w:rPr>
          <w:sz w:val="20"/>
        </w:rPr>
        <w:t>EIC Pathfinder FAQ: https://eic.ec.europa.eu/eic-frequently-asked-questions/faqs-general-conditions-and-eligibility_en</w:t>
      </w:r>
    </w:p>
    <w:p>
      <w:pPr>
        <w:pStyle w:val="ListBullet"/>
      </w:pPr>
      <w:r>
        <w:rPr>
          <w:sz w:val="20"/>
        </w:rPr>
        <w:t>Evaluation Form: https://ec.europa.eu/info/funding-tenders/opportunities/docs/2021-2027/horizon/temp-form/ef/ef_he-eic-pathfinder-open_en.pdf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