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4"/>
        </w:rPr>
        <w:t>Part B — Section 2: Impact</w:t>
      </w:r>
    </w:p>
    <w:p>
      <w:pPr>
        <w:jc w:val="center"/>
      </w:pPr>
      <w:r>
        <w:rPr>
          <w:sz w:val="26"/>
        </w:rPr>
        <w:t>EIC Pathfinder — Expected Outcomes and Exploitation</w:t>
      </w:r>
    </w:p>
    <w:p>
      <w:pPr>
        <w:jc w:val="center"/>
      </w:pPr>
      <w:r>
        <w:rPr>
          <w:color w:val="555555"/>
          <w:sz w:val="20"/>
        </w:rPr>
        <w:t>Dzvin.co + DIP  |  2026-08-08  |  Grant Application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2.1 Expected Outcomes and Impacts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shd w:val="clear" w:color="auto" w:fill="D6E4F7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4989"/>
            <w:shd w:val="clear" w:color="auto" w:fill="D6E4F7"/>
          </w:tcPr>
          <w:p>
            <w:r>
              <w:rPr>
                <w:b/>
                <w:sz w:val="18"/>
              </w:rPr>
              <w:t>Pathway</w:t>
            </w:r>
          </w:p>
        </w:tc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Timeframe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Scientific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Validated methods for explainable hybrid decision intelligence; peer-reviewed publications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During and post-project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Societal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Improved early detection of wellbeing risk in corporate settings; reduction of unmanaged high-risk periods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Mid-term (pilot phase)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Economic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Improved organisational decision quality; quantified ROI via Burnout Index → business impact model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Short-to-mid-term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Technological</w:t>
            </w:r>
          </w:p>
        </w:tc>
        <w:tc>
          <w:tcPr>
            <w:tcW w:type="dxa" w:w="4989"/>
          </w:tcPr>
          <w:p>
            <w:r>
              <w:rPr>
                <w:sz w:val="18"/>
              </w:rPr>
              <w:t>Reusable DIP platform applicable to healthcare, HR, education, finance domains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Long-term (platform reuse)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2.2 Impact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Trust and adoption uplift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≥ +10% vs no-explanation cohort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NFR-005, EXP-XAI-003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High-risk signal response timeliness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≥ 20% faster than baseline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WP5 pilot metrics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Calibration error of optimised model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&lt; 0.15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EXP-WEIGHT-006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Number of reusable platform integrations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≥ 1 second-domain pilot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M7 milestone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Dissemination outputs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≥ 2 peer-reviewed publications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WP6 deliverable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2.3 Exploitation Plan</w:t>
      </w:r>
    </w:p>
    <w:p>
      <w:pPr>
        <w:pStyle w:val="Heading2"/>
      </w:pPr>
      <w:r>
        <w:rPr>
          <w:color w:val="1A569A"/>
          <w:sz w:val="24"/>
        </w:rPr>
        <w:t>Exploitable assets</w:t>
      </w:r>
    </w:p>
    <w:p>
      <w:pPr>
        <w:pStyle w:val="ListBullet"/>
      </w:pPr>
      <w:r>
        <w:rPr>
          <w:sz w:val="20"/>
        </w:rPr>
        <w:t>Platform architecture and decision contracts (DIP)</w:t>
      </w:r>
    </w:p>
    <w:p>
      <w:pPr>
        <w:pStyle w:val="ListBullet"/>
      </w:pPr>
      <w:r>
        <w:rPr>
          <w:sz w:val="20"/>
        </w:rPr>
        <w:t>Validated hybrid policy/governance patterns</w:t>
      </w:r>
    </w:p>
    <w:p>
      <w:pPr>
        <w:pStyle w:val="ListBullet"/>
      </w:pPr>
      <w:r>
        <w:rPr>
          <w:sz w:val="20"/>
        </w:rPr>
        <w:t>Explainability and evaluation protocols</w:t>
      </w:r>
    </w:p>
    <w:p>
      <w:pPr>
        <w:pStyle w:val="ListBullet"/>
      </w:pPr>
      <w:r>
        <w:rPr>
          <w:sz w:val="20"/>
        </w:rPr>
        <w:t>Product integration playbooks (Dzvin.co)</w:t>
      </w:r>
    </w:p>
    <w:p>
      <w:pPr>
        <w:pStyle w:val="Heading2"/>
      </w:pPr>
      <w:r>
        <w:rPr>
          <w:color w:val="1A569A"/>
          <w:sz w:val="24"/>
        </w:rPr>
        <w:t>Routes to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4535"/>
            <w:shd w:val="clear" w:color="auto" w:fill="D6E4F7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6E4F7"/>
          </w:tcPr>
          <w:p>
            <w:r>
              <w:rPr>
                <w:b/>
                <w:sz w:val="18"/>
              </w:rPr>
              <w:t>Timeline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Internal scaling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Dzvin.co production deployment across enterprise clients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M6-M24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Platform licensing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DIP capabilities licensed to integrators and partners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Post-project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Research collaboration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Open algorithm specification + academic publications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During project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2.4 Commercialisation</w:t>
      </w:r>
    </w:p>
    <w:p>
      <w:pPr>
        <w:pStyle w:val="Heading2"/>
      </w:pPr>
      <w:r>
        <w:rPr>
          <w:color w:val="1A569A"/>
          <w:sz w:val="24"/>
        </w:rPr>
        <w:t>Business model</w:t>
      </w:r>
    </w:p>
    <w:p>
      <w:pPr>
        <w:pStyle w:val="ListBullet"/>
      </w:pPr>
      <w:r>
        <w:rPr>
          <w:sz w:val="20"/>
        </w:rPr>
        <w:t>Dzvin.co: tiered B2B/B2B2C subscription by active population and modules</w:t>
      </w:r>
    </w:p>
    <w:p>
      <w:pPr>
        <w:pStyle w:val="ListBullet"/>
      </w:pPr>
      <w:r>
        <w:rPr>
          <w:sz w:val="20"/>
        </w:rPr>
        <w:t>DIP: usage/license components by decision volume and enabled capabilities</w:t>
      </w:r>
    </w:p>
    <w:p>
      <w:pPr>
        <w:pStyle w:val="ListBullet"/>
      </w:pPr>
      <w:r>
        <w:rPr>
          <w:sz w:val="20"/>
        </w:rPr>
        <w:t>Professional services: onboarding, compliance setup, custom governance</w:t>
      </w:r>
    </w:p>
    <w:p>
      <w:pPr>
        <w:pStyle w:val="Heading2"/>
      </w:pPr>
      <w:r>
        <w:rPr>
          <w:color w:val="1A569A"/>
          <w:sz w:val="24"/>
        </w:rPr>
        <w:t>Go-to-market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D6E4F7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5386"/>
            <w:shd w:val="clear" w:color="auto" w:fill="D6E4F7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Month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Validation pilots + reference customers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M1-M6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Repeatable deployment package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M9-M15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Regional scaling via partner channels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M18-M24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Platform extension to adjacent domains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Post-M24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2.5 Dissemination Plan</w:t>
      </w:r>
    </w:p>
    <w:p>
      <w:pPr>
        <w:pStyle w:val="ListBullet"/>
      </w:pPr>
      <w:r>
        <w:rPr>
          <w:sz w:val="20"/>
        </w:rPr>
        <w:t>2+ peer-reviewed publications: adaptive risk modelling, hybrid governance (target: IEEE/ACM/Nature Digital Medicine)</w:t>
      </w:r>
    </w:p>
    <w:p>
      <w:pPr>
        <w:pStyle w:val="ListBullet"/>
      </w:pPr>
      <w:r>
        <w:rPr>
          <w:sz w:val="20"/>
        </w:rPr>
        <w:t>Preprint: formal description of state-vector risk assessment algorithm</w:t>
      </w:r>
    </w:p>
    <w:p>
      <w:pPr>
        <w:pStyle w:val="ListBullet"/>
      </w:pPr>
      <w:r>
        <w:rPr>
          <w:sz w:val="20"/>
        </w:rPr>
        <w:t>Open algorithm specification for community use</w:t>
      </w:r>
    </w:p>
    <w:p>
      <w:pPr>
        <w:pStyle w:val="ListBullet"/>
      </w:pPr>
      <w:r>
        <w:rPr>
          <w:sz w:val="20"/>
        </w:rPr>
        <w:t>Technical whitepaper for HR/wellbeing domain practitioners</w:t>
      </w:r>
    </w:p>
    <w:p>
      <w:pPr>
        <w:pStyle w:val="ListBullet"/>
      </w:pPr>
      <w:r>
        <w:rPr>
          <w:sz w:val="20"/>
        </w:rPr>
        <w:t>Conference presentations and workshop participation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Horizon Europe References:</w:t>
      </w:r>
    </w:p>
    <w:p>
      <w:pPr>
        <w:pStyle w:val="ListBullet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</w:pPr>
      <w:r>
        <w:rPr>
          <w:sz w:val="20"/>
        </w:rPr>
        <w:t>Funding and Tenders Portal: https://research-and-innovation.ec.europa.eu/funding/how-apply/application-process_en</w:t>
      </w:r>
    </w:p>
    <w:p>
      <w:pPr>
        <w:pStyle w:val="ListBullet"/>
      </w:pPr>
      <w:r>
        <w:rPr>
          <w:sz w:val="20"/>
        </w:rPr>
        <w:t>EIC Pathfinder FAQ: https://eic.ec.europa.eu/eic-frequently-asked-questions/faqs-general-conditions-and-eligibility_en</w:t>
      </w:r>
    </w:p>
    <w:p>
      <w:pPr>
        <w:pStyle w:val="ListBullet"/>
      </w:pPr>
      <w:r>
        <w:rPr>
          <w:sz w:val="20"/>
        </w:rPr>
        <w:t>Evaluation Form: https://ec.europa.eu/info/funding-tenders/opportunities/docs/2021-2027/horizon/temp-form/ef/ef_he-eic-pathfinder-open_en.pdf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