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Ethics Self-Assessment</w:t>
      </w:r>
    </w:p>
    <w:p>
      <w:pPr>
        <w:jc w:val="center"/>
      </w:pPr>
      <w:r>
        <w:rPr>
          <w:sz w:val="26"/>
        </w:rPr>
        <w:t>Responsible AI, Data Protection, Clinical Safety</w:t>
      </w:r>
    </w:p>
    <w:p>
      <w:pPr>
        <w:jc w:val="center"/>
      </w:pPr>
      <w:r>
        <w:rPr>
          <w:color w:val="555555"/>
          <w:sz w:val="20"/>
        </w:rPr>
        <w:t>Dzvin.co + DIP  |  2026-08-08  | 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1. Ethical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Principle</w:t>
            </w:r>
          </w:p>
        </w:tc>
        <w:tc>
          <w:tcPr>
            <w:tcW w:type="dxa" w:w="6520"/>
            <w:shd w:val="clear" w:color="auto" w:fill="D6E4F7"/>
          </w:tcPr>
          <w:p>
            <w:r>
              <w:rPr>
                <w:b/>
                <w:sz w:val="18"/>
              </w:rPr>
              <w:t>Application in Dzvin.co + DIP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Beneficence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Wellbeing signals used exclusively to support user and organisational decision-making; no coercive 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Non-maleficence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Algorithm output limitations disclosed; human review required for high-risk, low-confidence decisions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Autonomy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Informed opt-in; users can withdraw at any time; data not processed beyond declared 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Justice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Bias audits across demographic and organisational segments; mitigation plan for detected disparities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Accountability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Immutable decision audit log; policy change journal with owner, reason, and TTL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2. Sensitive Use Constraints</w:t>
      </w:r>
    </w:p>
    <w:p>
      <w:pPr>
        <w:pStyle w:val="ListBullet"/>
      </w:pPr>
      <w:r>
        <w:rPr>
          <w:sz w:val="20"/>
        </w:rPr>
        <w:t>No diagnostic clinical conclusions in user-facing surfaces — output framed as decision support, not clinical assessment</w:t>
      </w:r>
    </w:p>
    <w:p>
      <w:pPr>
        <w:pStyle w:val="ListBullet"/>
      </w:pPr>
      <w:r>
        <w:rPr>
          <w:sz w:val="20"/>
        </w:rPr>
        <w:t>All outputs include an explicit uncertainty disclosure and a statement of limitations</w:t>
      </w:r>
    </w:p>
    <w:p>
      <w:pPr>
        <w:pStyle w:val="ListBullet"/>
      </w:pPr>
      <w:r>
        <w:rPr>
          <w:sz w:val="20"/>
        </w:rPr>
        <w:t>Human oversight is mandatory for any high-risk + low-confidence combination</w:t>
      </w:r>
    </w:p>
    <w:p>
      <w:pPr>
        <w:pStyle w:val="ListBullet"/>
      </w:pPr>
      <w:r>
        <w:rPr>
          <w:sz w:val="20"/>
        </w:rPr>
        <w:t>Explanations must not use stigmatising language or create false certainty</w:t>
      </w:r>
    </w:p>
    <w:p>
      <w:pPr>
        <w:pStyle w:val="Heading1"/>
      </w:pPr>
      <w:r>
        <w:rPr>
          <w:color w:val="222A5C"/>
          <w:sz w:val="30"/>
        </w:rPr>
        <w:t>3. AI and Algorithmic Risk</w:t>
      </w:r>
    </w:p>
    <w:p>
      <w:pPr>
        <w:pStyle w:val="Heading2"/>
      </w:pPr>
      <w:r>
        <w:rPr>
          <w:color w:val="1A569A"/>
          <w:sz w:val="24"/>
        </w:rPr>
        <w:t>3.1 Bias Risk Categories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Bias Type</w:t>
            </w:r>
          </w:p>
        </w:tc>
        <w:tc>
          <w:tcPr>
            <w:tcW w:type="dxa" w:w="2835"/>
            <w:shd w:val="clear" w:color="auto" w:fill="D6E4F7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3969"/>
            <w:shd w:val="clear" w:color="auto" w:fill="D6E4F7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Sampling bias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Under-represented cohorts skew model weights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Stratified evaluation; segment-level acceptance gates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Participation bias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Active users ≠ at-risk users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Minimum activity thresholds; missingness-aware features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Measurement bias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Self-report scales vary by culture/language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Validated instruments (PHQ-9, GAD-7, PSS-4, K10); localisation review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Label bias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Worsening labels derived from indirect signals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Ground-truth protocol with confidence tiers; human adjudication for edge cases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Policy bias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Fixed thresholds disadvantage non-typical cohorts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Per-cohort calibration; threshold governance with change log</w:t>
            </w:r>
          </w:p>
        </w:tc>
      </w:tr>
    </w:tbl>
    <w:p/>
    <w:p>
      <w:pPr>
        <w:pStyle w:val="Heading2"/>
      </w:pPr>
      <w:r>
        <w:rPr>
          <w:color w:val="1A569A"/>
          <w:sz w:val="24"/>
        </w:rPr>
        <w:t>3.2 Explainability and Transparency</w:t>
      </w:r>
    </w:p>
    <w:p>
      <w:pPr>
        <w:pStyle w:val="ListBullet"/>
      </w:pPr>
      <w:r>
        <w:rPr>
          <w:sz w:val="20"/>
        </w:rPr>
        <w:t>Every high-impact decision returns: matched rules, feature contributions, confidence level, policy variant</w:t>
      </w:r>
    </w:p>
    <w:p>
      <w:pPr>
        <w:pStyle w:val="ListBullet"/>
      </w:pPr>
      <w:r>
        <w:rPr>
          <w:sz w:val="20"/>
        </w:rPr>
        <w:t>Role-adapted explanations: end-user (plain language), manager (aggregate signals), admin (full diagnostic trace)</w:t>
      </w:r>
    </w:p>
    <w:p>
      <w:pPr>
        <w:pStyle w:val="ListBullet"/>
      </w:pPr>
      <w:r>
        <w:rPr>
          <w:sz w:val="20"/>
        </w:rPr>
        <w:t>Explanations are part of the decision API contract, not a post-hoc UI addition</w:t>
      </w:r>
    </w:p>
    <w:p>
      <w:pPr>
        <w:pStyle w:val="Heading1"/>
      </w:pPr>
      <w:r>
        <w:rPr>
          <w:color w:val="222A5C"/>
          <w:sz w:val="30"/>
        </w:rPr>
        <w:t>4. Data Protection (GDPR)</w:t>
      </w:r>
    </w:p>
    <w:p>
      <w:pPr>
        <w:pStyle w:val="Heading2"/>
      </w:pPr>
      <w:r>
        <w:rPr>
          <w:color w:val="1A569A"/>
          <w:sz w:val="24"/>
        </w:rPr>
        <w:t>4.1 Roles and Lawful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4535"/>
            <w:shd w:val="clear" w:color="auto" w:fill="D6E4F7"/>
          </w:tcPr>
          <w:p>
            <w:r>
              <w:rPr>
                <w:b/>
                <w:sz w:val="18"/>
              </w:rPr>
              <w:t>Lawful Basis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Deploying organisation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Contract performance (B2C/B2B services); legitimate interest (analytics)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Processor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DIP platform / Dzvin.co backend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Data Processing Agreement (DPA) with each controller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Research processing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KNU collaboration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Explicit consent or legitimate interest with DPIA; pseudonymised data only</w:t>
            </w:r>
          </w:p>
        </w:tc>
      </w:tr>
    </w:tbl>
    <w:p/>
    <w:p>
      <w:pPr>
        <w:pStyle w:val="Heading2"/>
      </w:pPr>
      <w:r>
        <w:rPr>
          <w:color w:val="1A569A"/>
          <w:sz w:val="24"/>
        </w:rPr>
        <w:t>4.2 Data Subject Rights</w:t>
      </w:r>
    </w:p>
    <w:p>
      <w:pPr>
        <w:pStyle w:val="ListBullet"/>
      </w:pPr>
      <w:r>
        <w:rPr>
          <w:sz w:val="20"/>
        </w:rPr>
        <w:t>Access · Rectification · Erasure · Restriction · Portability · Objection</w:t>
      </w:r>
    </w:p>
    <w:p>
      <w:pPr>
        <w:pStyle w:val="ListBullet"/>
      </w:pPr>
      <w:r>
        <w:rPr>
          <w:sz w:val="20"/>
        </w:rPr>
        <w:t>Verified request workflow with SLA by request type</w:t>
      </w:r>
    </w:p>
    <w:p>
      <w:pPr>
        <w:pStyle w:val="ListBullet"/>
      </w:pPr>
      <w:r>
        <w:rPr>
          <w:sz w:val="20"/>
        </w:rPr>
        <w:t>72-hour breach notification readiness</w:t>
      </w:r>
    </w:p>
    <w:p>
      <w:pPr>
        <w:pStyle w:val="Heading2"/>
      </w:pPr>
      <w:r>
        <w:rPr>
          <w:color w:val="1A569A"/>
          <w:sz w:val="24"/>
        </w:rPr>
        <w:t>4.3 Privacy-by-Design Measures</w:t>
      </w:r>
    </w:p>
    <w:p>
      <w:pPr>
        <w:pStyle w:val="ListBullet"/>
      </w:pPr>
      <w:r>
        <w:rPr>
          <w:sz w:val="20"/>
        </w:rPr>
        <w:t>Pseudonymisation for all research exports and analytical views</w:t>
      </w:r>
    </w:p>
    <w:p>
      <w:pPr>
        <w:pStyle w:val="ListBullet"/>
      </w:pPr>
      <w:r>
        <w:rPr>
          <w:sz w:val="20"/>
        </w:rPr>
        <w:t>k-anonymity thresholds enforced for team-level outputs (min cohort size before disclosure)</w:t>
      </w:r>
    </w:p>
    <w:p>
      <w:pPr>
        <w:pStyle w:val="ListBullet"/>
      </w:pPr>
      <w:r>
        <w:rPr>
          <w:sz w:val="20"/>
        </w:rPr>
        <w:t>Automated retention schedules; deletion/anonymisation triggered by retention policy</w:t>
      </w:r>
    </w:p>
    <w:p>
      <w:pPr>
        <w:pStyle w:val="ListBullet"/>
      </w:pPr>
      <w:r>
        <w:rPr>
          <w:sz w:val="20"/>
        </w:rPr>
        <w:t>Encryption in transit (TLS) and at rest; role-based access with least privilege</w:t>
      </w:r>
    </w:p>
    <w:p>
      <w:pPr>
        <w:pStyle w:val="Heading1"/>
      </w:pPr>
      <w:r>
        <w:rPr>
          <w:color w:val="222A5C"/>
          <w:sz w:val="30"/>
        </w:rPr>
        <w:t>5. Clinical and Safety Framing</w:t>
      </w:r>
    </w:p>
    <w:p>
      <w:pPr>
        <w:pStyle w:val="ListBullet"/>
      </w:pPr>
      <w:r>
        <w:rPr>
          <w:sz w:val="20"/>
        </w:rPr>
        <w:t>Dzvin.co is NOT a medical device — outputs are decision support signals, not clinical diagnoses</w:t>
      </w:r>
    </w:p>
    <w:p>
      <w:pPr>
        <w:pStyle w:val="ListBullet"/>
      </w:pPr>
      <w:r>
        <w:rPr>
          <w:sz w:val="20"/>
        </w:rPr>
        <w:t>PHQ-9/GAD-7/PSS-4/K10 used as validated screening instruments; clinical interpretation requires qualified professional review</w:t>
      </w:r>
    </w:p>
    <w:p>
      <w:pPr>
        <w:pStyle w:val="ListBullet"/>
      </w:pPr>
      <w:r>
        <w:rPr>
          <w:sz w:val="20"/>
        </w:rPr>
        <w:t>Distress escalation pathway: high-risk signal + low confidence → automatic referral suggestion + human review</w:t>
      </w:r>
    </w:p>
    <w:p>
      <w:pPr>
        <w:pStyle w:val="ListBullet"/>
      </w:pPr>
      <w:r>
        <w:rPr>
          <w:sz w:val="20"/>
        </w:rPr>
        <w:t>Safety incidents logged and reviewed; corrective actions tracked to closure</w:t>
      </w:r>
    </w:p>
    <w:p>
      <w:pPr>
        <w:pStyle w:val="Heading1"/>
      </w:pPr>
      <w:r>
        <w:rPr>
          <w:color w:val="222A5C"/>
          <w:sz w:val="30"/>
        </w:rPr>
        <w:t>6. Ethics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D6E4F7"/>
          </w:tcPr>
          <w:p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3969"/>
            <w:shd w:val="clear" w:color="auto" w:fill="D6E4F7"/>
          </w:tcPr>
          <w:p>
            <w:r>
              <w:rPr>
                <w:b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Ethics review board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Before major model/policy changes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Ethics Lead + Clinical Advisor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Pre-release ethics checklist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Each release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Engineering Lead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Bias audit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Pre-release + rolling production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Responsible AI Lead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Incident 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As triggered + monthly summary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Ethics Lead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