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Data Management Plan (DMP)</w:t>
      </w:r>
    </w:p>
    <w:p>
      <w:pPr>
        <w:jc w:val="center"/>
      </w:pPr>
      <w:r>
        <w:rPr>
          <w:sz w:val="26"/>
        </w:rPr>
        <w:t>FAIR Data, Lifecycle, Governance — Horizon Europe Format</w:t>
      </w:r>
    </w:p>
    <w:p>
      <w:pPr>
        <w:jc w:val="center"/>
      </w:pPr>
      <w:r>
        <w:rPr>
          <w:color w:val="555555"/>
          <w:sz w:val="20"/>
        </w:rPr>
        <w:t>Dzvin.co + DIP  |  2026-08-08  |  Grant Application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1. Summary</w:t>
      </w:r>
    </w:p>
    <w:p>
      <w:r>
        <w:rPr>
          <w:sz w:val="20"/>
        </w:rPr>
        <w:t>This Data Management Plan describes the lifecycle, governance, and sharing policies for all data collected and processed within the Dzvin.co + DIP research project. It follows the FAIR principles (Findable, Accessible, Interoperable, Reusable) required by the European Commission for Horizon Europe projects.</w:t>
      </w:r>
    </w:p>
    <w:p>
      <w:pPr>
        <w:pStyle w:val="Heading1"/>
      </w:pPr>
      <w:r>
        <w:rPr>
          <w:color w:val="222A5C"/>
          <w:sz w:val="30"/>
        </w:rPr>
        <w:t>2. Data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Granularity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Daily check-ins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Self-report (mood/stress/energy/focus 1-5)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Dzvin.co mobile/web app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Individual, daily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Psychometric assessments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PHQ-9, GAD-7, PSS-4, K10 scores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 assessments (periodic)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Individual, periodic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Engagement events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 logs, streaks, completion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Backend event store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Individual, event-level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Team aggregates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Anonymised team-level risk metrics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Analytics pipeline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Team (k-anonymised)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Decision artifacts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 events, policy traces, audit logs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DIP audit store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Tenant-level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3. FAIR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FAIR Principle</w:t>
            </w:r>
          </w:p>
        </w:tc>
        <w:tc>
          <w:tcPr>
            <w:tcW w:type="dxa" w:w="6803"/>
            <w:shd w:val="clear" w:color="auto" w:fill="D6E4F7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Findable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catalog with stable identifiers; metadata registered per dataset version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Accessible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Role-based access control; API for authorised internal access; no open public access to raw data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Interoperable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Documented schemas and vocabularies; JSON event format; OpenAPI contract for DIP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Reusable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Metadata quality gates; data dictionary maintained; licensing policy documented per dataset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4. Data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2"/>
            <w:shd w:val="clear" w:color="auto" w:fill="D6E4F7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2"/>
            <w:shd w:val="clear" w:color="auto" w:fill="D6E4F7"/>
          </w:tcPr>
          <w:p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 self-report + periodic psychometric + engagement events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Consent at onboarding; purpose limitation policy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Schema checks, null/outlier detection, duplicate removal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Automated quality gates; quality dashboard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Feature derivation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Rolling windows (7d/14d/30d), EWMA baseline, labels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Versioned feature specs; leakage controls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MongoDB event store + audit log; encrypted at rest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Role-based access; immutable audit trail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Sharing/export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Pseudonymised aggregates for research; no raw individual export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DPA required; ethics approval for external sharing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Retention / deletion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Retention matrix by data class; automated deletion schedules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Legal hold exceptions documented; DSAR handled within SLA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5. Collection Frequency and Time-Series Structure</w:t>
      </w:r>
    </w:p>
    <w:p>
      <w:pPr>
        <w:pStyle w:val="ListBullet"/>
      </w:pPr>
      <w:r>
        <w:rPr>
          <w:sz w:val="20"/>
        </w:rPr>
        <w:t>Daily check-in: mood/stress/energy/focus (optional daily cadence)</w:t>
      </w:r>
    </w:p>
    <w:p>
      <w:pPr>
        <w:pStyle w:val="ListBullet"/>
      </w:pPr>
      <w:r>
        <w:rPr>
          <w:sz w:val="20"/>
        </w:rPr>
        <w:t>Psychometric assessments: weekly or monthly by configuration</w:t>
      </w:r>
    </w:p>
    <w:p>
      <w:pPr>
        <w:pStyle w:val="ListBullet"/>
      </w:pPr>
      <w:r>
        <w:rPr>
          <w:sz w:val="20"/>
        </w:rPr>
        <w:t>Rolling windows: 7-day and 14-day moving averages; 30-day personalised baseline</w:t>
      </w:r>
    </w:p>
    <w:p>
      <w:pPr>
        <w:pStyle w:val="ListBullet"/>
      </w:pPr>
      <w:r>
        <w:rPr>
          <w:sz w:val="20"/>
        </w:rPr>
        <w:t>Minimum for inference: 30+ mood records per user for trajectory-level predictions</w:t>
      </w:r>
    </w:p>
    <w:p>
      <w:pPr>
        <w:pStyle w:val="ListBullet"/>
      </w:pPr>
      <w:r>
        <w:rPr>
          <w:sz w:val="20"/>
        </w:rPr>
        <w:t>Irregular intervals handled via freeze logic (recency decay ρ=0.92) and missingness indicators</w:t>
      </w:r>
    </w:p>
    <w:p>
      <w:pPr>
        <w:pStyle w:val="Heading1"/>
      </w:pPr>
      <w:r>
        <w:rPr>
          <w:color w:val="222A5C"/>
          <w:sz w:val="30"/>
        </w:rPr>
        <w:t>6. Privacy and Security</w:t>
      </w:r>
    </w:p>
    <w:p>
      <w:pPr>
        <w:pStyle w:val="ListBullet"/>
      </w:pPr>
      <w:r>
        <w:rPr>
          <w:sz w:val="20"/>
        </w:rPr>
        <w:t>Pseudonymisation: user IDs replaced with internal tokens for all research exports</w:t>
      </w:r>
    </w:p>
    <w:p>
      <w:pPr>
        <w:pStyle w:val="ListBullet"/>
      </w:pPr>
      <w:r>
        <w:rPr>
          <w:sz w:val="20"/>
        </w:rPr>
        <w:t>k-anonymity: team-level outputs masked when cohort size &lt; minimum threshold</w:t>
      </w:r>
    </w:p>
    <w:p>
      <w:pPr>
        <w:pStyle w:val="ListBullet"/>
      </w:pPr>
      <w:r>
        <w:rPr>
          <w:sz w:val="20"/>
        </w:rPr>
        <w:t>Encryption: TLS in transit; AES-256 at rest</w:t>
      </w:r>
    </w:p>
    <w:p>
      <w:pPr>
        <w:pStyle w:val="ListBullet"/>
      </w:pPr>
      <w:r>
        <w:rPr>
          <w:sz w:val="20"/>
        </w:rPr>
        <w:t>Cross-border transfers: Standard Contractual Clauses (SCCs) where applicable</w:t>
      </w:r>
    </w:p>
    <w:p>
      <w:pPr>
        <w:pStyle w:val="ListBullet"/>
      </w:pPr>
      <w:r>
        <w:rPr>
          <w:sz w:val="20"/>
        </w:rPr>
        <w:t>DPIA: conducted for high-risk processing scenarios; reviewed with each major model change</w:t>
      </w:r>
    </w:p>
    <w:p>
      <w:pPr>
        <w:pStyle w:val="Heading1"/>
      </w:pPr>
      <w:r>
        <w:rPr>
          <w:color w:val="222A5C"/>
          <w:sz w:val="30"/>
        </w:rPr>
        <w:t>7. Reuse and Sharing Policy</w:t>
      </w:r>
    </w:p>
    <w:p>
      <w:pPr>
        <w:pStyle w:val="ListBullet"/>
      </w:pPr>
      <w:r>
        <w:rPr>
          <w:sz w:val="20"/>
        </w:rPr>
        <w:t>Internal reuse: permitted with purpose limitation (R&amp;D, quality improvement, model training)</w:t>
      </w:r>
    </w:p>
    <w:p>
      <w:pPr>
        <w:pStyle w:val="ListBullet"/>
      </w:pPr>
      <w:r>
        <w:rPr>
          <w:sz w:val="20"/>
        </w:rPr>
        <w:t>External sharing: aggregated and de-identified only; under legal basis and DPA</w:t>
      </w:r>
    </w:p>
    <w:p>
      <w:pPr>
        <w:pStyle w:val="ListBullet"/>
      </w:pPr>
      <w:r>
        <w:rPr>
          <w:sz w:val="20"/>
        </w:rPr>
        <w:t>KNU academic collaboration: pseudonymised datasets under signed collaboration agreement and ethics approval</w:t>
      </w:r>
    </w:p>
    <w:p>
      <w:pPr>
        <w:pStyle w:val="ListBullet"/>
      </w:pPr>
      <w:r>
        <w:rPr>
          <w:sz w:val="20"/>
        </w:rPr>
        <w:t>Open data: no personally identifiable data published; aggregate statistics may be shared in publications</w:t>
      </w:r>
    </w:p>
    <w:p>
      <w:pPr>
        <w:pStyle w:val="Heading1"/>
      </w:pPr>
      <w:r>
        <w:rPr>
          <w:color w:val="222A5C"/>
          <w:sz w:val="30"/>
        </w:rPr>
        <w:t>8. DMP Governance</w:t>
      </w:r>
    </w:p>
    <w:p>
      <w:pPr>
        <w:pStyle w:val="ListBullet"/>
      </w:pPr>
      <w:r>
        <w:rPr>
          <w:sz w:val="20"/>
        </w:rPr>
        <w:t>DMP owner: Data Protection Officer</w:t>
      </w:r>
    </w:p>
    <w:p>
      <w:pPr>
        <w:pStyle w:val="ListBullet"/>
      </w:pPr>
      <w:r>
        <w:rPr>
          <w:sz w:val="20"/>
        </w:rPr>
        <w:t>Review cadence: quarterly or after major architecture / regulatory changes</w:t>
      </w:r>
    </w:p>
    <w:p>
      <w:pPr>
        <w:pStyle w:val="ListBullet"/>
      </w:pPr>
      <w:r>
        <w:rPr>
          <w:sz w:val="20"/>
        </w:rPr>
        <w:t>All dataset changes versioned in data dictionary and change log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Horizon Europe References:</w:t>
      </w:r>
    </w:p>
    <w:p>
      <w:pPr>
        <w:pStyle w:val="ListBullet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