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HyperClaw — Executive Summary</w:t>
      </w:r>
    </w:p>
    <w:p>
      <w:pPr/>
      <w:r>
        <w:rPr>
          <w:b/>
        </w:rPr>
        <w:t>CONFIDENTIAL</w:t>
      </w:r>
    </w:p>
    <w:p>
      <w:pPr>
        <w:pStyle w:val="Heading1"/>
      </w:pPr>
      <w:r>
        <w:t>Overview</w:t>
      </w:r>
    </w:p>
    <w:p>
      <w:r>
        <w:t>HyperClaw is the infrastructure layer for enterprise AI agents. We deliver intelligent multi-agent routing, causal memory, and built-in security in a single MIT-licensed platform.</w:t>
      </w:r>
    </w:p>
    <w:p>
      <w:r>
        <w:rPr>
          <w:i/>
        </w:rPr>
        <w:t>OpenClaw — our personal AI platform — serves as the consumer distribution of the HyperClaw technology stack, validating the architecture at individual scale before enterprise deployment. OpenClaw users are HyperClaw's most natural enterprise prospects: they already understand agent-based AI and are ready to scale.</w:t>
      </w:r>
    </w:p>
    <w:p>
      <w:pPr>
        <w:pStyle w:val="Heading1"/>
      </w:pPr>
      <w:r>
        <w:t>Key Metrics</w:t>
      </w:r>
    </w:p>
    <w:p>
      <w:pPr>
        <w:pStyle w:val="ListBullet"/>
      </w:pPr>
      <w:r>
        <w:t>50+  —  Specialist Agents</w:t>
      </w:r>
    </w:p>
    <w:p>
      <w:pPr>
        <w:pStyle w:val="ListBullet"/>
      </w:pPr>
      <w:r>
        <w:t>377  —  Tests Passing</w:t>
      </w:r>
    </w:p>
    <w:p>
      <w:pPr>
        <w:pStyle w:val="ListBullet"/>
      </w:pPr>
      <w:r>
        <w:t>30+  —  Connectors</w:t>
      </w:r>
    </w:p>
    <w:p>
      <w:pPr>
        <w:pStyle w:val="ListBullet"/>
      </w:pPr>
      <w:r>
        <w:t>MIT  —  Open Source License</w:t>
      </w:r>
    </w:p>
    <w:p>
      <w:pPr>
        <w:pStyle w:val="Heading1"/>
      </w:pPr>
      <w:r>
        <w:t>The Problem</w:t>
      </w:r>
    </w:p>
    <w:p>
      <w:r>
        <w:t>Enterprise teams deploying AI agents face fragmented tooling, unreliable routing, no memory persistence, and zero security guardrails. Existing frameworks like LangChain and AutoGen were built for demos — not production workloads. The result: $40B+ wasted annually on AI agents that fail to deliver ROI.</w:t>
      </w:r>
    </w:p>
    <w:p>
      <w:pPr>
        <w:pStyle w:val="Heading1"/>
      </w:pPr>
      <w:r>
        <w:t>The Solution — PROMETHEUS Architecture</w:t>
      </w:r>
    </w:p>
    <w:p>
      <w:r>
        <w:t>HyperClaw ships 50+ specialist AI agents managed by SOLOMON (overmind — always on, always watching), powered by PROMETHEUS intelligence layer. The GENESIS Protocol self-expands the agent network. Civilization Knowledge Base ingests SOPs, org charts, and runbooks. Three Human Gates baked in. 30+ connectors via HyperClaw Gateway.</w:t>
      </w:r>
    </w:p>
    <w:p>
      <w:pPr>
        <w:pStyle w:val="ListBullet"/>
      </w:pPr>
      <w:r>
        <w:rPr>
          <w:b/>
        </w:rPr>
        <w:t xml:space="preserve">PROMETHEUS: </w:t>
      </w:r>
      <w:r>
        <w:t>Intelligence layer. Recursive decision engine for all orchestration.</w:t>
      </w:r>
    </w:p>
    <w:p>
      <w:pPr>
        <w:pStyle w:val="ListBullet"/>
      </w:pPr>
      <w:r>
        <w:rPr>
          <w:b/>
        </w:rPr>
        <w:t xml:space="preserve">SOLOMON: </w:t>
      </w:r>
      <w:r>
        <w:t>Overmind agent. Always on, manages 50+ specialists, triggers GENESIS.</w:t>
      </w:r>
    </w:p>
    <w:p>
      <w:pPr>
        <w:pStyle w:val="ListBullet"/>
      </w:pPr>
      <w:r>
        <w:rPr>
          <w:b/>
        </w:rPr>
        <w:t xml:space="preserve">GENESIS Protocol: </w:t>
      </w:r>
      <w:r>
        <w:t>Self-expanding: creates new specialists when gaps detected.</w:t>
      </w:r>
    </w:p>
    <w:p>
      <w:pPr>
        <w:pStyle w:val="ListBullet"/>
      </w:pPr>
      <w:r>
        <w:rPr>
          <w:b/>
        </w:rPr>
        <w:t xml:space="preserve">Civilization KB: </w:t>
      </w:r>
      <w:r>
        <w:t>SOPs, org charts, JDs, client profiles. OrgGraph context injection.</w:t>
      </w:r>
    </w:p>
    <w:p>
      <w:pPr>
        <w:pStyle w:val="ListBullet"/>
      </w:pPr>
      <w:r>
        <w:rPr>
          <w:b/>
        </w:rPr>
        <w:t xml:space="preserve">HyperShield: </w:t>
      </w:r>
      <w:r>
        <w:t>Zero-trust + Three Human Gates: Ethical, Auth, Uncertainty &lt;60%.</w:t>
      </w:r>
    </w:p>
    <w:p>
      <w:pPr>
        <w:pStyle w:val="ListBullet"/>
      </w:pPr>
      <w:r>
        <w:rPr>
          <w:b/>
        </w:rPr>
        <w:t xml:space="preserve">UCB1 HyperRouter: </w:t>
      </w:r>
      <w:r>
        <w:t>Self-improving model routing. Learns optimal task assignment.</w:t>
      </w:r>
    </w:p>
    <w:p>
      <w:pPr>
        <w:pStyle w:val="Heading1"/>
      </w:pPr>
      <w:r>
        <w:t>Business Model — Open-Core → Enterprise</w:t>
      </w:r>
    </w:p>
    <w:p>
      <w:pPr>
        <w:pStyle w:val="ListBullet"/>
      </w:pPr>
      <w:r>
        <w:rPr>
          <w:b/>
        </w:rPr>
        <w:t xml:space="preserve">Open Source Core: </w:t>
      </w:r>
      <w:r>
        <w:t>Free, MIT license</w:t>
      </w:r>
    </w:p>
    <w:p>
      <w:pPr>
        <w:pStyle w:val="ListBullet"/>
      </w:pPr>
      <w:r>
        <w:rPr>
          <w:b/>
        </w:rPr>
        <w:t xml:space="preserve">Starter: </w:t>
      </w:r>
      <w:r>
        <w:t>$499/mo — teams up to 10</w:t>
      </w:r>
    </w:p>
    <w:p>
      <w:pPr>
        <w:pStyle w:val="ListBullet"/>
      </w:pPr>
      <w:r>
        <w:rPr>
          <w:b/>
        </w:rPr>
        <w:t xml:space="preserve">Pro: </w:t>
      </w:r>
      <w:r>
        <w:t>$1,999/mo — teams up to 50</w:t>
      </w:r>
    </w:p>
    <w:p>
      <w:pPr>
        <w:pStyle w:val="ListBullet"/>
      </w:pPr>
      <w:r>
        <w:rPr>
          <w:b/>
        </w:rPr>
        <w:t xml:space="preserve">Enterprise: </w:t>
      </w:r>
      <w:r>
        <w:t>$9,999/mo — unlimited</w:t>
      </w:r>
    </w:p>
    <w:p>
      <w:pPr>
        <w:pStyle w:val="ListBullet"/>
      </w:pPr>
      <w:r>
        <w:rPr>
          <w:b/>
        </w:rPr>
        <w:t xml:space="preserve">Sovereign: </w:t>
      </w:r>
      <w:r>
        <w:t>Custom pricing, on-prem</w:t>
      </w:r>
    </w:p>
    <w:p>
      <w:pPr>
        <w:pStyle w:val="Heading1"/>
      </w:pPr>
      <w:r>
        <w:t>ARR Trajectory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ARR Target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$500K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$3M</w:t>
            </w:r>
          </w:p>
        </w:tc>
        <w:tc>
          <w:tcPr>
            <w:tcW w:type="dxa" w:w="2880"/>
          </w:tcPr>
          <w:p>
            <w:r>
              <w:t>+500%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$12M</w:t>
            </w:r>
          </w:p>
        </w:tc>
        <w:tc>
          <w:tcPr>
            <w:tcW w:type="dxa" w:w="2880"/>
          </w:tcPr>
          <w:p>
            <w:r>
              <w:t>+300%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$28M</w:t>
            </w:r>
          </w:p>
        </w:tc>
        <w:tc>
          <w:tcPr>
            <w:tcW w:type="dxa" w:w="2880"/>
          </w:tcPr>
          <w:p>
            <w:r>
              <w:t>+133%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$50M</w:t>
            </w:r>
          </w:p>
        </w:tc>
        <w:tc>
          <w:tcPr>
            <w:tcW w:type="dxa" w:w="2880"/>
          </w:tcPr>
          <w:p>
            <w:r>
              <w:t>+79%</w:t>
            </w:r>
          </w:p>
        </w:tc>
      </w:tr>
    </w:tbl>
    <w:p>
      <w:pPr>
        <w:pStyle w:val="Heading1"/>
      </w:pPr>
      <w:r>
        <w:t>The Ask</w:t>
      </w:r>
    </w:p>
    <w:p>
      <w:r>
        <w:t>$2,000,000 Pre-Seed Round — $10M Pre-Money Valuation</w:t>
      </w:r>
    </w:p>
    <w:p>
      <w:pPr>
        <w:pStyle w:val="ListBullet"/>
      </w:pPr>
      <w:r>
        <w:rPr>
          <w:b/>
        </w:rPr>
        <w:t xml:space="preserve">Pre-Money Valuation: </w:t>
      </w:r>
      <w:r>
        <w:t>$10M</w:t>
      </w:r>
    </w:p>
    <w:p>
      <w:pPr>
        <w:pStyle w:val="ListBullet"/>
      </w:pPr>
      <w:r>
        <w:rPr>
          <w:b/>
        </w:rPr>
        <w:t xml:space="preserve">Dilution: </w:t>
      </w:r>
      <w:r>
        <w:t>20%</w:t>
      </w:r>
    </w:p>
    <w:p>
      <w:pPr>
        <w:pStyle w:val="ListBullet"/>
      </w:pPr>
      <w:r>
        <w:rPr>
          <w:b/>
        </w:rPr>
        <w:t xml:space="preserve">Runway: </w:t>
      </w:r>
      <w:r>
        <w:t>18 months</w:t>
      </w:r>
    </w:p>
    <w:p>
      <w:pPr>
        <w:pStyle w:val="ListBullet"/>
      </w:pPr>
      <w:r>
        <w:rPr>
          <w:b/>
        </w:rPr>
        <w:t xml:space="preserve">Milestone: </w:t>
      </w:r>
      <w:r>
        <w:t>v1.0 production launch</w:t>
      </w:r>
    </w:p>
    <w:p>
      <w:pPr>
        <w:pStyle w:val="ListBullet"/>
      </w:pPr>
      <w:r>
        <w:rPr>
          <w:b/>
        </w:rPr>
        <w:t xml:space="preserve">2026 ARR Target: </w:t>
      </w:r>
      <w:r>
        <w:t>$500K</w:t>
      </w:r>
    </w:p>
    <w:p>
      <w:pPr>
        <w:pStyle w:val="Heading1"/>
      </w:pPr>
      <w:r>
        <w:t>Team</w:t>
      </w:r>
    </w:p>
    <w:p>
      <w:pPr>
        <w:pStyle w:val="ListBullet"/>
      </w:pPr>
      <w:r>
        <w:t>Vaughn Davis — Founder &amp; CEO. 15+ years luxury hospitality. Former MD &amp; GM, Dream Hollywood Hotel. CEO, Hyper Nimbus &amp; Hyper Talent (separate ventures). Board: Hollywood Chamber, Hollywood Partnership, LA Tourism Board DEI.</w:t>
      </w:r>
    </w:p>
    <w:p>
      <w:pPr>
        <w:pStyle w:val="ListBullet"/>
      </w:pPr>
      <w:r>
        <w:t>Andy Zhang — CTO. Co-Founder Fairsplit &amp; Cogniscale. AI infrastructure specialist. Architected PROMETHEUS, SOLOMON, GENESIS Protocol, UCB1 HyperRouter.</w:t>
      </w:r>
    </w:p>
    <w:p/>
    <w:p>
      <w:r>
        <w:t>github.com/hyperclawai/hyperclaw  ·  MIT License  ·  v0.1.0-alpha  ·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