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Investor Pitch Deck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Investor Pitch Deck</w:t>
      </w:r>
    </w:p>
    <w:p>
      <w:pPr/>
      <w:r>
        <w:t>Pre-Seed Round — $2M at $10M Pre-Money</w:t>
        <w:br/>
        <w:t>Q1 2026 | Confidential</w:t>
      </w:r>
    </w:p>
    <w:p/>
    <w:p>
      <w:pPr>
        <w:pStyle w:val="Heading1"/>
      </w:pPr>
      <w:r>
        <w:t>Slide 1: Title</w:t>
      </w:r>
    </w:p>
    <w:p>
      <w:pPr/>
      <w:r>
        <w:t>HyperClaw</w:t>
        <w:br/>
        <w:t>The Production-Grade Multi-Agent AI Orchestration Platform</w:t>
      </w:r>
    </w:p>
    <w:p>
      <w:pPr/>
      <w:r>
        <w:t>Vaughn Davis, CEO | Andy Zhang, CTO</w:t>
        <w:br/>
        <w:t>Pre-Seed | $2M | Q1 2026</w:t>
      </w:r>
    </w:p>
    <w:p/>
    <w:p>
      <w:pPr>
        <w:pStyle w:val="Heading1"/>
      </w:pPr>
      <w:r>
        <w:t>Slide 2: The Problem</w:t>
      </w:r>
    </w:p>
    <w:p>
      <w:pPr/>
      <w:r>
        <w:t>73% of enterprise AI projects fail to reach production.</w:t>
      </w:r>
    </w:p>
    <w:p>
      <w:pPr/>
      <w:r>
        <w:t>The reason: research frameworks in production environments.</w:t>
      </w:r>
    </w:p>
    <w:p>
      <w:pPr/>
      <w:r>
        <w:t>LangChain, AutoGen, CrewAI were built for experimentation — not enterprise deployment. They have no policy engine, no intelligent routing, no causal memory, no typed state.</w:t>
      </w:r>
    </w:p>
    <w:p>
      <w:pPr/>
      <w:r>
        <w:t>Enterprises need infrastructure built for production from day one.</w:t>
      </w:r>
    </w:p>
    <w:p/>
    <w:p>
      <w:pPr>
        <w:pStyle w:val="Heading1"/>
      </w:pPr>
      <w:r>
        <w:t>Slide 3: The Solution</w:t>
      </w:r>
    </w:p>
    <w:p>
      <w:pPr/>
      <w:r>
        <w:t>HyperClaw — built for enterprise AI deployment.</w:t>
      </w:r>
    </w:p>
    <w:p>
      <w:r>
        <w:t>4 architectural pillars:</w:t>
      </w:r>
    </w:p>
    <w:p>
      <w:pPr>
        <w:pStyle w:val="ListBullet"/>
      </w:pPr>
      <w:r>
        <w:t>HyperState: Pydantic v2 typed state — auditable, reproducible</w:t>
      </w:r>
    </w:p>
    <w:p>
      <w:pPr>
        <w:pStyle w:val="ListBullet"/>
      </w:pPr>
      <w:r>
        <w:t>HyperRouter: UCB1 bandit routing — gets smarter over time</w:t>
      </w:r>
    </w:p>
    <w:p>
      <w:pPr>
        <w:pStyle w:val="ListBullet"/>
      </w:pPr>
      <w:r>
        <w:t>HyperMemory: pgvector causal graph — reason across time</w:t>
      </w:r>
    </w:p>
    <w:p>
      <w:pPr>
        <w:pStyle w:val="ListBullet"/>
      </w:pPr>
      <w:r>
        <w:t>HyperShield: Policy engine — compliance-ready from launch</w:t>
      </w:r>
    </w:p>
    <w:p>
      <w:pPr/>
      <w:r>
        <w:t>PROMETHEUS: recursive meta-agent that orchestrates it all.</w:t>
      </w:r>
    </w:p>
    <w:p/>
    <w:p>
      <w:pPr>
        <w:pStyle w:val="Heading1"/>
      </w:pPr>
      <w:r>
        <w:t>Slide 4: Product</w:t>
      </w:r>
    </w:p>
    <w:p>
      <w:pPr/>
      <w:r>
        <w:t>22 specialist agents. 5 domains. Ready to deploy.</w:t>
      </w:r>
    </w:p>
    <w:p>
      <w:pPr/>
      <w:r>
        <w:t>Personal | Business | Scientific | Creative | Recursive</w:t>
      </w:r>
    </w:p>
    <w:p>
      <w:pPr/>
      <w:r>
        <w:t>Enterprise tiers:</w:t>
        <w:br/>
        <w:t>$499/mo Starter → $1,999/mo Pro → $9,999/mo Enterprise → Custom Sovereign</w:t>
      </w:r>
    </w:p>
    <w:p/>
    <w:p>
      <w:pPr>
        <w:pStyle w:val="Heading1"/>
      </w:pPr>
      <w:r>
        <w:t>Slide 5: Market Opportunity</w:t>
      </w:r>
    </w:p>
    <w:p>
      <w:pPr/>
      <w:r>
        <w:t>$47B Total Addressable Market</w:t>
        <w:br/>
        <w:t>$8.2B SAM — enterprise AI orchestration (34% CAGR)</w:t>
        <w:br/>
        <w:t>$420M SOM — initial mid-market/enterprise target</w:t>
      </w:r>
    </w:p>
    <w:p>
      <w:pPr/>
      <w:r>
        <w:t>Market drivers: AI Act compliance, LLM proliferation, production AI shift</w:t>
      </w:r>
    </w:p>
    <w:p/>
    <w:p>
      <w:pPr>
        <w:pStyle w:val="Heading1"/>
      </w:pPr>
      <w:r>
        <w:t>Slide 6: Competitive Landscape</w:t>
      </w:r>
    </w:p>
    <w:p>
      <w:pPr/>
      <w:r>
        <w:t>vs. LangChain: No policy engine, no causal memory, no UCB1 routing</w:t>
        <w:br/>
        <w:t>vs. AutoGen: Research-focused, ~6 examples, no enterprise SLA</w:t>
        <w:br/>
        <w:t>vs. CrewAI: Role templates, no memory graph, no policy enforcement</w:t>
      </w:r>
    </w:p>
    <w:p>
      <w:pPr/>
      <w:r>
        <w:t>HyperClaw wins: UCB1 routing + HyperMemory + HyperShield + 22 agents OOTB</w:t>
      </w:r>
    </w:p>
    <w:p/>
    <w:p>
      <w:pPr>
        <w:pStyle w:val="Heading1"/>
      </w:pPr>
      <w:r>
        <w:t>Slide 7: Traction</w:t>
      </w:r>
    </w:p>
    <w:p>
      <w:pPr/>
      <w:r>
        <w:t>v0.1.0-alpha: Live — github.com/hyperclawai/hyperclaw</w:t>
        <w:br/>
        <w:t>377 tests passing. Zero failures.</w:t>
        <w:br/>
        <w:t>Supabase backend live.</w:t>
        <w:br/>
        <w:t>MIT license. Public repo.</w:t>
        <w:br/>
        <w:t>Pre-seed raise open.</w:t>
      </w:r>
    </w:p>
    <w:p/>
    <w:p>
      <w:pPr>
        <w:pStyle w:val="Heading1"/>
      </w:pPr>
      <w:r>
        <w:t>Slide 8: Business Model</w:t>
      </w:r>
    </w:p>
    <w:p>
      <w:pPr/>
      <w:r>
        <w:t>Land with open source. Convert to paid.</w:t>
      </w:r>
    </w:p>
    <w:p>
      <w:pPr/>
      <w:r>
        <w:t>Starter ($499/mo): Teams → Pro ($1,999/mo): Scaling → Enterprise ($9,999/mo): Compliance → Sovereign (custom): Gov/Defense</w:t>
      </w:r>
    </w:p>
    <w:p>
      <w:pPr/>
      <w:r>
        <w:t>Net Revenue Retention target: 130%+ (upsell to higher tiers)</w:t>
      </w:r>
    </w:p>
    <w:p/>
    <w:p>
      <w:pPr>
        <w:pStyle w:val="Heading1"/>
      </w:pPr>
      <w:r>
        <w:t>Slide 9: Financial Projections</w:t>
      </w:r>
    </w:p>
    <w:p>
      <w:pPr/>
      <w:r>
        <w:t>ARR Trajectory:</w:t>
        <w:br/>
        <w:t>2026: $500K (first enterprise customers)</w:t>
        <w:br/>
        <w:t>2027: $3M (GTM scaling)</w:t>
        <w:br/>
        <w:t>2028: $12M (Series A growth)</w:t>
        <w:br/>
        <w:t>2030: $50M (market leadership)</w:t>
      </w:r>
    </w:p>
    <w:p>
      <w:pPr/>
      <w:r>
        <w:t>Burn: ~$111K/month at full team</w:t>
        <w:br/>
        <w:t>Runway: 18 months on $2M raise</w:t>
      </w:r>
    </w:p>
    <w:p/>
    <w:p>
      <w:pPr>
        <w:pStyle w:val="Heading1"/>
      </w:pPr>
      <w:r>
        <w:t>Slide 10: Team</w:t>
      </w:r>
    </w:p>
    <w:p>
      <w:pPr/>
      <w:r>
        <w:t>Vaughn Davis — CEO</w:t>
        <w:br/>
        <w:t>15+ years luxury hospitality, former MD Dream Hollywood</w:t>
        <w:br/>
        <w:t>CEO Hyper Nimbus, CEO Hyper Talent</w:t>
        <w:br/>
        <w:t>Board: Hollywood Chamber of Commerce, The Hollywood Partnership</w:t>
      </w:r>
    </w:p>
    <w:p>
      <w:pPr/>
      <w:r>
        <w:t>Andy Zhang — CTO</w:t>
        <w:br/>
        <w:t>Co-Founder Fairsplit, Co-Founder Cogniscale</w:t>
        <w:br/>
        <w:t>AI infrastructure specialist, HyperClaw architect</w:t>
      </w:r>
    </w:p>
    <w:p/>
    <w:p>
      <w:pPr>
        <w:pStyle w:val="Heading1"/>
      </w:pPr>
      <w:r>
        <w:t>Slide 11: The Ask</w:t>
      </w:r>
    </w:p>
    <w:p>
      <w:pPr/>
      <w:r>
        <w:t>Raising: $2,000,000</w:t>
        <w:br/>
        <w:t>Pre-money: $10,000,000</w:t>
        <w:br/>
        <w:t>Target close: Q2 2026</w:t>
      </w:r>
    </w:p>
    <w:p>
      <w:pPr/>
      <w:r>
        <w:t>Funds: Engineering hires (40%) + GTM (25%) + Infrastructure (20%) + Operations/Legal (15%)</w:t>
      </w:r>
    </w:p>
    <w:p>
      <w:pPr/>
      <w:r>
        <w:t>Next milestone: First 5 enterprise customers, $500K ARR, Series A in 18 months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Investor Pitch Deck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