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HyperClaw — Capitalization Table</w:t>
      </w:r>
    </w:p>
    <w:p>
      <w:pPr>
        <w:jc w:val="center"/>
      </w:pPr>
      <w:r>
        <w:rPr>
          <w:i/>
          <w:sz w:val="18"/>
        </w:rPr>
        <w:t>CONFIDENTIAL — HyperClaw AI Orchestration Platform — Q1 2026</w:t>
      </w:r>
    </w:p>
    <w:p/>
    <w:p>
      <w:pPr>
        <w:pStyle w:val="Heading1"/>
      </w:pPr>
      <w:r>
        <w:t>HyperClaw Cap Table</w:t>
      </w:r>
    </w:p>
    <w:p>
      <w:pPr/>
      <w:r>
        <w:t>Pre-Seed Round | Q1 2026 | Confidential</w:t>
      </w:r>
    </w:p>
    <w:p/>
    <w:p>
      <w:pPr>
        <w:pStyle w:val="Heading1"/>
      </w:pPr>
      <w:r>
        <w:t>Pre-Seed Capitalization Summary</w:t>
      </w:r>
    </w:p>
    <w:p>
      <w:pPr/>
      <w:r>
        <w:t>This document represents the anticipated capitalization structure following the close of HyperClaw's $2M pre-seed round at a $10M pre-money valuation.</w:t>
      </w:r>
    </w:p>
    <w:p>
      <w:pPr/>
      <w:r>
        <w:t>All figures are illustrative pending final legal documentation. Actual terms may vary based on investor negotiations and legal counsel.</w:t>
      </w:r>
    </w:p>
    <w:p/>
    <w:p>
      <w:pPr>
        <w:pStyle w:val="Heading1"/>
      </w:pPr>
      <w:r>
        <w:t>Founding Shares</w:t>
      </w:r>
    </w:p>
    <w:p>
      <w:pPr/>
      <w:r>
        <w:t>Vaughn Davis (CEO &amp; Founder): 4,000,000 shares — 40.0% (post-round)</w:t>
        <w:br/>
        <w:t>Andy Zhang (CTO &amp; Co-Founder): 3,500,000 shares — 35.0% (post-round)</w:t>
        <w:br/>
        <w:t>Total Founding Shares: 7,500,000 — 75.0%</w:t>
      </w:r>
    </w:p>
    <w:p>
      <w:pPr/>
      <w:r>
        <w:t>Founder vesting: 4-year vesting with 1-year cliff, standard terms.</w:t>
      </w:r>
    </w:p>
    <w:p/>
    <w:p>
      <w:pPr>
        <w:pStyle w:val="Heading1"/>
      </w:pPr>
      <w:r>
        <w:t>Employee Stock Option Pool</w:t>
      </w:r>
    </w:p>
    <w:p>
      <w:pPr/>
      <w:r>
        <w:t>Option Pool: 750,000 shares — 7.5% (post-round)</w:t>
        <w:br/>
        <w:t>Reserved for engineering hires and future key employees.</w:t>
        <w:br/>
        <w:t>Pool to be established at close.</w:t>
      </w:r>
    </w:p>
    <w:p/>
    <w:p>
      <w:pPr>
        <w:pStyle w:val="Heading1"/>
      </w:pPr>
      <w:r>
        <w:t>Pre-Seed Investors</w:t>
      </w:r>
    </w:p>
    <w:p>
      <w:pPr/>
      <w:r>
        <w:t>Pre-Seed Round: 1,666,667 shares — 16.7% (post-round)</w:t>
        <w:br/>
        <w:t>Raise: $2,000,000 at $1.20/share</w:t>
        <w:br/>
        <w:t>Pre-money valuation: $10,000,000</w:t>
        <w:br/>
        <w:t>Post-money valuation: $12,000,000</w:t>
      </w:r>
    </w:p>
    <w:p/>
    <w:p>
      <w:pPr>
        <w:pStyle w:val="Heading1"/>
      </w:pPr>
      <w:r>
        <w:t>Advisors</w:t>
      </w:r>
    </w:p>
    <w:p>
      <w:pPr/>
      <w:r>
        <w:t>Advisor Shares: 83,333 shares — 0.8% (post-round)</w:t>
        <w:br/>
        <w:t>Reserved for strategic advisors. 2-year vest, monthly, no cliff.</w:t>
      </w:r>
    </w:p>
    <w:p/>
    <w:p>
      <w:pPr>
        <w:pStyle w:val="Heading1"/>
      </w:pPr>
      <w:r>
        <w:t>Fully Diluted Cap Table Summary</w:t>
      </w:r>
    </w:p>
    <w:p>
      <w:pPr/>
      <w:r>
        <w:t>Total Authorized Shares: 10,000,000</w:t>
        <w:br/>
        <w:t>Founders: 7,500,000 (75.0%)</w:t>
        <w:br/>
        <w:t>Option Pool: 750,000 (7.5%)</w:t>
        <w:br/>
        <w:t>Pre-Seed Investors: 1,666,667 (16.7%)</w:t>
        <w:br/>
        <w:t>Advisors: 83,333 (0.8%)</w:t>
        <w:br/>
        <w:t>Total Outstanding: 10,000,000 (100%)</w:t>
      </w:r>
    </w:p>
    <w:p/>
    <w:p>
      <w:pPr>
        <w:pStyle w:val="Heading1"/>
      </w:pPr>
      <w:r>
        <w:t>Key Terms</w:t>
      </w:r>
    </w:p>
    <w:p>
      <w:pPr/>
      <w:r>
        <w:t>Instrument: Common shares (founders/employees), SAFE or preferred (investors)</w:t>
        <w:br/>
        <w:t>Pre-money valuation: $10,000,000</w:t>
        <w:br/>
        <w:t>Post-money valuation: $12,000,000</w:t>
        <w:br/>
        <w:t>Price per share: $1.20 (effective)</w:t>
        <w:br/>
        <w:t>Liquidation preference: 1x non-participating (preferred shares)</w:t>
        <w:br/>
        <w:t>Anti-dilution: Broad-based weighted average</w:t>
      </w:r>
    </w:p>
    <w:p/>
    <w:p>
      <w:pPr>
        <w:pStyle w:val="Heading1"/>
      </w:pPr>
      <w:r>
        <w:t>Projected Series A Dilution</w:t>
      </w:r>
    </w:p>
    <w:p>
      <w:pPr/>
      <w:r>
        <w:t>Assuming Series A of $8M at $40M pre-money (~20% dilution):</w:t>
        <w:br/>
        <w:t>Founders: ~60% combined</w:t>
        <w:br/>
        <w:t>Series A Investors: ~20%</w:t>
        <w:br/>
        <w:t>Pre-Seed Investors: ~13%</w:t>
        <w:br/>
        <w:t>Option Pool: ~6%</w:t>
        <w:br/>
        <w:t>Advisors: ~1%</w:t>
      </w:r>
    </w:p>
    <w:p/>
    <w:p/>
    <w:p>
      <w:pPr>
        <w:jc w:val="center"/>
      </w:pPr>
      <w:r>
        <w:rPr>
          <w:i/>
          <w:sz w:val="18"/>
        </w:rPr>
        <w:t>HyperClaw AI Orchestration Platform · HyperClaw — Capitalization Table · Confidential · Q1 2026</w:t>
        <w:br/>
        <w:t>GitHub: github.com/hyperclawai/hyperclaw · MIT Licensed Core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