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Financial Model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Financial Model</w:t>
      </w:r>
    </w:p>
    <w:p>
      <w:pPr/>
      <w:r>
        <w:t>5-Year Projections | Q1 2026 | Confidential</w:t>
      </w:r>
    </w:p>
    <w:p/>
    <w:p>
      <w:pPr>
        <w:pStyle w:val="Heading1"/>
      </w:pPr>
      <w:r>
        <w:t>Financial Model Assumptions</w:t>
      </w:r>
    </w:p>
    <w:p>
      <w:pPr/>
      <w:r>
        <w:t>Revenue model: SaaS subscription tiers ($499 Starter, $1,999 Pro, $9,999 Enterprise, Custom Sovereign)</w:t>
        <w:br/>
        <w:t>Customer acquisition: Bottom-up via open-source, converted to paid by sales team</w:t>
        <w:br/>
        <w:t>Churn assumption: 5% annual (improving to 3% by Year 3)</w:t>
        <w:br/>
        <w:t>Net Revenue Retention: 115% Year 1, growing to 130% by Year 3</w:t>
        <w:br/>
        <w:t>Gross margin: 70% Year 1, improving to 82% by Year 5</w:t>
        <w:br/>
        <w:t>Headcount: 2 FTEs at raise → 5 FTEs (Q3 2026) → 15 FTEs (2027) → 35 FTEs (2028)</w:t>
      </w:r>
    </w:p>
    <w:p/>
    <w:p>
      <w:pPr>
        <w:pStyle w:val="Heading1"/>
      </w:pPr>
      <w:r>
        <w:t>Year 2026 Projections</w:t>
      </w:r>
    </w:p>
    <w:p>
      <w:pPr/>
      <w:r>
        <w:t>ARR Target: $500,000</w:t>
        <w:br/>
        <w:t>Monthly Recurring Revenue (exit): $41,667</w:t>
        <w:br/>
        <w:t>Customer Count: ~25–40 (mix of Starter/Pro)</w:t>
        <w:br/>
        <w:t>Gross Revenue: ~$350,000 (partial year)</w:t>
        <w:br/>
        <w:t>Operating Expenses: ~$1,800,000 (burn includes team buildout)</w:t>
        <w:br/>
        <w:t>Net Loss: (~$1,450,000)</w:t>
        <w:br/>
        <w:t>Cash Position (year end): ~$550,000</w:t>
      </w:r>
    </w:p>
    <w:p/>
    <w:p>
      <w:pPr>
        <w:pStyle w:val="Heading1"/>
      </w:pPr>
      <w:r>
        <w:t>Year 2027 Projections</w:t>
      </w:r>
    </w:p>
    <w:p>
      <w:pPr/>
      <w:r>
        <w:t>ARR Target: $3,000,000</w:t>
        <w:br/>
        <w:t>Monthly Recurring Revenue (exit): $250,000</w:t>
        <w:br/>
        <w:t>Customer Count: ~120–180</w:t>
        <w:br/>
        <w:t>Gross Revenue: ~$2,200,000</w:t>
        <w:br/>
        <w:t>Gross Profit: ~$1,760,000 (80% margin)</w:t>
        <w:br/>
        <w:t>Operating Expenses: ~$3,500,000</w:t>
        <w:br/>
        <w:t>Net Loss: (~$1,740,000)</w:t>
        <w:br/>
        <w:t>Note: Series A targeted in this window</w:t>
      </w:r>
    </w:p>
    <w:p/>
    <w:p>
      <w:pPr>
        <w:pStyle w:val="Heading1"/>
      </w:pPr>
      <w:r>
        <w:t>Year 2028 Projections</w:t>
      </w:r>
    </w:p>
    <w:p>
      <w:pPr/>
      <w:r>
        <w:t>ARR Target: $12,000,000</w:t>
        <w:br/>
        <w:t>Monthly Recurring Revenue (exit): $1,000,000</w:t>
        <w:br/>
        <w:t>Customer Count: ~400–600</w:t>
        <w:br/>
        <w:t>Gross Revenue: ~$9,000,000</w:t>
        <w:br/>
        <w:t>Gross Profit: ~$7,380,000 (82% margin)</w:t>
        <w:br/>
        <w:t>Operating Expenses: ~$7,000,000</w:t>
        <w:br/>
        <w:t>Approaching EBITDA breakeven</w:t>
      </w:r>
    </w:p>
    <w:p/>
    <w:p>
      <w:pPr>
        <w:pStyle w:val="Heading1"/>
      </w:pPr>
      <w:r>
        <w:t>Year 2030 Projections</w:t>
      </w:r>
    </w:p>
    <w:p>
      <w:pPr/>
      <w:r>
        <w:t>ARR Target: $50,000,000</w:t>
        <w:br/>
        <w:t>Monthly Recurring Revenue: $4,166,667</w:t>
        <w:br/>
        <w:t>Customer Count: 1,500–2,500+</w:t>
        <w:br/>
        <w:t>Gross Revenue: ~$45,000,000</w:t>
        <w:br/>
        <w:t>Gross Profit: ~$37,800,000 (84% margin)</w:t>
        <w:br/>
        <w:t>EBITDA Positive: Yes</w:t>
      </w:r>
    </w:p>
    <w:p/>
    <w:p>
      <w:pPr>
        <w:pStyle w:val="Heading1"/>
      </w:pPr>
      <w:r>
        <w:t>Unit Economics</w:t>
      </w:r>
    </w:p>
    <w:p>
      <w:pPr/>
      <w:r>
        <w:t>Customer Acquisition Cost (CAC) — Year 1: $2,500 (bottoms up from OSS)</w:t>
        <w:br/>
        <w:t>Lifetime Value (LTV) — Starter tier: $14,970 (avg 30 months, 5% churn)</w:t>
        <w:br/>
        <w:t>LTV/CAC ratio: ~6x</w:t>
        <w:br/>
        <w:t>Payback period: ~8 months</w:t>
      </w:r>
    </w:p>
    <w:p>
      <w:pPr/>
      <w:r>
        <w:t>Enterprise tier LTV/CAC improves significantly — target 15x+ by Year 3.</w:t>
      </w:r>
    </w:p>
    <w:p/>
    <w:p>
      <w:pPr>
        <w:pStyle w:val="Heading1"/>
      </w:pPr>
      <w:r>
        <w:t>Revenue by Tier (2027)</w:t>
      </w:r>
    </w:p>
    <w:p>
      <w:pPr/>
      <w:r>
        <w:t>Starter ($499/mo): 60% of customers, 25% of ARR</w:t>
        <w:br/>
        <w:t>Pro ($1,999/mo): 30% of customers, 40% of ARR</w:t>
        <w:br/>
        <w:t>Enterprise ($9,999/mo): 8% of customers, 30% of ARR</w:t>
        <w:br/>
        <w:t>Sovereign (custom): 2% of customers, 5% of ARR</w:t>
      </w:r>
    </w:p>
    <w:p/>
    <w:p>
      <w:pPr>
        <w:pStyle w:val="Heading1"/>
      </w:pPr>
      <w:r>
        <w:t>Key Milestones to Series A</w:t>
      </w:r>
    </w:p>
    <w:p>
      <w:pPr/>
      <w:r>
        <w:t>1. $500K ARR by Q4 2026 (validates pricing and GTM)</w:t>
        <w:br/>
        <w:t>2. 3+ enterprise logos ($9,999/mo tier)</w:t>
        <w:br/>
        <w:t>3. Net Revenue Retention &gt;115%</w:t>
        <w:br/>
        <w:t>4. 15+ employees (engineering + GTM)</w:t>
        <w:br/>
        <w:t>5. v0.2 with SSO/SAML shipped</w:t>
      </w:r>
    </w:p>
    <w:p>
      <w:pPr/>
      <w:r>
        <w:t>Expected Series A: Q1-Q2 2027 at $40M+ pre-money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Financial Model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