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HyperClaw — Use of Funds</w:t>
      </w:r>
    </w:p>
    <w:p>
      <w:pPr>
        <w:jc w:val="center"/>
      </w:pPr>
      <w:r>
        <w:rPr>
          <w:i/>
          <w:sz w:val="18"/>
        </w:rPr>
        <w:t>CONFIDENTIAL — HyperClaw AI Orchestration Platform — Q1 2026</w:t>
      </w:r>
    </w:p>
    <w:p/>
    <w:p>
      <w:pPr>
        <w:pStyle w:val="Heading1"/>
      </w:pPr>
      <w:r>
        <w:t>HyperClaw — Use of Pre-Seed Funds</w:t>
      </w:r>
    </w:p>
    <w:p>
      <w:pPr/>
      <w:r>
        <w:t>Allocation of $2,000,000 Pre-Seed Round | Q1 2026 | Confidential</w:t>
      </w:r>
    </w:p>
    <w:p/>
    <w:p>
      <w:pPr>
        <w:pStyle w:val="Heading1"/>
      </w:pPr>
      <w:r>
        <w:t>Summary</w:t>
      </w:r>
    </w:p>
    <w:p>
      <w:pPr/>
      <w:r>
        <w:t>HyperClaw is raising $2,000,000 at a $10M pre-money valuation. The capital will be deployed over approximately 18 months to achieve $500K ARR, close first enterprise customers, and position the company for a Series A raise in Q1-Q2 2027.</w:t>
      </w:r>
    </w:p>
    <w:p/>
    <w:p>
      <w:pPr>
        <w:pStyle w:val="Heading1"/>
      </w:pPr>
      <w:r>
        <w:t>Engineering &amp; Product — 40% ($800,000)</w:t>
      </w:r>
    </w:p>
    <w:p>
      <w:pPr/>
      <w:r>
        <w:t>3 senior engineering hires (full-stack AI/backend)</w:t>
        <w:br/>
        <w:t>Target hires: Senior Backend Engineer, AI/ML Engineer, DevOps/Infrastructure</w:t>
        <w:br/>
        <w:t>Timeline: Hires Q2-Q3 2026</w:t>
        <w:br/>
        <w:t>Rationale: Current 2-person team cannot support enterprise feature roadmap (SSO, custom policies, PROMETHEUS v2) and concurrent customer support at scale.</w:t>
      </w:r>
    </w:p>
    <w:p/>
    <w:p>
      <w:pPr>
        <w:pStyle w:val="Heading1"/>
      </w:pPr>
      <w:r>
        <w:t>Go-To-Market &amp; Sales — 25% ($500,000)</w:t>
      </w:r>
    </w:p>
    <w:p>
      <w:pPr/>
      <w:r>
        <w:t>Sales Development Representative hire</w:t>
        <w:br/>
        <w:t>Enterprise sales infrastructure (CRM, sequences, demos)</w:t>
        <w:br/>
        <w:t>Conference presence and developer community investment</w:t>
        <w:br/>
        <w:t>Content marketing and open-source community building</w:t>
        <w:br/>
        <w:t>Rationale: Vaughn's network provides warm leads for Q1-Q2; structured GTM required for $3M ARR target by EOY 2027.</w:t>
      </w:r>
    </w:p>
    <w:p/>
    <w:p>
      <w:pPr>
        <w:pStyle w:val="Heading1"/>
      </w:pPr>
      <w:r>
        <w:t>Infrastructure &amp; Cloud — 20% ($400,000)</w:t>
      </w:r>
    </w:p>
    <w:p>
      <w:pPr/>
      <w:r>
        <w:t>Supabase scaling (Postgres, pgvector, Auth)</w:t>
        <w:br/>
        <w:t>LLM API costs (OpenAI, Anthropic, Gemini) for hosted tier</w:t>
        <w:br/>
        <w:t>Development and staging environments</w:t>
        <w:br/>
        <w:t>Security tooling, monitoring, observability</w:t>
        <w:br/>
        <w:t>Rationale: Supabase free tier will not support enterprise customer volume; production infrastructure requires investment before customer onboarding.</w:t>
      </w:r>
    </w:p>
    <w:p/>
    <w:p>
      <w:pPr>
        <w:pStyle w:val="Heading1"/>
      </w:pPr>
      <w:r>
        <w:t>Operations — 10% ($200,000)</w:t>
      </w:r>
    </w:p>
    <w:p>
      <w:pPr/>
      <w:r>
        <w:t>Office/co-working space (optional remote-first)</w:t>
        <w:br/>
        <w:t>HR and recruiting costs for 3 engineering hires</w:t>
        <w:br/>
        <w:t>Team travel for enterprise sales and conferences</w:t>
        <w:br/>
        <w:t>Equipment and tooling for new hires</w:t>
      </w:r>
    </w:p>
    <w:p/>
    <w:p>
      <w:pPr>
        <w:pStyle w:val="Heading1"/>
      </w:pPr>
      <w:r>
        <w:t>Legal &amp; Admin — 5% ($100,000)</w:t>
      </w:r>
    </w:p>
    <w:p>
      <w:pPr/>
      <w:r>
        <w:t>Corporate legal (Delaware C-Corp formation if needed)</w:t>
        <w:br/>
        <w:t>IP counsel for open-source licensing strategy</w:t>
        <w:br/>
        <w:t>Employee contracts and option plan documentation</w:t>
        <w:br/>
        <w:t>General legal retainer</w:t>
      </w:r>
    </w:p>
    <w:p/>
    <w:p>
      <w:pPr>
        <w:pStyle w:val="Heading1"/>
      </w:pPr>
      <w:r>
        <w:t>18-Month Milestone Map</w:t>
      </w:r>
    </w:p>
    <w:p>
      <w:pPr/>
      <w:r>
        <w:t>Month 1-3: Close raise, make first 2 engineering hires, ship v0.1.1</w:t>
        <w:br/>
        <w:t>Month 4-6: First 5 enterprise pilots, hire SDR, ship v0.2 (SSO)</w:t>
        <w:br/>
        <w:t>Month 7-9: Convert 3 pilots to paid, $200K ARR</w:t>
        <w:br/>
        <w:t>Month 10-12: $350K ARR, 3rd engineering hire, PROMETHEUS v2</w:t>
        <w:br/>
        <w:t>Month 13-15: $500K ARR, Series A preparation</w:t>
        <w:br/>
        <w:t>Month 16-18: Series A close at $40M+ pre-money</w:t>
      </w:r>
    </w:p>
    <w:p/>
    <w:p/>
    <w:p>
      <w:pPr>
        <w:jc w:val="center"/>
      </w:pPr>
      <w:r>
        <w:rPr>
          <w:i/>
          <w:sz w:val="18"/>
        </w:rPr>
        <w:t>HyperClaw AI Orchestration Platform · HyperClaw — Use of Funds · Confidential · Q1 2026</w:t>
        <w:br/>
        <w:t>GitHub: github.com/hyperclawai/hyperclaw · MIT Licensed Core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