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Market Sizing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Market Sizing</w:t>
      </w:r>
    </w:p>
    <w:p>
      <w:pPr/>
      <w:r>
        <w:t>$47B Market Opportunity in AI Orchestration | Q1 2026 | Confidential</w:t>
      </w:r>
    </w:p>
    <w:p/>
    <w:p>
      <w:pPr>
        <w:pStyle w:val="Heading1"/>
      </w:pPr>
      <w:r>
        <w:t>Market Overview</w:t>
      </w:r>
    </w:p>
    <w:p>
      <w:pPr/>
      <w:r>
        <w:t>HyperClaw operates at the intersection of AI agent infrastructure, enterprise software, and the open-source developer economy. The market is early, large, and winner-take-most.</w:t>
      </w:r>
    </w:p>
    <w:p>
      <w:pPr/>
      <w:r>
        <w:t>Total Addressable Market: $47B</w:t>
        <w:br/>
        <w:t>HyperClaw's opportunity spans the full enterprise AI orchestration stack — from developer tooling to enterprise platform licensing.</w:t>
      </w:r>
    </w:p>
    <w:p/>
    <w:p>
      <w:pPr>
        <w:pStyle w:val="Heading1"/>
      </w:pPr>
      <w:r>
        <w:t>TAM — $47B Total Addressable Market</w:t>
      </w:r>
    </w:p>
    <w:p>
      <w:pPr/>
      <w:r>
        <w:t>The TAM represents the full global market for AI agent infrastructure, enterprise AI platforms, and developer tooling combined.</w:t>
      </w:r>
    </w:p>
    <w:p>
      <w:r>
        <w:t>Key segments:</w:t>
      </w:r>
    </w:p>
    <w:p>
      <w:pPr>
        <w:pStyle w:val="ListBullet"/>
      </w:pPr>
      <w:r>
        <w:t>AI Agent Infrastructure: $18B (2025 estimate, growing at 45% CAGR)</w:t>
      </w:r>
    </w:p>
    <w:p>
      <w:pPr>
        <w:pStyle w:val="ListBullet"/>
      </w:pPr>
      <w:r>
        <w:t>Enterprise AI Platforms: $22B (SaaS licensing, professional services)</w:t>
      </w:r>
    </w:p>
    <w:p>
      <w:pPr>
        <w:pStyle w:val="ListBullet"/>
      </w:pPr>
      <w:r>
        <w:t>Developer Tools &amp; Orchestration: $7B (IDE plugins, frameworks, APIs)</w:t>
      </w:r>
    </w:p>
    <w:p>
      <w:pPr/>
      <w:r>
        <w:t>Sources: Gartner, IDC, Forrester AI enterprise spending reports (2024-2025)</w:t>
      </w:r>
    </w:p>
    <w:p/>
    <w:p>
      <w:pPr>
        <w:pStyle w:val="Heading1"/>
      </w:pPr>
      <w:r>
        <w:t>SAM — $8.2B Serviceable Addressable Market</w:t>
      </w:r>
    </w:p>
    <w:p>
      <w:pPr/>
      <w:r>
        <w:t>HyperClaw's SAM is the enterprise AI orchestration segment specifically — companies actively deploying multi-agent AI workflows in production environments.</w:t>
      </w:r>
    </w:p>
    <w:p>
      <w:pPr/>
      <w:r>
        <w:t>Growth rate: 34% CAGR (2025-2030)</w:t>
        <w:br/>
        <w:t>Key buyers: Fortune 1000, growth-stage tech companies, government agencies</w:t>
        <w:br/>
        <w:t>Primary use cases: Operations automation, research pipelines, compliance-critical AI deployment</w:t>
      </w:r>
    </w:p>
    <w:p>
      <w:pPr/>
      <w:r>
        <w:t>HyperClaw is positioned to capture significant SAM share with its policy-first, enterprise-grade architecture.</w:t>
      </w:r>
    </w:p>
    <w:p/>
    <w:p>
      <w:pPr>
        <w:pStyle w:val="Heading1"/>
      </w:pPr>
      <w:r>
        <w:t>SOM — $420M Initial Serviceable Obtainable Market</w:t>
      </w:r>
    </w:p>
    <w:p>
      <w:r>
        <w:t>HyperClaw's initial SOM focuses on mid-market to enterprise accounts where:</w:t>
      </w:r>
    </w:p>
    <w:p>
      <w:pPr>
        <w:pStyle w:val="ListBullet"/>
      </w:pPr>
      <w:r>
        <w:t>Annual AI software budget exceeds $50K</w:t>
      </w:r>
    </w:p>
    <w:p>
      <w:pPr>
        <w:pStyle w:val="ListBullet"/>
      </w:pPr>
      <w:r>
        <w:t>Compliance or policy requirements exist</w:t>
      </w:r>
    </w:p>
    <w:p>
      <w:pPr>
        <w:pStyle w:val="ListBullet"/>
      </w:pPr>
      <w:r>
        <w:t>Multi-agent workflows are actively evaluated</w:t>
      </w:r>
    </w:p>
    <w:p>
      <w:pPr>
        <w:pStyle w:val="ListBullet"/>
      </w:pPr>
      <w:r>
        <w:t>Vaughn Davis's network provides warm access</w:t>
      </w:r>
    </w:p>
    <w:p>
      <w:pPr/>
      <w:r>
        <w:t>Initial target: 500-1,000 enterprise accounts in Years 1-3</w:t>
      </w:r>
    </w:p>
    <w:p/>
    <w:p>
      <w:pPr>
        <w:pStyle w:val="Heading1"/>
      </w:pPr>
      <w:r>
        <w:t>Market Drivers</w:t>
      </w:r>
    </w:p>
    <w:p>
      <w:pPr/>
      <w:r>
        <w:t>1. AI Agent Proliferation: LLM APIs have commoditized inference; the value is shifting to orchestration infrastructure.</w:t>
      </w:r>
    </w:p>
    <w:p>
      <w:pPr/>
      <w:r>
        <w:t>2. Enterprise Compliance Pressure: EU AI Act, US executive orders, and SOC2/ISO requirements are creating demand for policy-enforced AI deployment.</w:t>
      </w:r>
    </w:p>
    <w:p>
      <w:pPr/>
      <w:r>
        <w:t>3. Production AI Failure: 73% enterprise AI failure rate is creating demand for purpose-built production infrastructure.</w:t>
      </w:r>
    </w:p>
    <w:p>
      <w:pPr/>
      <w:r>
        <w:t>4. Multi-Model Competition: GPT-4o, Claude 3.5, Gemini 2.0 compete on capability; enterprises need routing layers to select optimally.</w:t>
      </w:r>
    </w:p>
    <w:p>
      <w:pPr/>
      <w:r>
        <w:t>5. Open Source to Enterprise: The LangChain/CrewAI community is generating enterprise demand that OSS tools cannot serve.</w:t>
      </w:r>
    </w:p>
    <w:p/>
    <w:p>
      <w:pPr>
        <w:pStyle w:val="Heading1"/>
      </w:pPr>
      <w:r>
        <w:t>Ideal Customer Profile</w:t>
      </w:r>
    </w:p>
    <w:p>
      <w:r>
        <w:t>Tier 1 — Enterprise Tech Company:</w:t>
      </w:r>
    </w:p>
    <w:p>
      <w:pPr>
        <w:pStyle w:val="ListBullet"/>
      </w:pPr>
      <w:r>
        <w:t>500-5,000 employees</w:t>
      </w:r>
    </w:p>
    <w:p>
      <w:pPr>
        <w:pStyle w:val="ListBullet"/>
      </w:pPr>
      <w:r>
        <w:t>Active ML/AI team</w:t>
      </w:r>
    </w:p>
    <w:p>
      <w:pPr>
        <w:pStyle w:val="ListBullet"/>
      </w:pPr>
      <w:r>
        <w:t>Existing LLM spend &gt;$10K/mo</w:t>
      </w:r>
    </w:p>
    <w:p>
      <w:pPr>
        <w:pStyle w:val="ListBullet"/>
      </w:pPr>
      <w:r>
        <w:t>Compliance requirements (SOC2, HIPAA, FedRAMP)</w:t>
      </w:r>
    </w:p>
    <w:p>
      <w:r>
        <w:t>Tier 2 — Growth-Stage AI Company:</w:t>
      </w:r>
    </w:p>
    <w:p>
      <w:pPr>
        <w:pStyle w:val="ListBullet"/>
      </w:pPr>
      <w:r>
        <w:t>50-500 employees</w:t>
      </w:r>
    </w:p>
    <w:p>
      <w:pPr>
        <w:pStyle w:val="ListBullet"/>
      </w:pPr>
      <w:r>
        <w:t>AI-native product building on LLM APIs</w:t>
      </w:r>
    </w:p>
    <w:p>
      <w:pPr>
        <w:pStyle w:val="ListBullet"/>
      </w:pPr>
      <w:r>
        <w:t>Need for multi-agent orchestration</w:t>
      </w:r>
    </w:p>
    <w:p>
      <w:pPr>
        <w:pStyle w:val="ListBullet"/>
      </w:pPr>
      <w:r>
        <w:t>Developer-led evaluation → enterprise procurement</w:t>
      </w:r>
    </w:p>
    <w:p>
      <w:r>
        <w:t>Tier 3 — Government/Defense:</w:t>
      </w:r>
    </w:p>
    <w:p>
      <w:pPr>
        <w:pStyle w:val="ListBullet"/>
      </w:pPr>
      <w:r>
        <w:t>Sovereign tier candidates</w:t>
      </w:r>
    </w:p>
    <w:p>
      <w:pPr>
        <w:pStyle w:val="ListBullet"/>
      </w:pPr>
      <w:r>
        <w:t>Air-gapped deployment requirements</w:t>
      </w:r>
    </w:p>
    <w:p>
      <w:pPr>
        <w:pStyle w:val="ListBullet"/>
      </w:pPr>
      <w:r>
        <w:t>Long sales cycle, high ACV</w:t>
      </w:r>
    </w:p>
    <w:p/>
    <w:p>
      <w:pPr>
        <w:pStyle w:val="Heading1"/>
      </w:pPr>
      <w:r>
        <w:t>Competitive Timing</w:t>
      </w:r>
    </w:p>
    <w:p>
      <w:r>
        <w:t>HyperClaw enters the market at the optimal moment:</w:t>
      </w:r>
    </w:p>
    <w:p>
      <w:pPr>
        <w:pStyle w:val="ListBullet"/>
      </w:pPr>
      <w:r>
        <w:t>LangChain/AutoGen/CrewAI have proven the demand but cannot serve enterprise</w:t>
      </w:r>
    </w:p>
    <w:p>
      <w:pPr>
        <w:pStyle w:val="ListBullet"/>
      </w:pPr>
      <w:r>
        <w:t>Enterprise buyers are actively evaluating alternatives to OSS frameworks</w:t>
      </w:r>
    </w:p>
    <w:p>
      <w:pPr>
        <w:pStyle w:val="ListBullet"/>
      </w:pPr>
      <w:r>
        <w:t>The policy/compliance requirement is new (post-EU AI Act)</w:t>
      </w:r>
    </w:p>
    <w:p>
      <w:pPr>
        <w:pStyle w:val="ListBullet"/>
      </w:pPr>
      <w:r>
        <w:t>No well-funded enterprise-first orchestration platform exists yet</w:t>
      </w:r>
    </w:p>
    <w:p>
      <w:pPr/>
      <w:r>
        <w:t>This is the Snowflake moment for AI orchestration.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Market Sizing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