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HyperClaw — Risk Factors</w:t>
      </w:r>
    </w:p>
    <w:p>
      <w:pPr>
        <w:jc w:val="center"/>
      </w:pPr>
      <w:r>
        <w:rPr>
          <w:i/>
          <w:sz w:val="18"/>
        </w:rPr>
        <w:t>CONFIDENTIAL — HyperClaw AI Orchestration Platform — Q1 2026</w:t>
      </w:r>
    </w:p>
    <w:p/>
    <w:p>
      <w:pPr>
        <w:pStyle w:val="Heading1"/>
      </w:pPr>
      <w:r>
        <w:t>HyperClaw Risk Factors</w:t>
      </w:r>
    </w:p>
    <w:p>
      <w:pPr/>
      <w:r>
        <w:t>Pre-Seed Investment Risk Disclosure | Q1 2026 | Confidential</w:t>
      </w:r>
    </w:p>
    <w:p/>
    <w:p>
      <w:pPr>
        <w:pStyle w:val="Heading1"/>
      </w:pPr>
      <w:r>
        <w:t>Disclosure Notice</w:t>
      </w:r>
    </w:p>
    <w:p>
      <w:pPr/>
      <w:r>
        <w:t>Investing in early-stage companies involves significant risk. The following risk factors are material to an investment decision in HyperClaw and should be considered carefully alongside the company's financial projections and strategic plan.</w:t>
      </w:r>
    </w:p>
    <w:p>
      <w:pPr/>
      <w:r>
        <w:t>This document contains forward-looking statements and risk disclosures for informational purposes. It does not constitute an offer to sell securities. All projections are estimates based on current assumptions and are subject to change. Investors should consult qualified legal and financial counsel before making investment decisions.</w:t>
      </w:r>
    </w:p>
    <w:p/>
    <w:p>
      <w:pPr>
        <w:pStyle w:val="Heading1"/>
      </w:pPr>
      <w:r>
        <w:t>Risk 1 — Open-Source Competition (HIGH)</w:t>
      </w:r>
    </w:p>
    <w:p>
      <w:pPr/>
      <w:r>
        <w:t>RISK: LangChain, AutoGen, and CrewAI are well-funded, widely adopted open-source frameworks with large communities and brand recognition. Their gravitational pull on developers is significant. Microsoft backs AutoGen; Sequoia has invested in LangChain. A sustained push by any to add enterprise features could compress HyperClaw's differentiation window.</w:t>
      </w:r>
    </w:p>
    <w:p>
      <w:r>
        <w:t>MITIGANTS:</w:t>
      </w:r>
    </w:p>
    <w:p>
      <w:pPr>
        <w:pStyle w:val="ListBullet"/>
      </w:pPr>
      <w:r>
        <w:t>HyperShield policy engine requires 12–18 months of enterprise feedback to replicate properly</w:t>
      </w:r>
    </w:p>
    <w:p>
      <w:pPr>
        <w:pStyle w:val="ListBullet"/>
      </w:pPr>
      <w:r>
        <w:t>UCB1 routing is architecturally baked in, not a plugin — migration cost is high for incumbents</w:t>
      </w:r>
    </w:p>
    <w:p>
      <w:pPr>
        <w:pStyle w:val="ListBullet"/>
      </w:pPr>
      <w:r>
        <w:t>HyperClaw targets enterprise buyers, not developer communities — different motion, different moat</w:t>
      </w:r>
    </w:p>
    <w:p>
      <w:pPr>
        <w:pStyle w:val="ListBullet"/>
      </w:pPr>
      <w:r>
        <w:t>MIT core means HyperClaw can become the standard layer on top of any framework</w:t>
      </w:r>
    </w:p>
    <w:p/>
    <w:p>
      <w:pPr>
        <w:pStyle w:val="Heading1"/>
      </w:pPr>
      <w:r>
        <w:t>Risk 2 — Enterprise Sales Cycle (HIGH)</w:t>
      </w:r>
    </w:p>
    <w:p>
      <w:pPr/>
      <w:r>
        <w:t>RISK: Enterprise software procurement cycles typically run 6–18 months for initial contracts. A small team burning through a $2M raise could face cash constraints before deals close, particularly if early enterprise bets require significant customization.</w:t>
      </w:r>
    </w:p>
    <w:p>
      <w:r>
        <w:t>MITIGANTS:</w:t>
      </w:r>
    </w:p>
    <w:p>
      <w:pPr>
        <w:pStyle w:val="ListBullet"/>
      </w:pPr>
      <w:r>
        <w:t>Vaughn's existing network in luxury hospitality and LA enterprise cuts procurement time via champion relationships</w:t>
      </w:r>
    </w:p>
    <w:p>
      <w:pPr>
        <w:pStyle w:val="ListBullet"/>
      </w:pPr>
      <w:r>
        <w:t>$499/mo Starter tier enables bottom-up land-and-expand — no 12-month procurement needed to start</w:t>
      </w:r>
    </w:p>
    <w:p>
      <w:pPr>
        <w:pStyle w:val="ListBullet"/>
      </w:pPr>
      <w:r>
        <w:t>Open-source core allows IT teams to evaluate HyperClaw before procurement gets involved</w:t>
      </w:r>
    </w:p>
    <w:p>
      <w:pPr>
        <w:pStyle w:val="ListBullet"/>
      </w:pPr>
      <w:r>
        <w:t>18-month runway on $2M raise provides cushion through longer deal cycles</w:t>
      </w:r>
    </w:p>
    <w:p/>
    <w:p>
      <w:pPr>
        <w:pStyle w:val="Heading1"/>
      </w:pPr>
      <w:r>
        <w:t>Risk 3 — Key Person Risk (MEDIUM)</w:t>
      </w:r>
    </w:p>
    <w:p>
      <w:pPr/>
      <w:r>
        <w:t>RISK: With a two-person founding team, HyperClaw is exposed to key person concentration risk. Loss, incapacitation, or departure of either founder would significantly impact company operations.</w:t>
      </w:r>
    </w:p>
    <w:p>
      <w:r>
        <w:t>MITIGANTS:</w:t>
      </w:r>
    </w:p>
    <w:p>
      <w:pPr>
        <w:pStyle w:val="ListBullet"/>
      </w:pPr>
      <w:r>
        <w:t>Pre-seed capital earmarked for 3 engineering hires — distributing technical concentration</w:t>
      </w:r>
    </w:p>
    <w:p>
      <w:pPr>
        <w:pStyle w:val="ListBullet"/>
      </w:pPr>
      <w:r>
        <w:t>MIT-licensed codebase with 377 tests is highly documented and transferable</w:t>
      </w:r>
    </w:p>
    <w:p>
      <w:pPr>
        <w:pStyle w:val="ListBullet"/>
      </w:pPr>
      <w:r>
        <w:t>Vesting schedules and standard founder protections being established at raise</w:t>
      </w:r>
    </w:p>
    <w:p>
      <w:pPr>
        <w:pStyle w:val="ListBullet"/>
      </w:pPr>
      <w:r>
        <w:t>Key-person insurance to be established post-raise</w:t>
      </w:r>
    </w:p>
    <w:p/>
    <w:p>
      <w:pPr>
        <w:pStyle w:val="Heading1"/>
      </w:pPr>
      <w:r>
        <w:t>Risk 4 — Market Timing (MEDIUM)</w:t>
      </w:r>
    </w:p>
    <w:p>
      <w:pPr/>
      <w:r>
        <w:t>RISK: A contraction in enterprise AI spending, or a major AI incident causing regulatory backlash, could slow adoption. Alternatively, the market could move faster than projected, favoring better-funded competitors.</w:t>
      </w:r>
    </w:p>
    <w:p>
      <w:r>
        <w:t>MITIGANTS:</w:t>
      </w:r>
    </w:p>
    <w:p>
      <w:pPr>
        <w:pStyle w:val="ListBullet"/>
      </w:pPr>
      <w:r>
        <w:t>Enterprise AI adoption is a 10-year structural shift, not a single-year cycle</w:t>
      </w:r>
    </w:p>
    <w:p>
      <w:pPr>
        <w:pStyle w:val="ListBullet"/>
      </w:pPr>
      <w:r>
        <w:t>HyperShield is more valuable in a regulated environment — regulatory risk is a tailwind</w:t>
      </w:r>
    </w:p>
    <w:p>
      <w:pPr>
        <w:pStyle w:val="ListBullet"/>
      </w:pPr>
      <w:r>
        <w:t>Open-source core creates organic adoption independent of sales cycles</w:t>
      </w:r>
    </w:p>
    <w:p>
      <w:pPr>
        <w:pStyle w:val="ListBullet"/>
      </w:pPr>
      <w:r>
        <w:t>Revenue model includes low-entry Starter tier ($499/mo)</w:t>
      </w:r>
    </w:p>
    <w:p/>
    <w:p>
      <w:pPr>
        <w:pStyle w:val="Heading1"/>
      </w:pPr>
      <w:r>
        <w:t>Risk 5 — LLM Provider Dependency (MEDIUM)</w:t>
      </w:r>
    </w:p>
    <w:p>
      <w:pPr/>
      <w:r>
        <w:t>RISK: HyperClaw relies on OpenAI, Anthropic, and Google LLM APIs. Pricing changes, API deprecations, or service outages could impact reliability and unit economics.</w:t>
      </w:r>
    </w:p>
    <w:p>
      <w:r>
        <w:t>MITIGANTS:</w:t>
      </w:r>
    </w:p>
    <w:p>
      <w:pPr>
        <w:pStyle w:val="ListBullet"/>
      </w:pPr>
      <w:r>
        <w:t>HyperRouter's multi-model design allows instant failover between providers</w:t>
      </w:r>
    </w:p>
    <w:p>
      <w:pPr>
        <w:pStyle w:val="ListBullet"/>
      </w:pPr>
      <w:r>
        <w:t>No hard dependency on any single provider — swappable via configuration</w:t>
      </w:r>
    </w:p>
    <w:p>
      <w:pPr>
        <w:pStyle w:val="ListBullet"/>
      </w:pPr>
      <w:r>
        <w:t>Open-source LLM support (Llama, Mistral) on roadmap for on-prem sovereignty tier</w:t>
      </w:r>
    </w:p>
    <w:p>
      <w:pPr>
        <w:pStyle w:val="ListBullet"/>
      </w:pPr>
      <w:r>
        <w:t>Sovereign tier explicitly designed for air-gapped, self-hosted model deployment</w:t>
      </w:r>
    </w:p>
    <w:p/>
    <w:p>
      <w:pPr>
        <w:pStyle w:val="Heading1"/>
      </w:pPr>
      <w:r>
        <w:t>Risk 6 — Runway &amp; Capital Efficiency (LOW)</w:t>
      </w:r>
    </w:p>
    <w:p>
      <w:pPr/>
      <w:r>
        <w:t>RISK: $2M provides approximately 18 months of runway. If ARR targets are not met or the Series A market tightens, HyperClaw could face a bridge financing gap.</w:t>
      </w:r>
    </w:p>
    <w:p>
      <w:r>
        <w:t>MITIGANTS:</w:t>
      </w:r>
    </w:p>
    <w:p>
      <w:pPr>
        <w:pStyle w:val="ListBullet"/>
      </w:pPr>
      <w:r>
        <w:t>Supabase backend eliminates significant infrastructure spend at early stage</w:t>
      </w:r>
    </w:p>
    <w:p>
      <w:pPr>
        <w:pStyle w:val="ListBullet"/>
      </w:pPr>
      <w:r>
        <w:t>Open-source community creates free distribution and reduces marketing spend</w:t>
      </w:r>
    </w:p>
    <w:p>
      <w:pPr>
        <w:pStyle w:val="ListBullet"/>
      </w:pPr>
      <w:r>
        <w:t>Revenue model activates at Starter ($499/mo) — low bar to first revenue</w:t>
      </w:r>
    </w:p>
    <w:p>
      <w:pPr>
        <w:pStyle w:val="ListBullet"/>
      </w:pPr>
      <w:r>
        <w:t>Hiring plan tied to ARR milestones, not calendar</w:t>
      </w:r>
    </w:p>
    <w:p/>
    <w:p>
      <w:pPr>
        <w:pStyle w:val="Heading1"/>
      </w:pPr>
      <w:r>
        <w:t>Risk 7 — AI Regulatory Environment (LOW)</w:t>
      </w:r>
    </w:p>
    <w:p>
      <w:pPr/>
      <w:r>
        <w:t>RISK: The EU AI Act, potential US federal AI regulation, and state-level AI laws could impose compliance requirements. Evolving definitions of 'high-risk AI' could require additional certification.</w:t>
      </w:r>
    </w:p>
    <w:p>
      <w:r>
        <w:t>MITIGANTS:</w:t>
      </w:r>
    </w:p>
    <w:p>
      <w:pPr>
        <w:pStyle w:val="ListBullet"/>
      </w:pPr>
      <w:r>
        <w:t>HyperShield policy engine is explicitly designed for compliance requirements — regulation is a tailwind</w:t>
      </w:r>
    </w:p>
    <w:p>
      <w:pPr>
        <w:pStyle w:val="ListBullet"/>
      </w:pPr>
      <w:r>
        <w:t>Audit logging built into HyperState from day one</w:t>
      </w:r>
    </w:p>
    <w:p>
      <w:pPr>
        <w:pStyle w:val="ListBullet"/>
      </w:pPr>
      <w:r>
        <w:t>MIT license and open architecture make third-party compliance audits straightforward</w:t>
      </w:r>
    </w:p>
    <w:p>
      <w:pPr>
        <w:pStyle w:val="ListBullet"/>
      </w:pPr>
      <w:r>
        <w:t>Sovereign tier designed for highest-compliance environments</w:t>
      </w:r>
    </w:p>
    <w:p/>
    <w:p/>
    <w:p>
      <w:pPr>
        <w:jc w:val="center"/>
      </w:pPr>
      <w:r>
        <w:rPr>
          <w:i/>
          <w:sz w:val="18"/>
        </w:rPr>
        <w:t>HyperClaw AI Orchestration Platform · HyperClaw — Risk Factors · Confidential · Q1 2026</w:t>
        <w:br/>
        <w:t>GitHub: github.com/hyperclawai/hyperclaw · MIT Licensed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