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Traction Summary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Traction Summary</w:t>
      </w:r>
    </w:p>
    <w:p>
      <w:pPr/>
      <w:r>
        <w:t>Pre-Seed Raise | Q1 2026 | Confidential</w:t>
      </w:r>
    </w:p>
    <w:p/>
    <w:p>
      <w:pPr>
        <w:pStyle w:val="Heading1"/>
      </w:pPr>
      <w:r>
        <w:t>Summary</w:t>
      </w:r>
    </w:p>
    <w:p>
      <w:pPr/>
      <w:r>
        <w:t>HyperClaw has shipped a production alpha, established its cloud infrastructure, and validated the core architecture through 377 passing tests. We are raising $2M to accelerate from alpha to first enterprise customers.</w:t>
      </w:r>
    </w:p>
    <w:p/>
    <w:p>
      <w:pPr>
        <w:pStyle w:val="Heading1"/>
      </w:pPr>
      <w:r>
        <w:t>Key Metrics — Q1 2026</w:t>
      </w:r>
    </w:p>
    <w:p>
      <w:pPr/>
      <w:r>
        <w:t>Tests Passing: 377 (zero failures)</w:t>
        <w:br/>
        <w:t>Release: v0.1.0-alpha (live)</w:t>
        <w:br/>
        <w:t>Agents Shipped: 22 (across 5 domains)</w:t>
        <w:br/>
        <w:t>Pre-Seed Raise: $2,000,000 at $10M pre-money</w:t>
        <w:br/>
        <w:t>GitHub: github.com/hyperclawai/hyperclaw (MIT, public)</w:t>
        <w:br/>
        <w:t>Backend: Supabase (live)</w:t>
      </w:r>
    </w:p>
    <w:p/>
    <w:p>
      <w:pPr>
        <w:pStyle w:val="Heading1"/>
      </w:pPr>
      <w:r>
        <w:t>Development Milestones</w:t>
      </w:r>
    </w:p>
    <w:p>
      <w:pPr/>
      <w:r>
        <w:t>Q4 2025 — Architecture Design &amp; Core Build</w:t>
        <w:br/>
        <w:t>HyperState, HyperRouter (UCB1), HyperMemory (pgvector causal graph), and HyperShield policy engine designed and implemented. PROMETHEUS recursive intelligence layer architected.</w:t>
      </w:r>
    </w:p>
    <w:p>
      <w:pPr/>
      <w:r>
        <w:t>Q4 2025 — 377 Tests Written &amp; Passing [LIVE]</w:t>
        <w:br/>
        <w:t>Comprehensive test suite covering all four architecture pillars. Zero known failures.</w:t>
      </w:r>
    </w:p>
    <w:p>
      <w:pPr/>
      <w:r>
        <w:t>Q1 2026 — v0.1.0-alpha Released [LIVE]</w:t>
        <w:br/>
        <w:t>First public alpha release on GitHub under MIT license. 22 specialist agents across 5 domains. Supabase backend live. Open for community adoption.</w:t>
      </w:r>
    </w:p>
    <w:p>
      <w:pPr/>
      <w:r>
        <w:t>Q1 2026 — Supabase Backend Live [LIVE]</w:t>
        <w:br/>
        <w:t>Production cloud infrastructure deployed. Postgres with pgvector, RLS, real-time subscriptions, and Auth layer all live.</w:t>
      </w:r>
    </w:p>
    <w:p>
      <w:pPr/>
      <w:r>
        <w:t>Q1 2026 — Pre-Seed Round Opened [IN PROGRESS]</w:t>
        <w:br/>
        <w:t>$2M raise at $10M pre-money valuation. Targeting lead investor close Q2 2026.</w:t>
      </w:r>
    </w:p>
    <w:p>
      <w:pPr/>
      <w:r>
        <w:t>Q2 2026 — First Enterprise Customers (Target)</w:t>
        <w:br/>
        <w:t>Close first 3–5 enterprise contracts. Target ARR: $50K–$200K from initial cohort.</w:t>
      </w:r>
    </w:p>
    <w:p>
      <w:pPr/>
      <w:r>
        <w:t>Q3 2026 — v0.2 Release (Target)</w:t>
        <w:br/>
        <w:t>SSO/SAML integration, custom policy templates, PROMETHEUS v2, enhanced HyperMemory.</w:t>
      </w:r>
    </w:p>
    <w:p/>
    <w:p>
      <w:pPr>
        <w:pStyle w:val="Heading1"/>
      </w:pPr>
      <w:r>
        <w:t>ARR Growth Trajectory</w:t>
      </w:r>
    </w:p>
    <w:p>
      <w:pPr/>
      <w:r>
        <w:t>2026: $500,000 ARR (first enterprise customers)</w:t>
        <w:br/>
        <w:t>2027: $3,000,000 ARR (GTM scaling, post-Series A)</w:t>
        <w:br/>
        <w:t>2028: $12,000,000 ARR (market expansion)</w:t>
        <w:br/>
        <w:t>2030: $50,000,000 ARR (market leadership)</w:t>
      </w:r>
    </w:p>
    <w:p/>
    <w:p>
      <w:pPr>
        <w:pStyle w:val="Heading1"/>
      </w:pPr>
      <w:r>
        <w:t>Pre-Seed Raise Terms</w:t>
      </w:r>
    </w:p>
    <w:p>
      <w:pPr/>
      <w:r>
        <w:t>Raise Amount: $2,000,000</w:t>
        <w:br/>
        <w:t>Pre-Money Valuation: $10,000,000</w:t>
        <w:br/>
        <w:t>Post-Money Valuation: $12,000,000</w:t>
        <w:br/>
        <w:t>Instrument: SAFE / Priced Round</w:t>
        <w:br/>
        <w:t>Target Close: Q2 2026</w:t>
        <w:br/>
        <w:t>Projected Runway: ~18 months</w:t>
      </w:r>
    </w:p>
    <w:p/>
    <w:p>
      <w:pPr>
        <w:pStyle w:val="Heading1"/>
      </w:pPr>
      <w:r>
        <w:t>Use of Funds</w:t>
      </w:r>
    </w:p>
    <w:p>
      <w:pPr/>
      <w:r>
        <w:t>Engineering Hires (40% / $800K): 3 senior engineering hires — backend AI, ML engineer, DevOps</w:t>
        <w:br/>
        <w:t>GTM &amp; Sales (25% / $500K): SDR hire, enterprise sales infrastructure, conference presence</w:t>
        <w:br/>
        <w:t>Infrastructure (20% / $400K): Supabase scaling, LLM API costs, security tooling</w:t>
        <w:br/>
        <w:t>Operations (10% / $200K): HR/recruiting, team travel, equipment</w:t>
        <w:br/>
        <w:t>Legal &amp; Admin (5% / $100K): Corporate legal, IP counsel, option plan documentation</w:t>
      </w:r>
    </w:p>
    <w:p/>
    <w:p>
      <w:pPr>
        <w:pStyle w:val="Heading1"/>
      </w:pPr>
      <w:r>
        <w:t>Open Source Presence</w:t>
      </w:r>
    </w:p>
    <w:p>
      <w:pPr/>
      <w:r>
        <w:t>Repository: github.com/hyperclawai/hyperclaw</w:t>
        <w:br/>
        <w:t>License: MIT (open-source core)</w:t>
        <w:br/>
        <w:t>Release: v0.1.0-alpha</w:t>
        <w:br/>
        <w:t>Test coverage: 377 passing</w:t>
        <w:br/>
        <w:t>Visibility: Public</w:t>
      </w:r>
    </w:p>
    <w:p>
      <w:pPr/>
      <w:r>
        <w:t>The open-source strategy creates a community-driven top-of-funnel. Developers discover HyperClaw, evaluate it in their organizations, and create the enterprise demand that the sales team converts to paid contracts.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Traction Summary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