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rPr>
          <w:b/>
          <w:bCs/>
          <w:color w:val="1F3B57"/>
          <w:sz w:val="52"/>
          <w:szCs w:val="52"/>
        </w:rPr>
        <w:t xml:space="preserve">MENTE EN FOCO</w:t>
      </w:r>
    </w:p>
    <w:p>
      <w:pPr>
        <w:spacing w:after="60"/>
      </w:pPr>
      <w:r>
        <w:rPr>
          <w:color w:val="2E75B6"/>
          <w:sz w:val="30"/>
          <w:szCs w:val="30"/>
        </w:rPr>
        <w:t xml:space="preserve">Auditoría General y Roadmap de Producto</w:t>
      </w:r>
    </w:p>
    <w:p>
      <w:pPr>
        <w:spacing w:after="600"/>
      </w:pPr>
      <w:r>
        <w:rPr>
          <w:i/>
          <w:iCs/>
          <w:color w:val="6B7280"/>
          <w:sz w:val="20"/>
          <w:szCs w:val="20"/>
        </w:rPr>
        <w:t xml:space="preserve">1 de julio de 2026 · Revisión del estado real del código vs. documentación del proyecto</w:t>
      </w:r>
    </w:p>
    <w:p>
      <w:pPr>
        <w:pStyle w:val="Heading1"/>
      </w:pPr>
      <w:r>
        <w:t xml:space="preserve">1. Resumen Ejecutivo</w:t>
      </w:r>
    </w:p>
    <w:p>
      <w:pPr>
        <w:spacing w:after="160"/>
      </w:pPr>
      <w:r>
        <w:t xml:space="preserve">Esta auditoría se realizó revisando directamente el código fuente, las migraciones de Supabase, la configuración de despliegue y el historial de Git del proyecto — no solo la documentación de contexto. El hallazgo principal es que el proyecto ha avanzado significativamente más de lo que refleja la última actualización del contexto: los tres dashboards (Paciente, Terapeuta, Administrador) están funcionales y conectados a Supabase con datos reales, el webhook de Stripe ya está implementado, y existe un módulo clínico B2B (informes SOAP, CIE-11, prescripciones) que no estaba documentado.</w:t>
      </w:r>
    </w:p>
    <w:p>
      <w:pPr>
        <w:spacing w:after="160"/>
      </w:pPr>
      <w:r>
        <w:t xml:space="preserve">Al mismo tiempo, se identificó un hallazgo crítico de seguridad que las auditorías previas (junio 2026) creyeron haber resuelto pero que sigue activo en el backend: el webhook de Stripe crea usuarios nuevos usando el correo electrónico como contraseña. La pantalla de compra exitosa fue corregida para no mencionar esto, pero la lógica subyacente no cambió — el problema se ocultó, no se solucionó. Ver sección 2.1.</w:t>
      </w:r>
    </w:p>
    <w:p>
      <w:pPr>
        <w:spacing w:after="160"/>
      </w:pPr>
      <w:r>
        <w:t xml:space="preserve">También se confirmó que los Payment Links de Stripe siguen en modo de prueba (test), lo que significa que la plataforma no puede procesar pagos reales en su estado actual — este es el bloqueante más urgente antes de cualquier lanzamiento comercial.</w:t>
      </w:r>
    </w:p>
    <w:p>
      <w:pPr>
        <w:pStyle w:val="Heading1"/>
      </w:pPr>
      <w:r>
        <w:t xml:space="preserve">2. Hallazgos Críticos de Seguridad</w:t>
      </w:r>
    </w:p>
    <w:p>
      <w:pPr>
        <w:pStyle w:val="Heading2"/>
      </w:pPr>
      <w:r>
        <w:t xml:space="preserve">2.1 Contraseña = correo electrónico (“Credenciales Espejo”)</w:t>
      </w:r>
    </w:p>
    <w:p>
      <w:pPr>
        <w:spacing w:after="160"/>
      </w:pPr>
      <w:r>
        <w:t xml:space="preserve">El archivo supabase/functions/stripe-webhook/index.ts crea la cuenta del usuario con auth.admin.createUser() usando el correo del comprador como contraseña (“generatedPassword = customerEmail”) y confirma el email automáticamente. Cualquiera que conozca el correo de un paciente (información no secreta) puede iniciar sesión en su cuenta y ver contenido clínico sensible.</w:t>
      </w:r>
    </w:p>
    <w:p>
      <w:pPr>
        <w:spacing w:after="160"/>
      </w:pPr>
      <w:r>
        <w:t xml:space="preserve">Esto es agravado por una inconsistencia de producto: compra-exitosa.tsx le dice al usuario que “recibirá un correo para activar su cuenta y establecer su contraseña”, pero ese correo de activación no existe en el flujo actual — la cuenta ya queda activa y con contraseña asignada por el sistema. El usuario nunca sabe cuál es su contraseña real hasta que la intuye o la resetea manualmente.</w:t>
      </w:r>
    </w:p>
    <w:p>
      <w:pPr>
        <w:pStyle w:val="ListParagraph"/>
        <w:numPr>
          <w:ilvl w:val="0"/>
          <w:numId w:val="2"/>
        </w:numPr>
        <w:spacing w:after="100"/>
      </w:pPr>
      <w:r>
        <w:rPr>
          <w:b/>
          <w:bCs/>
        </w:rPr>
        <w:t xml:space="preserve">Recomendación: </w:t>
      </w:r>
      <w:r>
        <w:t xml:space="preserve">reemplazar la creación directa de usuario por supabase.auth.admin.generateLink({ type: 'invite' o 'recovery' }) y enviar ese enlace por correo (Resend, Postmark o el SMTP de Supabase), para que el paciente defina su propia contraseña antes del primer acceso.</w:t>
      </w:r>
    </w:p>
    <w:p>
      <w:pPr>
        <w:pStyle w:val="Heading2"/>
      </w:pPr>
      <w:r>
        <w:t xml:space="preserve">2.2 Payment Links de Stripe en modo TEST</w:t>
      </w:r>
    </w:p>
    <w:p>
      <w:pPr>
        <w:spacing w:after="160"/>
      </w:pPr>
      <w:r>
        <w:t xml:space="preserve">stripe_links.json contiene los 5 enlaces (mensual, anual, esencial, integral, premium) y los 5 apuntan a buy.stripe.com/test_*. Ningún pago real puede completarse en producción con esta configuración.</w:t>
      </w:r>
    </w:p>
    <w:p>
      <w:pPr>
        <w:pStyle w:val="ListParagraph"/>
        <w:numPr>
          <w:ilvl w:val="0"/>
          <w:numId w:val="2"/>
        </w:numPr>
        <w:spacing w:after="100"/>
      </w:pPr>
      <w:r>
        <w:rPr>
          <w:b/>
          <w:bCs/>
        </w:rPr>
        <w:t xml:space="preserve">Recomendación: </w:t>
      </w:r>
      <w:r>
        <w:t xml:space="preserve">generar los 5 Payment Links equivalentes en modo Live desde el dashboard de Stripe y actualizar el archivo antes de cualquier lanzamiento público. Confirmar también que STRIPE_SECRET_KEY y STRIPE_WEBHOOK_SECRET en los secretos de la Edge Function correspondan al modo Live.</w:t>
      </w:r>
    </w:p>
    <w:p>
      <w:pPr>
        <w:pStyle w:val="Heading2"/>
      </w:pPr>
      <w:r>
        <w:t xml:space="preserve">2.3 Esquema de base de datos sin control de versiones (schema drift)</w:t>
      </w:r>
    </w:p>
    <w:p>
      <w:pPr>
        <w:spacing w:after="160"/>
      </w:pPr>
      <w:r>
        <w:t xml:space="preserve">El componente ClinicalReportModal.tsx usa activamente las tablas cie11_directory y clinical_notes, y el campo profiles.professional_card — ninguno de los tres existe en las migraciones SQL versionadas del repositorio (solo se encontraron 3 archivos .sql). Esto indica que se crearon directamente en el dashboard de Supabase sin dejar un script reproducible.</w:t>
      </w:r>
    </w:p>
    <w:p>
      <w:pPr>
        <w:pStyle w:val="ListParagraph"/>
        <w:numPr>
          <w:ilvl w:val="0"/>
          <w:numId w:val="2"/>
        </w:numPr>
        <w:spacing w:after="100"/>
      </w:pPr>
      <w:r>
        <w:rPr>
          <w:b/>
          <w:bCs/>
        </w:rPr>
        <w:t xml:space="preserve">Recomendación: </w:t>
      </w:r>
      <w:r>
        <w:t xml:space="preserve">usar 'supabase db diff' o exportar el esquema actual desde el dashboard para generar una migración que documente cie11_directory, clinical_notes y la columna professional_card. Sin esto, restaurar el proyecto en un entorno nuevo (staging, DR) es imposible sin perder funcionalidad clínica.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1560"/>
        <w:gridCol w:w="2600"/>
      </w:tblGrid>
      <w:tr>
        <w:trPr>
          <w:tblHeader/>
        </w:trPr>
        <w:tc>
          <w:tcPr>
            <w:tcW w:type="dxa" w:w="1600"/>
            <w:tcBorders>
              <w:top w:val="single" w:color="D0D7DE" w:sz="2"/>
              <w:left w:val="single" w:color="D0D7DE" w:sz="2"/>
              <w:bottom w:val="single" w:color="D0D7DE" w:sz="2"/>
              <w:right w:val="single" w:color="D0D7DE" w:sz="2"/>
            </w:tcBorders>
            <w:shd w:fill="1F3B57" w:val="clear"/>
            <w:tcMar>
              <w:top w:type="dxa" w:w="80"/>
              <w:left w:type="dxa" w:w="120"/>
              <w:bottom w:type="dxa" w:w="80"/>
              <w:right w:type="dxa" w:w="120"/>
            </w:tcMar>
          </w:tcPr>
          <w:p>
            <w:r>
              <w:rPr>
                <w:b/>
                <w:bCs/>
                <w:color w:val="FFFFFF"/>
              </w:rPr>
              <w:t xml:space="preserve">Severidad</w:t>
            </w:r>
          </w:p>
        </w:tc>
        <w:tc>
          <w:tcPr>
            <w:tcW w:type="dxa" w:w="3600"/>
            <w:tcBorders>
              <w:top w:val="single" w:color="D0D7DE" w:sz="2"/>
              <w:left w:val="single" w:color="D0D7DE" w:sz="2"/>
              <w:bottom w:val="single" w:color="D0D7DE" w:sz="2"/>
              <w:right w:val="single" w:color="D0D7DE" w:sz="2"/>
            </w:tcBorders>
            <w:shd w:fill="1F3B57" w:val="clear"/>
            <w:tcMar>
              <w:top w:type="dxa" w:w="80"/>
              <w:left w:type="dxa" w:w="120"/>
              <w:bottom w:type="dxa" w:w="80"/>
              <w:right w:type="dxa" w:w="120"/>
            </w:tcMar>
          </w:tcPr>
          <w:p>
            <w:r>
              <w:rPr>
                <w:b/>
                <w:bCs/>
                <w:color w:val="FFFFFF"/>
              </w:rPr>
              <w:t xml:space="preserve">Hallazgo</w:t>
            </w:r>
          </w:p>
        </w:tc>
        <w:tc>
          <w:tcPr>
            <w:tcW w:type="dxa" w:w="1560"/>
            <w:tcBorders>
              <w:top w:val="single" w:color="D0D7DE" w:sz="2"/>
              <w:left w:val="single" w:color="D0D7DE" w:sz="2"/>
              <w:bottom w:val="single" w:color="D0D7DE" w:sz="2"/>
              <w:right w:val="single" w:color="D0D7DE" w:sz="2"/>
            </w:tcBorders>
            <w:shd w:fill="1F3B57" w:val="clear"/>
            <w:tcMar>
              <w:top w:type="dxa" w:w="80"/>
              <w:left w:type="dxa" w:w="120"/>
              <w:bottom w:type="dxa" w:w="80"/>
              <w:right w:type="dxa" w:w="120"/>
            </w:tcMar>
          </w:tcPr>
          <w:p>
            <w:r>
              <w:rPr>
                <w:b/>
                <w:bCs/>
                <w:color w:val="FFFFFF"/>
              </w:rPr>
              <w:t xml:space="preserve">Área</w:t>
            </w:r>
          </w:p>
        </w:tc>
        <w:tc>
          <w:tcPr>
            <w:tcW w:type="dxa" w:w="2600"/>
            <w:tcBorders>
              <w:top w:val="single" w:color="D0D7DE" w:sz="2"/>
              <w:left w:val="single" w:color="D0D7DE" w:sz="2"/>
              <w:bottom w:val="single" w:color="D0D7DE" w:sz="2"/>
              <w:right w:val="single" w:color="D0D7DE" w:sz="2"/>
            </w:tcBorders>
            <w:shd w:fill="1F3B57" w:val="clear"/>
            <w:tcMar>
              <w:top w:type="dxa" w:w="80"/>
              <w:left w:type="dxa" w:w="120"/>
              <w:bottom w:type="dxa" w:w="80"/>
              <w:right w:type="dxa" w:w="120"/>
            </w:tcMar>
          </w:tcPr>
          <w:p>
            <w:r>
              <w:rPr>
                <w:b/>
                <w:bCs/>
                <w:color w:val="FFFFFF"/>
              </w:rPr>
              <w:t xml:space="preserve">Recomendación</w:t>
            </w:r>
          </w:p>
        </w:tc>
      </w:tr>
      <w:tr>
        <w:tc>
          <w:tcPr>
            <w:tcW w:type="dxa" w:w="1600"/>
            <w:tcBorders>
              <w:top w:val="single" w:color="D0D7DE" w:sz="2"/>
              <w:left w:val="single" w:color="D0D7DE" w:sz="2"/>
              <w:bottom w:val="single" w:color="D0D7DE" w:sz="2"/>
              <w:right w:val="single" w:color="D0D7DE" w:sz="2"/>
            </w:tcBorders>
            <w:shd w:fill="C0392B" w:val="clear"/>
            <w:tcMar>
              <w:top w:type="dxa" w:w="80"/>
              <w:left w:type="dxa" w:w="120"/>
              <w:bottom w:type="dxa" w:w="80"/>
              <w:right w:type="dxa" w:w="120"/>
            </w:tcMar>
          </w:tcPr>
          <w:p>
            <w:r>
              <w:rPr>
                <w:b/>
                <w:bCs/>
                <w:color w:val="FFFFFF"/>
              </w:rPr>
              <w:t xml:space="preserve">CRÍTICO</w:t>
            </w:r>
          </w:p>
        </w:tc>
        <w:tc>
          <w:tcPr>
            <w:tcW w:type="dxa" w:w="3600"/>
            <w:tcBorders>
              <w:top w:val="single" w:color="D0D7DE" w:sz="2"/>
              <w:left w:val="single" w:color="D0D7DE" w:sz="2"/>
              <w:bottom w:val="single" w:color="D0D7DE" w:sz="2"/>
              <w:right w:val="single" w:color="D0D7DE" w:sz="2"/>
            </w:tcBorders>
            <w:tcMar>
              <w:top w:type="dxa" w:w="80"/>
              <w:left w:type="dxa" w:w="120"/>
              <w:bottom w:type="dxa" w:w="80"/>
              <w:right w:type="dxa" w:w="120"/>
            </w:tcMar>
          </w:tcPr>
          <w:p>
            <w:r>
              <w:t xml:space="preserve">Contraseña de nuevas cuentas = correo electrónico</w:t>
            </w:r>
          </w:p>
        </w:tc>
        <w:tc>
          <w:tcPr>
            <w:tcW w:type="dxa" w:w="1560"/>
            <w:tcBorders>
              <w:top w:val="single" w:color="D0D7DE" w:sz="2"/>
              <w:left w:val="single" w:color="D0D7DE" w:sz="2"/>
              <w:bottom w:val="single" w:color="D0D7DE" w:sz="2"/>
              <w:right w:val="single" w:color="D0D7DE" w:sz="2"/>
            </w:tcBorders>
            <w:tcMar>
              <w:top w:type="dxa" w:w="80"/>
              <w:left w:type="dxa" w:w="120"/>
              <w:bottom w:type="dxa" w:w="80"/>
              <w:right w:type="dxa" w:w="120"/>
            </w:tcMar>
          </w:tcPr>
          <w:p>
            <w:r>
              <w:t xml:space="preserve">Seguridad / Auth</w:t>
            </w:r>
          </w:p>
        </w:tc>
        <w:tc>
          <w:tcPr>
            <w:tcW w:type="dxa" w:w="2600"/>
            <w:tcBorders>
              <w:top w:val="single" w:color="D0D7DE" w:sz="2"/>
              <w:left w:val="single" w:color="D0D7DE" w:sz="2"/>
              <w:bottom w:val="single" w:color="D0D7DE" w:sz="2"/>
              <w:right w:val="single" w:color="D0D7DE" w:sz="2"/>
            </w:tcBorders>
            <w:tcMar>
              <w:top w:type="dxa" w:w="80"/>
              <w:left w:type="dxa" w:w="120"/>
              <w:bottom w:type="dxa" w:w="80"/>
              <w:right w:type="dxa" w:w="120"/>
            </w:tcMar>
          </w:tcPr>
          <w:p>
            <w:r>
              <w:t xml:space="preserve">Usar magic link o invite link de Supabase Auth</w:t>
            </w:r>
          </w:p>
        </w:tc>
      </w:tr>
      <w:tr>
        <w:tc>
          <w:tcPr>
            <w:tcW w:type="dxa" w:w="1600"/>
            <w:tcBorders>
              <w:top w:val="single" w:color="D0D7DE" w:sz="2"/>
              <w:left w:val="single" w:color="D0D7DE" w:sz="2"/>
              <w:bottom w:val="single" w:color="D0D7DE" w:sz="2"/>
              <w:right w:val="single" w:color="D0D7DE" w:sz="2"/>
            </w:tcBorders>
            <w:shd w:fill="C0392B" w:val="clear"/>
            <w:tcMar>
              <w:top w:type="dxa" w:w="80"/>
              <w:left w:type="dxa" w:w="120"/>
              <w:bottom w:type="dxa" w:w="80"/>
              <w:right w:type="dxa" w:w="120"/>
            </w:tcMar>
          </w:tcPr>
          <w:p>
            <w:r>
              <w:rPr>
                <w:b/>
                <w:bCs/>
                <w:color w:val="FFFFFF"/>
              </w:rPr>
              <w:t xml:space="preserve">CRÍTICO</w:t>
            </w:r>
          </w:p>
        </w:tc>
        <w:tc>
          <w:tcPr>
            <w:tcW w:type="dxa" w:w="3600"/>
            <w:tcBorders>
              <w:top w:val="single" w:color="D0D7DE" w:sz="2"/>
              <w:left w:val="single" w:color="D0D7DE" w:sz="2"/>
              <w:bottom w:val="single" w:color="D0D7DE" w:sz="2"/>
              <w:right w:val="single" w:color="D0D7DE" w:sz="2"/>
            </w:tcBorders>
            <w:tcMar>
              <w:top w:type="dxa" w:w="80"/>
              <w:left w:type="dxa" w:w="120"/>
              <w:bottom w:type="dxa" w:w="80"/>
              <w:right w:type="dxa" w:w="120"/>
            </w:tcMar>
          </w:tcPr>
          <w:p>
            <w:r>
              <w:t xml:space="preserve">Stripe Payment Links en modo test</w:t>
            </w:r>
          </w:p>
        </w:tc>
        <w:tc>
          <w:tcPr>
            <w:tcW w:type="dxa" w:w="1560"/>
            <w:tcBorders>
              <w:top w:val="single" w:color="D0D7DE" w:sz="2"/>
              <w:left w:val="single" w:color="D0D7DE" w:sz="2"/>
              <w:bottom w:val="single" w:color="D0D7DE" w:sz="2"/>
              <w:right w:val="single" w:color="D0D7DE" w:sz="2"/>
            </w:tcBorders>
            <w:tcMar>
              <w:top w:type="dxa" w:w="80"/>
              <w:left w:type="dxa" w:w="120"/>
              <w:bottom w:type="dxa" w:w="80"/>
              <w:right w:type="dxa" w:w="120"/>
            </w:tcMar>
          </w:tcPr>
          <w:p>
            <w:r>
              <w:t xml:space="preserve">Pagos</w:t>
            </w:r>
          </w:p>
        </w:tc>
        <w:tc>
          <w:tcPr>
            <w:tcW w:type="dxa" w:w="2600"/>
            <w:tcBorders>
              <w:top w:val="single" w:color="D0D7DE" w:sz="2"/>
              <w:left w:val="single" w:color="D0D7DE" w:sz="2"/>
              <w:bottom w:val="single" w:color="D0D7DE" w:sz="2"/>
              <w:right w:val="single" w:color="D0D7DE" w:sz="2"/>
            </w:tcBorders>
            <w:tcMar>
              <w:top w:type="dxa" w:w="80"/>
              <w:left w:type="dxa" w:w="120"/>
              <w:bottom w:type="dxa" w:w="80"/>
              <w:right w:type="dxa" w:w="120"/>
            </w:tcMar>
          </w:tcPr>
          <w:p>
            <w:r>
              <w:t xml:space="preserve">Generar links Live antes de lanzar</w:t>
            </w:r>
          </w:p>
        </w:tc>
      </w:tr>
      <w:tr>
        <w:tc>
          <w:tcPr>
            <w:tcW w:type="dxa" w:w="1600"/>
            <w:tcBorders>
              <w:top w:val="single" w:color="D0D7DE" w:sz="2"/>
              <w:left w:val="single" w:color="D0D7DE" w:sz="2"/>
              <w:bottom w:val="single" w:color="D0D7DE" w:sz="2"/>
              <w:right w:val="single" w:color="D0D7DE" w:sz="2"/>
            </w:tcBorders>
            <w:shd w:fill="B7791F" w:val="clear"/>
            <w:tcMar>
              <w:top w:type="dxa" w:w="80"/>
              <w:left w:type="dxa" w:w="120"/>
              <w:bottom w:type="dxa" w:w="80"/>
              <w:right w:type="dxa" w:w="120"/>
            </w:tcMar>
          </w:tcPr>
          <w:p>
            <w:r>
              <w:rPr>
                <w:b/>
                <w:bCs/>
                <w:color w:val="FFFFFF"/>
              </w:rPr>
              <w:t xml:space="preserve">ALTO</w:t>
            </w:r>
          </w:p>
        </w:tc>
        <w:tc>
          <w:tcPr>
            <w:tcW w:type="dxa" w:w="3600"/>
            <w:tcBorders>
              <w:top w:val="single" w:color="D0D7DE" w:sz="2"/>
              <w:left w:val="single" w:color="D0D7DE" w:sz="2"/>
              <w:bottom w:val="single" w:color="D0D7DE" w:sz="2"/>
              <w:right w:val="single" w:color="D0D7DE" w:sz="2"/>
            </w:tcBorders>
            <w:tcMar>
              <w:top w:type="dxa" w:w="80"/>
              <w:left w:type="dxa" w:w="120"/>
              <w:bottom w:type="dxa" w:w="80"/>
              <w:right w:type="dxa" w:w="120"/>
            </w:tcMar>
          </w:tcPr>
          <w:p>
            <w:r>
              <w:t xml:space="preserve">Tablas clínicas sin migración versionada</w:t>
            </w:r>
          </w:p>
        </w:tc>
        <w:tc>
          <w:tcPr>
            <w:tcW w:type="dxa" w:w="1560"/>
            <w:tcBorders>
              <w:top w:val="single" w:color="D0D7DE" w:sz="2"/>
              <w:left w:val="single" w:color="D0D7DE" w:sz="2"/>
              <w:bottom w:val="single" w:color="D0D7DE" w:sz="2"/>
              <w:right w:val="single" w:color="D0D7DE" w:sz="2"/>
            </w:tcBorders>
            <w:tcMar>
              <w:top w:type="dxa" w:w="80"/>
              <w:left w:type="dxa" w:w="120"/>
              <w:bottom w:type="dxa" w:w="80"/>
              <w:right w:type="dxa" w:w="120"/>
            </w:tcMar>
          </w:tcPr>
          <w:p>
            <w:r>
              <w:t xml:space="preserve">Base de datos</w:t>
            </w:r>
          </w:p>
        </w:tc>
        <w:tc>
          <w:tcPr>
            <w:tcW w:type="dxa" w:w="2600"/>
            <w:tcBorders>
              <w:top w:val="single" w:color="D0D7DE" w:sz="2"/>
              <w:left w:val="single" w:color="D0D7DE" w:sz="2"/>
              <w:bottom w:val="single" w:color="D0D7DE" w:sz="2"/>
              <w:right w:val="single" w:color="D0D7DE" w:sz="2"/>
            </w:tcBorders>
            <w:tcMar>
              <w:top w:type="dxa" w:w="80"/>
              <w:left w:type="dxa" w:w="120"/>
              <w:bottom w:type="dxa" w:w="80"/>
              <w:right w:type="dxa" w:w="120"/>
            </w:tcMar>
          </w:tcPr>
          <w:p>
            <w:r>
              <w:t xml:space="preserve">Exportar y commitear el esquema real</w:t>
            </w:r>
          </w:p>
        </w:tc>
      </w:tr>
      <w:tr>
        <w:tc>
          <w:tcPr>
            <w:tcW w:type="dxa" w:w="1600"/>
            <w:tcBorders>
              <w:top w:val="single" w:color="D0D7DE" w:sz="2"/>
              <w:left w:val="single" w:color="D0D7DE" w:sz="2"/>
              <w:bottom w:val="single" w:color="D0D7DE" w:sz="2"/>
              <w:right w:val="single" w:color="D0D7DE" w:sz="2"/>
            </w:tcBorders>
            <w:shd w:fill="B7791F" w:val="clear"/>
            <w:tcMar>
              <w:top w:type="dxa" w:w="80"/>
              <w:left w:type="dxa" w:w="120"/>
              <w:bottom w:type="dxa" w:w="80"/>
              <w:right w:type="dxa" w:w="120"/>
            </w:tcMar>
          </w:tcPr>
          <w:p>
            <w:r>
              <w:rPr>
                <w:b/>
                <w:bCs/>
                <w:color w:val="FFFFFF"/>
              </w:rPr>
              <w:t xml:space="preserve">ALTO</w:t>
            </w:r>
          </w:p>
        </w:tc>
        <w:tc>
          <w:tcPr>
            <w:tcW w:type="dxa" w:w="3600"/>
            <w:tcBorders>
              <w:top w:val="single" w:color="D0D7DE" w:sz="2"/>
              <w:left w:val="single" w:color="D0D7DE" w:sz="2"/>
              <w:bottom w:val="single" w:color="D0D7DE" w:sz="2"/>
              <w:right w:val="single" w:color="D0D7DE" w:sz="2"/>
            </w:tcBorders>
            <w:tcMar>
              <w:top w:type="dxa" w:w="80"/>
              <w:left w:type="dxa" w:w="120"/>
              <w:bottom w:type="dxa" w:w="80"/>
              <w:right w:type="dxa" w:w="120"/>
            </w:tcMar>
          </w:tcPr>
          <w:p>
            <w:r>
              <w:t xml:space="preserve">Mensaje de compra-exitosa no coincide con el flujo real del backend</w:t>
            </w:r>
          </w:p>
        </w:tc>
        <w:tc>
          <w:tcPr>
            <w:tcW w:type="dxa" w:w="1560"/>
            <w:tcBorders>
              <w:top w:val="single" w:color="D0D7DE" w:sz="2"/>
              <w:left w:val="single" w:color="D0D7DE" w:sz="2"/>
              <w:bottom w:val="single" w:color="D0D7DE" w:sz="2"/>
              <w:right w:val="single" w:color="D0D7DE" w:sz="2"/>
            </w:tcBorders>
            <w:tcMar>
              <w:top w:type="dxa" w:w="80"/>
              <w:left w:type="dxa" w:w="120"/>
              <w:bottom w:type="dxa" w:w="80"/>
              <w:right w:type="dxa" w:w="120"/>
            </w:tcMar>
          </w:tcPr>
          <w:p>
            <w:r>
              <w:t xml:space="preserve">Producto / Confianza</w:t>
            </w:r>
          </w:p>
        </w:tc>
        <w:tc>
          <w:tcPr>
            <w:tcW w:type="dxa" w:w="2600"/>
            <w:tcBorders>
              <w:top w:val="single" w:color="D0D7DE" w:sz="2"/>
              <w:left w:val="single" w:color="D0D7DE" w:sz="2"/>
              <w:bottom w:val="single" w:color="D0D7DE" w:sz="2"/>
              <w:right w:val="single" w:color="D0D7DE" w:sz="2"/>
            </w:tcBorders>
            <w:tcMar>
              <w:top w:type="dxa" w:w="80"/>
              <w:left w:type="dxa" w:w="120"/>
              <w:bottom w:type="dxa" w:w="80"/>
              <w:right w:type="dxa" w:w="120"/>
            </w:tcMar>
          </w:tcPr>
          <w:p>
            <w:r>
              <w:t xml:space="preserve">Alinear copy con la lógica de invitación real</w:t>
            </w:r>
          </w:p>
        </w:tc>
      </w:tr>
    </w:tbl>
    <w:p>
      <w:r>
        <w:br w:type="page"/>
      </w:r>
    </w:p>
    <w:p>
      <w:pPr>
        <w:pStyle w:val="Heading1"/>
      </w:pPr>
      <w:r>
        <w:t xml:space="preserve">3. Estado Real del Producto (actualización sobre la documentación previa)</w:t>
      </w:r>
    </w:p>
    <w:p>
      <w:pPr>
        <w:spacing w:after="160"/>
      </w:pPr>
      <w:r>
        <w:t xml:space="preserve">La documentación de contexto del proyecto marca varios ítems como “pendientes” que en realidad ya están implementados en el código actual:</w:t>
      </w:r>
    </w:p>
    <w:p>
      <w:pPr>
        <w:pStyle w:val="ListParagraph"/>
        <w:numPr>
          <w:ilvl w:val="0"/>
          <w:numId w:val="2"/>
        </w:numPr>
        <w:spacing w:after="100"/>
      </w:pPr>
      <w:r>
        <w:rPr>
          <w:b/>
          <w:bCs/>
        </w:rPr>
        <w:t xml:space="preserve">Dashboards por rol: </w:t>
      </w:r>
      <w:r>
        <w:t xml:space="preserve">PatientDashboard, TherapistDashboard y AdminDashboard están completos y funcionales, no son wireframes. Incluyen datos reales de Supabase, no mocks.</w:t>
      </w:r>
    </w:p>
    <w:p>
      <w:pPr>
        <w:pStyle w:val="ListParagraph"/>
        <w:numPr>
          <w:ilvl w:val="0"/>
          <w:numId w:val="2"/>
        </w:numPr>
        <w:spacing w:after="100"/>
      </w:pPr>
      <w:r>
        <w:rPr>
          <w:b/>
          <w:bCs/>
        </w:rPr>
        <w:t xml:space="preserve">Webhook de Stripe: </w:t>
      </w:r>
      <w:r>
        <w:t xml:space="preserve">implementado en supabase/functions/stripe-webhook, actualiza profiles.plan_type y subscription_status ante checkout.session.completed (con la salvedad de seguridad de la sección 2.1).</w:t>
      </w:r>
    </w:p>
    <w:p>
      <w:pPr>
        <w:pStyle w:val="ListParagraph"/>
        <w:numPr>
          <w:ilvl w:val="0"/>
          <w:numId w:val="2"/>
        </w:numPr>
        <w:spacing w:after="100"/>
      </w:pPr>
      <w:r>
        <w:rPr>
          <w:b/>
          <w:bCs/>
        </w:rPr>
        <w:t xml:space="preserve">Módulo clínico B2B (no documentado previamente): </w:t>
      </w:r>
      <w:r>
        <w:t xml:space="preserve">catálogo de prescripciones clínicas, asignación terapeuta→paciente, informes clínicos con modelo SOAP, examen de estado mental, búsqueda predictiva CIE-11 y firma electrónica inmutable de notas (con advertencia legal según Resolución 839 de 2017).</w:t>
      </w:r>
    </w:p>
    <w:p>
      <w:pPr>
        <w:pStyle w:val="ListParagraph"/>
        <w:numPr>
          <w:ilvl w:val="0"/>
          <w:numId w:val="2"/>
        </w:numPr>
        <w:spacing w:after="100"/>
      </w:pPr>
      <w:r>
        <w:rPr>
          <w:b/>
          <w:bCs/>
        </w:rPr>
        <w:t xml:space="preserve">Alertas de crisis en tiempo real: </w:t>
      </w:r>
      <w:r>
        <w:t xml:space="preserve">PatientDashboard se suscribe a la tabla clinical_alerts vía Supabase Realtime y despliega un modal de emergencia con línea de ayuda cuando se detecta un evento de alta prioridad.</w:t>
      </w:r>
    </w:p>
    <w:p>
      <w:pPr>
        <w:pStyle w:val="ListParagraph"/>
        <w:numPr>
          <w:ilvl w:val="0"/>
          <w:numId w:val="2"/>
        </w:numPr>
        <w:spacing w:after="100"/>
      </w:pPr>
      <w:r>
        <w:rPr>
          <w:b/>
          <w:bCs/>
        </w:rPr>
        <w:t xml:space="preserve">Recuperación de contraseña y sesión única por dispositivo: </w:t>
      </w:r>
      <w:r>
        <w:t xml:space="preserve">ambas ya implementadas (useAuth.tsx controla un session_token para invalidar sesiones duplicadas).</w:t>
      </w:r>
    </w:p>
    <w:p>
      <w:pPr>
        <w:spacing w:after="160"/>
      </w:pPr>
      <w:r>
        <w:t xml:space="preserve">Es importante mantener esta sección actualizada — de lo contrario, futuras sesiones de trabajo (humanas o de IA) reconstruirán funcionalidad que ya existe.</w:t>
      </w:r>
    </w:p>
    <w:p>
      <w:pPr>
        <w:pStyle w:val="Heading1"/>
      </w:pPr>
      <w:r>
        <w:t xml:space="preserve">4. Deuda Técnica y Calidad de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1560"/>
        <w:gridCol w:w="2600"/>
      </w:tblGrid>
      <w:tr>
        <w:trPr>
          <w:tblHeader/>
        </w:trPr>
        <w:tc>
          <w:tcPr>
            <w:tcW w:type="dxa" w:w="1600"/>
            <w:tcBorders>
              <w:top w:val="single" w:color="D0D7DE" w:sz="2"/>
              <w:left w:val="single" w:color="D0D7DE" w:sz="2"/>
              <w:bottom w:val="single" w:color="D0D7DE" w:sz="2"/>
              <w:right w:val="single" w:color="D0D7DE" w:sz="2"/>
            </w:tcBorders>
            <w:shd w:fill="1F3B57" w:val="clear"/>
            <w:tcMar>
              <w:top w:type="dxa" w:w="80"/>
              <w:left w:type="dxa" w:w="120"/>
              <w:bottom w:type="dxa" w:w="80"/>
              <w:right w:type="dxa" w:w="120"/>
            </w:tcMar>
          </w:tcPr>
          <w:p>
            <w:r>
              <w:rPr>
                <w:b/>
                <w:bCs/>
                <w:color w:val="FFFFFF"/>
              </w:rPr>
              <w:t xml:space="preserve">Severidad</w:t>
            </w:r>
          </w:p>
        </w:tc>
        <w:tc>
          <w:tcPr>
            <w:tcW w:type="dxa" w:w="3600"/>
            <w:tcBorders>
              <w:top w:val="single" w:color="D0D7DE" w:sz="2"/>
              <w:left w:val="single" w:color="D0D7DE" w:sz="2"/>
              <w:bottom w:val="single" w:color="D0D7DE" w:sz="2"/>
              <w:right w:val="single" w:color="D0D7DE" w:sz="2"/>
            </w:tcBorders>
            <w:shd w:fill="1F3B57" w:val="clear"/>
            <w:tcMar>
              <w:top w:type="dxa" w:w="80"/>
              <w:left w:type="dxa" w:w="120"/>
              <w:bottom w:type="dxa" w:w="80"/>
              <w:right w:type="dxa" w:w="120"/>
            </w:tcMar>
          </w:tcPr>
          <w:p>
            <w:r>
              <w:rPr>
                <w:b/>
                <w:bCs/>
                <w:color w:val="FFFFFF"/>
              </w:rPr>
              <w:t xml:space="preserve">Hallazgo</w:t>
            </w:r>
          </w:p>
        </w:tc>
        <w:tc>
          <w:tcPr>
            <w:tcW w:type="dxa" w:w="1560"/>
            <w:tcBorders>
              <w:top w:val="single" w:color="D0D7DE" w:sz="2"/>
              <w:left w:val="single" w:color="D0D7DE" w:sz="2"/>
              <w:bottom w:val="single" w:color="D0D7DE" w:sz="2"/>
              <w:right w:val="single" w:color="D0D7DE" w:sz="2"/>
            </w:tcBorders>
            <w:shd w:fill="1F3B57" w:val="clear"/>
            <w:tcMar>
              <w:top w:type="dxa" w:w="80"/>
              <w:left w:type="dxa" w:w="120"/>
              <w:bottom w:type="dxa" w:w="80"/>
              <w:right w:type="dxa" w:w="120"/>
            </w:tcMar>
          </w:tcPr>
          <w:p>
            <w:r>
              <w:rPr>
                <w:b/>
                <w:bCs/>
                <w:color w:val="FFFFFF"/>
              </w:rPr>
              <w:t xml:space="preserve">Área</w:t>
            </w:r>
          </w:p>
        </w:tc>
        <w:tc>
          <w:tcPr>
            <w:tcW w:type="dxa" w:w="2600"/>
            <w:tcBorders>
              <w:top w:val="single" w:color="D0D7DE" w:sz="2"/>
              <w:left w:val="single" w:color="D0D7DE" w:sz="2"/>
              <w:bottom w:val="single" w:color="D0D7DE" w:sz="2"/>
              <w:right w:val="single" w:color="D0D7DE" w:sz="2"/>
            </w:tcBorders>
            <w:shd w:fill="1F3B57" w:val="clear"/>
            <w:tcMar>
              <w:top w:type="dxa" w:w="80"/>
              <w:left w:type="dxa" w:w="120"/>
              <w:bottom w:type="dxa" w:w="80"/>
              <w:right w:type="dxa" w:w="120"/>
            </w:tcMar>
          </w:tcPr>
          <w:p>
            <w:r>
              <w:rPr>
                <w:b/>
                <w:bCs/>
                <w:color w:val="FFFFFF"/>
              </w:rPr>
              <w:t xml:space="preserve">Recomendación</w:t>
            </w:r>
          </w:p>
        </w:tc>
      </w:tr>
      <w:tr>
        <w:tc>
          <w:tcPr>
            <w:tcW w:type="dxa" w:w="1600"/>
            <w:tcBorders>
              <w:top w:val="single" w:color="D0D7DE" w:sz="2"/>
              <w:left w:val="single" w:color="D0D7DE" w:sz="2"/>
              <w:bottom w:val="single" w:color="D0D7DE" w:sz="2"/>
              <w:right w:val="single" w:color="D0D7DE" w:sz="2"/>
            </w:tcBorders>
            <w:shd w:fill="B7791F" w:val="clear"/>
            <w:tcMar>
              <w:top w:type="dxa" w:w="80"/>
              <w:left w:type="dxa" w:w="120"/>
              <w:bottom w:type="dxa" w:w="80"/>
              <w:right w:type="dxa" w:w="120"/>
            </w:tcMar>
          </w:tcPr>
          <w:p>
            <w:r>
              <w:rPr>
                <w:b/>
                <w:bCs/>
                <w:color w:val="FFFFFF"/>
              </w:rPr>
              <w:t xml:space="preserve">MEDIO</w:t>
            </w:r>
          </w:p>
        </w:tc>
        <w:tc>
          <w:tcPr>
            <w:tcW w:type="dxa" w:w="3600"/>
            <w:tcBorders>
              <w:top w:val="single" w:color="D0D7DE" w:sz="2"/>
              <w:left w:val="single" w:color="D0D7DE" w:sz="2"/>
              <w:bottom w:val="single" w:color="D0D7DE" w:sz="2"/>
              <w:right w:val="single" w:color="D0D7DE" w:sz="2"/>
            </w:tcBorders>
            <w:tcMar>
              <w:top w:type="dxa" w:w="80"/>
              <w:left w:type="dxa" w:w="120"/>
              <w:bottom w:type="dxa" w:w="80"/>
              <w:right w:type="dxa" w:w="120"/>
            </w:tcMar>
          </w:tcPr>
          <w:p>
            <w:r>
              <w:t xml:space="preserve">src/data/guiasData.ts sigue en el repo como archivo muerto (array vacío)</w:t>
            </w:r>
          </w:p>
        </w:tc>
        <w:tc>
          <w:tcPr>
            <w:tcW w:type="dxa" w:w="1560"/>
            <w:tcBorders>
              <w:top w:val="single" w:color="D0D7DE" w:sz="2"/>
              <w:left w:val="single" w:color="D0D7DE" w:sz="2"/>
              <w:bottom w:val="single" w:color="D0D7DE" w:sz="2"/>
              <w:right w:val="single" w:color="D0D7DE" w:sz="2"/>
            </w:tcBorders>
            <w:tcMar>
              <w:top w:type="dxa" w:w="80"/>
              <w:left w:type="dxa" w:w="120"/>
              <w:bottom w:type="dxa" w:w="80"/>
              <w:right w:type="dxa" w:w="120"/>
            </w:tcMar>
          </w:tcPr>
          <w:p>
            <w:r>
              <w:t xml:space="preserve">Limpieza</w:t>
            </w:r>
          </w:p>
        </w:tc>
        <w:tc>
          <w:tcPr>
            <w:tcW w:type="dxa" w:w="2600"/>
            <w:tcBorders>
              <w:top w:val="single" w:color="D0D7DE" w:sz="2"/>
              <w:left w:val="single" w:color="D0D7DE" w:sz="2"/>
              <w:bottom w:val="single" w:color="D0D7DE" w:sz="2"/>
              <w:right w:val="single" w:color="D0D7DE" w:sz="2"/>
            </w:tcBorders>
            <w:tcMar>
              <w:top w:type="dxa" w:w="80"/>
              <w:left w:type="dxa" w:w="120"/>
              <w:bottom w:type="dxa" w:w="80"/>
              <w:right w:type="dxa" w:w="120"/>
            </w:tcMar>
          </w:tcPr>
          <w:p>
            <w:r>
              <w:t xml:space="preserve">Eliminar el archivo; ya no se referencia en ninguna ruta</w:t>
            </w:r>
          </w:p>
        </w:tc>
      </w:tr>
      <w:tr>
        <w:tc>
          <w:tcPr>
            <w:tcW w:type="dxa" w:w="1600"/>
            <w:tcBorders>
              <w:top w:val="single" w:color="D0D7DE" w:sz="2"/>
              <w:left w:val="single" w:color="D0D7DE" w:sz="2"/>
              <w:bottom w:val="single" w:color="D0D7DE" w:sz="2"/>
              <w:right w:val="single" w:color="D0D7DE" w:sz="2"/>
            </w:tcBorders>
            <w:shd w:fill="B7791F" w:val="clear"/>
            <w:tcMar>
              <w:top w:type="dxa" w:w="80"/>
              <w:left w:type="dxa" w:w="120"/>
              <w:bottom w:type="dxa" w:w="80"/>
              <w:right w:type="dxa" w:w="120"/>
            </w:tcMar>
          </w:tcPr>
          <w:p>
            <w:r>
              <w:rPr>
                <w:b/>
                <w:bCs/>
                <w:color w:val="FFFFFF"/>
              </w:rPr>
              <w:t xml:space="preserve">MEDIO</w:t>
            </w:r>
          </w:p>
        </w:tc>
        <w:tc>
          <w:tcPr>
            <w:tcW w:type="dxa" w:w="3600"/>
            <w:tcBorders>
              <w:top w:val="single" w:color="D0D7DE" w:sz="2"/>
              <w:left w:val="single" w:color="D0D7DE" w:sz="2"/>
              <w:bottom w:val="single" w:color="D0D7DE" w:sz="2"/>
              <w:right w:val="single" w:color="D0D7DE" w:sz="2"/>
            </w:tcBorders>
            <w:tcMar>
              <w:top w:type="dxa" w:w="80"/>
              <w:left w:type="dxa" w:w="120"/>
              <w:bottom w:type="dxa" w:w="80"/>
              <w:right w:type="dxa" w:w="120"/>
            </w:tcMar>
          </w:tcPr>
          <w:p>
            <w:r>
              <w:t xml:space="preserve">psychometric_evaluations existe en el esquema pero no se usa desde ningún componente del frontend</w:t>
            </w:r>
          </w:p>
        </w:tc>
        <w:tc>
          <w:tcPr>
            <w:tcW w:type="dxa" w:w="1560"/>
            <w:tcBorders>
              <w:top w:val="single" w:color="D0D7DE" w:sz="2"/>
              <w:left w:val="single" w:color="D0D7DE" w:sz="2"/>
              <w:bottom w:val="single" w:color="D0D7DE" w:sz="2"/>
              <w:right w:val="single" w:color="D0D7DE" w:sz="2"/>
            </w:tcBorders>
            <w:tcMar>
              <w:top w:type="dxa" w:w="80"/>
              <w:left w:type="dxa" w:w="120"/>
              <w:bottom w:type="dxa" w:w="80"/>
              <w:right w:type="dxa" w:w="120"/>
            </w:tcMar>
          </w:tcPr>
          <w:p>
            <w:r>
              <w:t xml:space="preserve">Producto</w:t>
            </w:r>
          </w:p>
        </w:tc>
        <w:tc>
          <w:tcPr>
            <w:tcW w:type="dxa" w:w="2600"/>
            <w:tcBorders>
              <w:top w:val="single" w:color="D0D7DE" w:sz="2"/>
              <w:left w:val="single" w:color="D0D7DE" w:sz="2"/>
              <w:bottom w:val="single" w:color="D0D7DE" w:sz="2"/>
              <w:right w:val="single" w:color="D0D7DE" w:sz="2"/>
            </w:tcBorders>
            <w:tcMar>
              <w:top w:type="dxa" w:w="80"/>
              <w:left w:type="dxa" w:w="120"/>
              <w:bottom w:type="dxa" w:w="80"/>
              <w:right w:type="dxa" w:w="120"/>
            </w:tcMar>
          </w:tcPr>
          <w:p>
            <w:r>
              <w:t xml:space="preserve">Construir la UI (PHQ-9, GAD-7, C-SSRS) o remover la tabla si no está en el roadmap inmediato</w:t>
            </w:r>
          </w:p>
        </w:tc>
      </w:tr>
      <w:tr>
        <w:tc>
          <w:tcPr>
            <w:tcW w:type="dxa" w:w="1600"/>
            <w:tcBorders>
              <w:top w:val="single" w:color="D0D7DE" w:sz="2"/>
              <w:left w:val="single" w:color="D0D7DE" w:sz="2"/>
              <w:bottom w:val="single" w:color="D0D7DE" w:sz="2"/>
              <w:right w:val="single" w:color="D0D7DE" w:sz="2"/>
            </w:tcBorders>
            <w:shd w:fill="1E8449" w:val="clear"/>
            <w:tcMar>
              <w:top w:type="dxa" w:w="80"/>
              <w:left w:type="dxa" w:w="120"/>
              <w:bottom w:type="dxa" w:w="80"/>
              <w:right w:type="dxa" w:w="120"/>
            </w:tcMar>
          </w:tcPr>
          <w:p>
            <w:r>
              <w:rPr>
                <w:b/>
                <w:bCs/>
                <w:color w:val="FFFFFF"/>
              </w:rPr>
              <w:t xml:space="preserve">BAJO</w:t>
            </w:r>
          </w:p>
        </w:tc>
        <w:tc>
          <w:tcPr>
            <w:tcW w:type="dxa" w:w="3600"/>
            <w:tcBorders>
              <w:top w:val="single" w:color="D0D7DE" w:sz="2"/>
              <w:left w:val="single" w:color="D0D7DE" w:sz="2"/>
              <w:bottom w:val="single" w:color="D0D7DE" w:sz="2"/>
              <w:right w:val="single" w:color="D0D7DE" w:sz="2"/>
            </w:tcBorders>
            <w:tcMar>
              <w:top w:type="dxa" w:w="80"/>
              <w:left w:type="dxa" w:w="120"/>
              <w:bottom w:type="dxa" w:w="80"/>
              <w:right w:type="dxa" w:w="120"/>
            </w:tcMar>
          </w:tcPr>
          <w:p>
            <w:r>
              <w:t xml:space="preserve">10 console.log/warn/error restantes en código de producción</w:t>
            </w:r>
          </w:p>
        </w:tc>
        <w:tc>
          <w:tcPr>
            <w:tcW w:type="dxa" w:w="1560"/>
            <w:tcBorders>
              <w:top w:val="single" w:color="D0D7DE" w:sz="2"/>
              <w:left w:val="single" w:color="D0D7DE" w:sz="2"/>
              <w:bottom w:val="single" w:color="D0D7DE" w:sz="2"/>
              <w:right w:val="single" w:color="D0D7DE" w:sz="2"/>
            </w:tcBorders>
            <w:tcMar>
              <w:top w:type="dxa" w:w="80"/>
              <w:left w:type="dxa" w:w="120"/>
              <w:bottom w:type="dxa" w:w="80"/>
              <w:right w:type="dxa" w:w="120"/>
            </w:tcMar>
          </w:tcPr>
          <w:p>
            <w:r>
              <w:t xml:space="preserve">Calidad</w:t>
            </w:r>
          </w:p>
        </w:tc>
        <w:tc>
          <w:tcPr>
            <w:tcW w:type="dxa" w:w="2600"/>
            <w:tcBorders>
              <w:top w:val="single" w:color="D0D7DE" w:sz="2"/>
              <w:left w:val="single" w:color="D0D7DE" w:sz="2"/>
              <w:bottom w:val="single" w:color="D0D7DE" w:sz="2"/>
              <w:right w:val="single" w:color="D0D7DE" w:sz="2"/>
            </w:tcBorders>
            <w:tcMar>
              <w:top w:type="dxa" w:w="80"/>
              <w:left w:type="dxa" w:w="120"/>
              <w:bottom w:type="dxa" w:w="80"/>
              <w:right w:type="dxa" w:w="120"/>
            </w:tcMar>
          </w:tcPr>
          <w:p>
            <w:r>
              <w:t xml:space="preserve">Ya bajó de 15 a 10; envolver los restantes en el logger condicional que useAuth.tsx ya usa</w:t>
            </w:r>
          </w:p>
        </w:tc>
      </w:tr>
      <w:tr>
        <w:tc>
          <w:tcPr>
            <w:tcW w:type="dxa" w:w="1600"/>
            <w:tcBorders>
              <w:top w:val="single" w:color="D0D7DE" w:sz="2"/>
              <w:left w:val="single" w:color="D0D7DE" w:sz="2"/>
              <w:bottom w:val="single" w:color="D0D7DE" w:sz="2"/>
              <w:right w:val="single" w:color="D0D7DE" w:sz="2"/>
            </w:tcBorders>
            <w:shd w:fill="1E8449" w:val="clear"/>
            <w:tcMar>
              <w:top w:type="dxa" w:w="80"/>
              <w:left w:type="dxa" w:w="120"/>
              <w:bottom w:type="dxa" w:w="80"/>
              <w:right w:type="dxa" w:w="120"/>
            </w:tcMar>
          </w:tcPr>
          <w:p>
            <w:r>
              <w:rPr>
                <w:b/>
                <w:bCs/>
                <w:color w:val="FFFFFF"/>
              </w:rPr>
              <w:t xml:space="preserve">BAJO</w:t>
            </w:r>
          </w:p>
        </w:tc>
        <w:tc>
          <w:tcPr>
            <w:tcW w:type="dxa" w:w="3600"/>
            <w:tcBorders>
              <w:top w:val="single" w:color="D0D7DE" w:sz="2"/>
              <w:left w:val="single" w:color="D0D7DE" w:sz="2"/>
              <w:bottom w:val="single" w:color="D0D7DE" w:sz="2"/>
              <w:right w:val="single" w:color="D0D7DE" w:sz="2"/>
            </w:tcBorders>
            <w:tcMar>
              <w:top w:type="dxa" w:w="80"/>
              <w:left w:type="dxa" w:w="120"/>
              <w:bottom w:type="dxa" w:w="80"/>
              <w:right w:type="dxa" w:w="120"/>
            </w:tcMar>
          </w:tcPr>
          <w:p>
            <w:r>
              <w:t xml:space="preserve">Sin suite de tests automatizados (no hay script 'test' en package.json)</w:t>
            </w:r>
          </w:p>
        </w:tc>
        <w:tc>
          <w:tcPr>
            <w:tcW w:type="dxa" w:w="1560"/>
            <w:tcBorders>
              <w:top w:val="single" w:color="D0D7DE" w:sz="2"/>
              <w:left w:val="single" w:color="D0D7DE" w:sz="2"/>
              <w:bottom w:val="single" w:color="D0D7DE" w:sz="2"/>
              <w:right w:val="single" w:color="D0D7DE" w:sz="2"/>
            </w:tcBorders>
            <w:tcMar>
              <w:top w:type="dxa" w:w="80"/>
              <w:left w:type="dxa" w:w="120"/>
              <w:bottom w:type="dxa" w:w="80"/>
              <w:right w:type="dxa" w:w="120"/>
            </w:tcMar>
          </w:tcPr>
          <w:p>
            <w:r>
              <w:t xml:space="preserve">Calidad / CI</w:t>
            </w:r>
          </w:p>
        </w:tc>
        <w:tc>
          <w:tcPr>
            <w:tcW w:type="dxa" w:w="2600"/>
            <w:tcBorders>
              <w:top w:val="single" w:color="D0D7DE" w:sz="2"/>
              <w:left w:val="single" w:color="D0D7DE" w:sz="2"/>
              <w:bottom w:val="single" w:color="D0D7DE" w:sz="2"/>
              <w:right w:val="single" w:color="D0D7DE" w:sz="2"/>
            </w:tcBorders>
            <w:tcMar>
              <w:top w:type="dxa" w:w="80"/>
              <w:left w:type="dxa" w:w="120"/>
              <w:bottom w:type="dxa" w:w="80"/>
              <w:right w:type="dxa" w:w="120"/>
            </w:tcMar>
          </w:tcPr>
          <w:p>
            <w:r>
              <w:t xml:space="preserve">Agregar Vitest + Testing Library, empezando por el flujo de auth y el webhook</w:t>
            </w:r>
          </w:p>
        </w:tc>
      </w:tr>
    </w:tbl>
    <w:p>
      <w:pPr>
        <w:pStyle w:val="Heading1"/>
      </w:pPr>
      <w:r>
        <w:t xml:space="preserve">5. Experiencia de Usuario y Producto</w:t>
      </w:r>
    </w:p>
    <w:p>
      <w:pPr>
        <w:pStyle w:val="ListParagraph"/>
        <w:numPr>
          <w:ilvl w:val="0"/>
          <w:numId w:val="2"/>
        </w:numPr>
        <w:spacing w:after="100"/>
      </w:pPr>
      <w:r>
        <w:rPr>
          <w:b/>
          <w:bCs/>
        </w:rPr>
        <w:t xml:space="preserve">Anamnesis superficial: </w:t>
      </w:r>
      <w:r>
        <w:t xml:space="preserve">la ruta /anamnesis, pese a su nombre clínico, solo solicita el nombre completo del paciente. No hay una verdadera historia clínica inicial (antecedentes, motivo de consulta, factores de riesgo) capturada antes de asignar el primer terapeuta.</w:t>
      </w:r>
    </w:p>
    <w:p>
      <w:pPr>
        <w:pStyle w:val="ListParagraph"/>
        <w:numPr>
          <w:ilvl w:val="0"/>
          <w:numId w:val="2"/>
        </w:numPr>
        <w:spacing w:after="100"/>
      </w:pPr>
      <w:r>
        <w:rPr>
          <w:b/>
          <w:bCs/>
        </w:rPr>
        <w:t xml:space="preserve">Dashboard del paciente sin agenda: </w:t>
      </w:r>
      <w:r>
        <w:t xml:space="preserve">no hay sesiones programadas visibles; el paciente solo ve prescripciones y estado del plan. Sigue pendiente desde la auditoría anterior.</w:t>
      </w:r>
    </w:p>
    <w:p>
      <w:pPr>
        <w:pStyle w:val="ListParagraph"/>
        <w:numPr>
          <w:ilvl w:val="0"/>
          <w:numId w:val="2"/>
        </w:numPr>
        <w:spacing w:after="100"/>
      </w:pPr>
      <w:r>
        <w:rPr>
          <w:b/>
          <w:bCs/>
        </w:rPr>
        <w:t xml:space="preserve">Accesibilidad: </w:t>
      </w:r>
      <w:r>
        <w:t xml:space="preserve">navegación móvil y formularios carecen de aria-labels consistentes; no se verificó soporte de lector de pantalla en los modales críticos (alerta de crisis, informe clínico).</w:t>
      </w:r>
    </w:p>
    <w:p>
      <w:r>
        <w:br w:type="page"/>
      </w:r>
    </w:p>
    <w:p>
      <w:pPr>
        <w:pStyle w:val="Heading1"/>
      </w:pPr>
      <w:r>
        <w:t xml:space="preserve">6. Ideas de Desarrollo — Alineadas al Propósito Clínico</w:t>
      </w:r>
    </w:p>
    <w:p>
      <w:pPr>
        <w:spacing w:after="160"/>
      </w:pPr>
      <w:r>
        <w:t xml:space="preserve">El propósito de Mente en Foco es ofrecer acompañamiento en salud mental con respaldo clínico real. Las siguientes ideas priorizan cerrar la brecha entre lo administrativo (pagos, roles) y lo terapéutico (seguimiento, prevención, evidencia clínica), aprovechando lo que ya existe en el esquema de base de datos pero no tiene interfaz.</w:t>
      </w:r>
    </w:p>
    <w:p>
      <w:pPr>
        <w:pStyle w:val="Heading2"/>
      </w:pPr>
      <w:r>
        <w:t xml:space="preserve">6.1 Activar las evaluaciones psicométricas (quick win de alto impacto clínico)</w:t>
      </w:r>
    </w:p>
    <w:p>
      <w:pPr>
        <w:spacing w:after="160"/>
      </w:pPr>
      <w:r>
        <w:t xml:space="preserve">La tabla psychometric_evaluations ya soporta PHQ-9, GAD-7, C-SSRS y AUDIT-C. Construir un formulario de aplicación periódica (cada 2-4 semanas) daría al terapeuta una curva objetiva de evolución del paciente, y permitiría disparar automáticamente la alerta de crisis ya existente cuando un C-SSRS indique riesgo alto, en lugar de depender de que el terapeuta la active manualmente.</w:t>
      </w:r>
    </w:p>
    <w:p>
      <w:pPr>
        <w:pStyle w:val="Heading2"/>
      </w:pPr>
      <w:r>
        <w:t xml:space="preserve">6.2 Anamnesis clínica real como paso de onboarding</w:t>
      </w:r>
    </w:p>
    <w:p>
      <w:pPr>
        <w:spacing w:after="160"/>
      </w:pPr>
      <w:r>
        <w:t xml:space="preserve">Ampliar /anamnesis a un formulario clínico breve (motivo de consulta, antecedentes relevantes, medicación actual, red de apoyo) que alimente directamente el primer informe SOAP del terapeuta asignado, evitando que la primera sesión se consuma en recolección de datos básicos.</w:t>
      </w:r>
    </w:p>
    <w:p>
      <w:pPr>
        <w:pStyle w:val="Heading2"/>
      </w:pPr>
      <w:r>
        <w:t xml:space="preserve">6.3 Agenda y sesiones programadas</w:t>
      </w:r>
    </w:p>
    <w:p>
      <w:pPr>
        <w:spacing w:after="160"/>
      </w:pPr>
      <w:r>
        <w:t xml:space="preserve">Conectar Google Calendar o un módulo propio de citas para que el paciente vea su próxima sesión desde el dashboard, y el terapeuta gestione su disponibilidad. Es el ítem de mayor fricción actual: hoy el vínculo paciente-terapeuta existe en base de datos pero no hay forma de agendar dentro de la plataforma.</w:t>
      </w:r>
    </w:p>
    <w:p>
      <w:pPr>
        <w:pStyle w:val="Heading2"/>
      </w:pPr>
      <w:r>
        <w:t xml:space="preserve">6.4 Seguimiento longitudinal visual</w:t>
      </w:r>
    </w:p>
    <w:p>
      <w:pPr>
        <w:spacing w:after="160"/>
      </w:pPr>
      <w:r>
        <w:t xml:space="preserve">recharts ya está en las dependencias pero no se usa. Con datos de psychometric_evaluations y patient_prescriptions.completed, se puede construir una gráfica de evolución (puntajes PHQ-9/GAD-7 en el tiempo, % de tareas completadas) tanto para el paciente como para el terapeuta — refuerza adherencia y da valor tangible a la membresía premium.</w:t>
      </w:r>
    </w:p>
    <w:p>
      <w:pPr>
        <w:pStyle w:val="Heading2"/>
      </w:pPr>
      <w:r>
        <w:t xml:space="preserve">6.5 Notificaciones y recordatorios</w:t>
      </w:r>
    </w:p>
    <w:p>
      <w:pPr>
        <w:spacing w:after="160"/>
      </w:pPr>
      <w:r>
        <w:t xml:space="preserve">Las prescripciones y alertas hoy dependen de que el paciente entre al dashboard. Un correo o WhatsApp (vía Resend/Twilio) recordando tareas pendientes o el resultado de una evaluación de riesgo alto mejoraría la adherencia y la seguridad clínica.</w:t>
      </w:r>
    </w:p>
    <w:p>
      <w:pPr>
        <w:pStyle w:val="Heading2"/>
      </w:pPr>
      <w:r>
        <w:t xml:space="preserve">6.6 Panel de analítica para Admin</w:t>
      </w:r>
    </w:p>
    <w:p>
      <w:pPr>
        <w:spacing w:after="160"/>
      </w:pPr>
      <w:r>
        <w:t xml:space="preserve">telemetry_events ya captura eventos con RLS para admins, pero AdminDashboard no lo consume. Un panel simple de conversión (visita → lead → compra → onboarding completo) usando esos datos daría visibilidad de negocio sin herramientas externas.</w:t>
      </w:r>
    </w:p>
    <w:p>
      <w:pPr>
        <w:pStyle w:val="Heading2"/>
      </w:pPr>
      <w:r>
        <w:t xml:space="preserve">6.7 SEO y SSR para las guías clínicas</w:t>
      </w:r>
    </w:p>
    <w:p>
      <w:pPr>
        <w:spacing w:after="160"/>
      </w:pPr>
      <w:r>
        <w:t xml:space="preserve">TanStack Start ya está instalado pero el proyecto opera en CSR puro. Activar SSR para /guia y /guias/$guiaId permitiría que el contenido clínico gratuito sea indexado por buscadores, que es hoy la principal vía de adquisición orgánica para una plataforma de salud mental.</w:t>
      </w:r>
    </w:p>
    <w:p>
      <w:pPr>
        <w:pStyle w:val="Heading2"/>
      </w:pPr>
      <w:r>
        <w:t xml:space="preserve">6.8 Módulo “ADN Clínico”</w:t>
      </w:r>
    </w:p>
    <w:p>
      <w:pPr>
        <w:spacing w:after="160"/>
      </w:pPr>
      <w:r>
        <w:t xml:space="preserve">Mencionado en commits recientes sin implementación aún. Se sugiere definirlo como un perfil longitudinal que combine anamnesis, evaluaciones psicométricas y prescripciones completadas en una sola vista de “ficha clínica” por paciente, reutilizando las tablas que ya existen en lugar de crear un esquema paralelo nuevo.</w:t>
      </w:r>
    </w:p>
    <w:p>
      <w:r>
        <w:br w:type="page"/>
      </w:r>
    </w:p>
    <w:p>
      <w:pPr>
        <w:pStyle w:val="Heading1"/>
      </w:pPr>
      <w:r>
        <w:t xml:space="preserve">7. Checklist Priorizado</w:t>
      </w:r>
    </w:p>
    <w:p>
      <w:pPr>
        <w:pStyle w:val="Heading2"/>
      </w:pPr>
      <w:r>
        <w:t xml:space="preserve">Crítico — antes de aceptar pagos reales</w:t>
      </w:r>
    </w:p>
    <w:p>
      <w:pPr>
        <w:pStyle w:val="ListParagraph"/>
        <w:numPr>
          <w:ilvl w:val="0"/>
          <w:numId w:val="2"/>
        </w:numPr>
        <w:spacing w:after="100"/>
      </w:pPr>
      <w:r>
        <w:t xml:space="preserve">Sustituir el flujo de “contraseña = correo” por invitación/magic link real.</w:t>
      </w:r>
    </w:p>
    <w:p>
      <w:pPr>
        <w:pStyle w:val="ListParagraph"/>
        <w:numPr>
          <w:ilvl w:val="0"/>
          <w:numId w:val="2"/>
        </w:numPr>
        <w:spacing w:after="100"/>
      </w:pPr>
      <w:r>
        <w:t xml:space="preserve">Reemplazar los 5 Payment Links de test por sus equivalentes en modo Live.</w:t>
      </w:r>
    </w:p>
    <w:p>
      <w:pPr>
        <w:pStyle w:val="ListParagraph"/>
        <w:numPr>
          <w:ilvl w:val="0"/>
          <w:numId w:val="2"/>
        </w:numPr>
        <w:spacing w:after="100"/>
      </w:pPr>
      <w:r>
        <w:t xml:space="preserve">Confirmar que las claves de Stripe en los secretos de la Edge Function son de producción.</w:t>
      </w:r>
    </w:p>
    <w:p>
      <w:pPr>
        <w:pStyle w:val="Heading2"/>
      </w:pPr>
      <w:r>
        <w:t xml:space="preserve">Importante — próximo sprint</w:t>
      </w:r>
    </w:p>
    <w:p>
      <w:pPr>
        <w:pStyle w:val="ListParagraph"/>
        <w:numPr>
          <w:ilvl w:val="0"/>
          <w:numId w:val="2"/>
        </w:numPr>
        <w:spacing w:after="100"/>
      </w:pPr>
      <w:r>
        <w:t xml:space="preserve">Versionar en SQL las tablas cie11_directory, clinical_notes y la columna professional_card.</w:t>
      </w:r>
    </w:p>
    <w:p>
      <w:pPr>
        <w:pStyle w:val="ListParagraph"/>
        <w:numPr>
          <w:ilvl w:val="0"/>
          <w:numId w:val="2"/>
        </w:numPr>
        <w:spacing w:after="100"/>
      </w:pPr>
      <w:r>
        <w:t xml:space="preserve">Corregir el copy de compra-exitosa.tsx para reflejar el flujo real de activación.</w:t>
      </w:r>
    </w:p>
    <w:p>
      <w:pPr>
        <w:pStyle w:val="ListParagraph"/>
        <w:numPr>
          <w:ilvl w:val="0"/>
          <w:numId w:val="2"/>
        </w:numPr>
        <w:spacing w:after="100"/>
      </w:pPr>
      <w:r>
        <w:t xml:space="preserve">Eliminar src/data/guiasData.ts.</w:t>
      </w:r>
    </w:p>
    <w:p>
      <w:pPr>
        <w:pStyle w:val="ListParagraph"/>
        <w:numPr>
          <w:ilvl w:val="0"/>
          <w:numId w:val="2"/>
        </w:numPr>
        <w:spacing w:after="100"/>
      </w:pPr>
      <w:r>
        <w:t xml:space="preserve">Definir si psychometric_evaluations entra al roadmap inmediato o se documenta como diferido.</w:t>
      </w:r>
    </w:p>
    <w:p>
      <w:pPr>
        <w:pStyle w:val="Heading2"/>
      </w:pPr>
      <w:r>
        <w:t xml:space="preserve">Roadmap de producto</w:t>
      </w:r>
    </w:p>
    <w:p>
      <w:pPr>
        <w:pStyle w:val="ListParagraph"/>
        <w:numPr>
          <w:ilvl w:val="0"/>
          <w:numId w:val="2"/>
        </w:numPr>
        <w:spacing w:after="100"/>
      </w:pPr>
      <w:r>
        <w:t xml:space="preserve">Formulario de evaluaciones psicométricas (PHQ-9/GAD-7/C-SSRS) con disparo automático de alerta de crisis.</w:t>
      </w:r>
    </w:p>
    <w:p>
      <w:pPr>
        <w:pStyle w:val="ListParagraph"/>
        <w:numPr>
          <w:ilvl w:val="0"/>
          <w:numId w:val="2"/>
        </w:numPr>
        <w:spacing w:after="100"/>
      </w:pPr>
      <w:r>
        <w:t xml:space="preserve">Anamnesis clínica real en el onboarding.</w:t>
      </w:r>
    </w:p>
    <w:p>
      <w:pPr>
        <w:pStyle w:val="ListParagraph"/>
        <w:numPr>
          <w:ilvl w:val="0"/>
          <w:numId w:val="2"/>
        </w:numPr>
        <w:spacing w:after="100"/>
      </w:pPr>
      <w:r>
        <w:t xml:space="preserve">Agenda de sesiones (paciente ↔ terapeuta).</w:t>
      </w:r>
    </w:p>
    <w:p>
      <w:pPr>
        <w:pStyle w:val="ListParagraph"/>
        <w:numPr>
          <w:ilvl w:val="0"/>
          <w:numId w:val="2"/>
        </w:numPr>
        <w:spacing w:after="100"/>
      </w:pPr>
      <w:r>
        <w:t xml:space="preserve">Gráficas de evolución longitudinal con recharts.</w:t>
      </w:r>
    </w:p>
    <w:p>
      <w:pPr>
        <w:pStyle w:val="ListParagraph"/>
        <w:numPr>
          <w:ilvl w:val="0"/>
          <w:numId w:val="2"/>
        </w:numPr>
        <w:spacing w:after="100"/>
      </w:pPr>
      <w:r>
        <w:t xml:space="preserve">Notificaciones de recordatorio (email/WhatsApp).</w:t>
      </w:r>
    </w:p>
    <w:p>
      <w:pPr>
        <w:pStyle w:val="ListParagraph"/>
        <w:numPr>
          <w:ilvl w:val="0"/>
          <w:numId w:val="2"/>
        </w:numPr>
        <w:spacing w:after="100"/>
      </w:pPr>
      <w:r>
        <w:t xml:space="preserve">Panel de analítica para Admin usando telemetry_events.</w:t>
      </w:r>
    </w:p>
    <w:p>
      <w:pPr>
        <w:pStyle w:val="ListParagraph"/>
        <w:numPr>
          <w:ilvl w:val="0"/>
          <w:numId w:val="2"/>
        </w:numPr>
        <w:spacing w:after="100"/>
      </w:pPr>
      <w:r>
        <w:t xml:space="preserve">Activar SSR (TanStack Start) para SEO de guías clínicas.</w:t>
      </w:r>
    </w:p>
    <w:p>
      <w:pPr>
        <w:pStyle w:val="ListParagraph"/>
        <w:numPr>
          <w:ilvl w:val="0"/>
          <w:numId w:val="2"/>
        </w:numPr>
        <w:spacing w:after="100"/>
      </w:pPr>
      <w:r>
        <w:t xml:space="preserve">Diseñar el módulo ADN Clínico sobre las tablas clínicas existentes.</w:t>
      </w:r>
    </w:p>
    <w:p>
      <w:pPr>
        <w:pStyle w:val="Heading1"/>
      </w:pPr>
      <w:r>
        <w:t xml:space="preserve">8. Nota Metodológica</w:t>
      </w:r>
    </w:p>
    <w:p>
      <w:pPr>
        <w:spacing w:after="160"/>
      </w:pPr>
      <w:r>
        <w:t xml:space="preserve">Esta auditoría se basó en lectura directa del código fuente (rutas, componentes, hooks, funciones Edge, migraciones SQL), el historial de Git y los archivos de configuración de despliegue (Dockerfile, nginx.conf, .env.example) del repositorio en su estado del 1 de julio de 2026. Se contrastó contra las dos auditorías previas de junio de 2026 para verificar qué se corrigió realmente y qué se marcó como resuelto sin estarlo del todo (ver sección 2.1). No se accedió a los paneles de Stripe ni Supabase en vivo — algunas recomendaciones (revocar tokens, confirmar modo Live) deben verificarse directamente ahí.</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Página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MENTE EN FOCO — Auditoría General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Calibri" w:cs="Calibri" w:eastAsia="Calibri" w:hAnsi="Calibri"/>
      <w:b/>
      <w:bCs/>
      <w:color w:val="1F3B57"/>
      <w:sz w:val="30"/>
      <w:szCs w:val="30"/>
    </w:rPr>
  </w:style>
  <w:style w:type="paragraph" w:styleId="Heading2">
    <w:name w:val="Heading 2"/>
    <w:basedOn w:val="Normal"/>
    <w:next w:val="Normal"/>
    <w:qFormat/>
    <w:pPr>
      <w:spacing w:after="140" w:before="260"/>
      <w:outlineLvl w:val="1"/>
    </w:pPr>
    <w:rPr>
      <w:rFonts w:ascii="Calibri" w:cs="Calibri" w:eastAsia="Calibri" w:hAnsi="Calibri"/>
      <w:b/>
      <w:bCs/>
      <w:color w:val="1F3B5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2026-07-01T15:31:49.826Z</dcterms:created>
  <dcterms:modified xsi:type="dcterms:W3CDTF">2026-07-01T15:31:49.827Z</dcterms:modified>
</cp:coreProperties>
</file>

<file path=docProps/custom.xml><?xml version="1.0" encoding="utf-8"?>
<Properties xmlns="http://schemas.openxmlformats.org/officeDocument/2006/custom-properties" xmlns:vt="http://schemas.openxmlformats.org/officeDocument/2006/docPropsVTypes"/>
</file>