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Godoy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INCIDEX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75"/>
        <w:gridCol w:w="6435"/>
        <w:tblGridChange w:id="0">
          <w:tblGrid>
            <w:gridCol w:w="3975"/>
            <w:gridCol w:w="64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Bruno Villarroel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bru.villarroel@duocuc.cl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Manuel Varela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man.varela@duocuc.cl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shd w:fill="f8f8f8" w:val="clear"/>
                <w:rtl w:val="0"/>
              </w:rPr>
              <w:t xml:space="preserve">Eduardo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edu.gonzalezr@duocuc.cl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Godoy (docente)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repositorio en GitHub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estructura del repositorio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 de acceso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a5e82"/>
                  <w:sz w:val="21"/>
                  <w:szCs w:val="21"/>
                  <w:highlight w:val="white"/>
                  <w:rtl w:val="0"/>
                </w:rPr>
                <w:t xml:space="preserve">https://github.com/mentesbeta/MentesBeta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uso para Carta Gantt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 1.5 para revisión de V.B.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documentos individuales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 documentos individuales de Bruno, Manuel y Eduardo. Para el jueves 28.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documento 1.5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Una vez completo enviar a Profesor revisar documento.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documentos individuales , completar documento 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planilla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la carta gantt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28-Ago-2025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grupo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-13963</wp:posOffset>
              </wp:positionH>
              <wp:positionV relativeFrom="paragraph">
                <wp:posOffset>-43809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-13963</wp:posOffset>
              </wp:positionH>
              <wp:positionV relativeFrom="paragraph">
                <wp:posOffset>-43809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entesbeta/MentesBeta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vLC/aAm4Q+oq0AyVrcOQrfDKA==">CgMxLjA4AHIhMTZJTjQ4SllGZGpmUWtTWTd3VmNhMV9xckpsQ0h1VHFU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