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700"/>
              <w:left w:type="dxa" w:w="600"/>
              <w:bottom w:type="dxa" w:w="700"/>
              <w:right w:type="dxa" w:w="600"/>
            </w:tcMar>
          </w:tcPr>
          <w:p>
            <w:pPr>
              <w:spacing w:after="100" w:before="0"/>
              <w:jc w:val="center"/>
            </w:pPr>
            <w:r>
              <w:rPr>
                <w:rFonts w:ascii="Arial" w:cs="Arial" w:eastAsia="Arial" w:hAnsi="Arial"/>
                <w:b/>
                <w:bCs/>
                <w:color w:val="E94560"/>
                <w:sz w:val="72"/>
                <w:szCs w:val="72"/>
              </w:rPr>
              <w:t xml:space="preserve">STARCASTER</w:t>
            </w:r>
          </w:p>
          <w:p>
            <w:pPr>
              <w:spacing w:after="80" w:before="0"/>
              <w:jc w:val="center"/>
            </w:pPr>
            <w:r>
              <w:rPr>
                <w:rFonts w:ascii="Arial" w:cs="Arial" w:eastAsia="Arial" w:hAnsi="Arial"/>
                <w:color w:val="FFFFFF"/>
                <w:sz w:val="32"/>
                <w:szCs w:val="32"/>
              </w:rPr>
              <w:t xml:space="preserve">Architecture Review &amp; Refactoring Roadmap</w:t>
            </w:r>
          </w:p>
          <w:p>
            <w:pPr>
              <w:spacing w:after="0" w:before="0"/>
              <w:jc w:val="center"/>
            </w:pPr>
            <w:r>
              <w:rPr>
                <w:rFonts w:ascii="Arial" w:cs="Arial" w:eastAsia="Arial" w:hAnsi="Arial"/>
                <w:i/>
                <w:iCs/>
                <w:color w:val="F5A623"/>
                <w:sz w:val="22"/>
                <w:szCs w:val="22"/>
              </w:rPr>
              <w:t xml:space="preserve">Prepared May 2026</w:t>
            </w:r>
          </w:p>
        </w:tc>
      </w:tr>
    </w:tbl>
    <w:p>
      <w:pPr>
        <w:spacing w:after="2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left"/>
            </w:pPr>
            <w:r>
              <w:rPr>
                <w:rFonts w:ascii="Arial" w:cs="Arial" w:eastAsia="Arial" w:hAnsi="Arial"/>
                <w:b/>
                <w:bCs/>
                <w:color w:val="E94560"/>
                <w:sz w:val="32"/>
                <w:szCs w:val="32"/>
              </w:rPr>
              <w:t xml:space="preserve">01  </w:t>
            </w:r>
            <w:r>
              <w:rPr>
                <w:rFonts w:ascii="Arial" w:cs="Arial" w:eastAsia="Arial" w:hAnsi="Arial"/>
                <w:b/>
                <w:bCs/>
                <w:color w:val="FFFFFF"/>
                <w:sz w:val="32"/>
                <w:szCs w:val="32"/>
              </w:rPr>
              <w:t xml:space="preserve">Executive Summary</w:t>
            </w:r>
          </w:p>
        </w:tc>
      </w:tr>
    </w:tbl>
    <w:p>
      <w:pPr>
        <w:spacing w:after="100" w:before="160"/>
      </w:pPr>
      <w:r>
        <w:t xml:space="preserve"/>
      </w:r>
    </w:p>
    <w:p>
      <w:pPr>
        <w:spacing w:after="140" w:before="80"/>
      </w:pPr>
      <w:r>
        <w:rPr>
          <w:rFonts w:ascii="Arial" w:cs="Arial" w:eastAsia="Arial" w:hAnsi="Arial"/>
          <w:color w:val="1F2937"/>
          <w:sz w:val="22"/>
          <w:szCs w:val="22"/>
        </w:rPr>
        <w:t xml:space="preserve">StarCaster began life as a simple MailChimp clone and has organically grown into a sophisticated, multi-domain influencer and content-creator platform. That growth — while a testament to the vision — has left meaningful architectural debt that now actively impedes both developer velocity and the effectiveness of AI coding agents.</w:t>
      </w:r>
    </w:p>
    <w:p>
      <w:pPr>
        <w:spacing w:after="60" w:before="60"/>
      </w:pPr>
      <w:r>
        <w:t xml:space="preserve"/>
      </w:r>
    </w:p>
    <w:p>
      <w:pPr>
        <w:spacing w:after="140" w:before="80"/>
      </w:pPr>
      <w:r>
        <w:rPr>
          <w:rFonts w:ascii="Arial" w:cs="Arial" w:eastAsia="Arial" w:hAnsi="Arial"/>
          <w:color w:val="1F2937"/>
          <w:sz w:val="22"/>
          <w:szCs w:val="22"/>
        </w:rPr>
        <w:t xml:space="preserve">This report is structured in two parts: a candid architectural analysis of the current state across five dimensions, followed by a prioritized Top Ten refactoring roadmap that balances immediate wins with foundational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6"/>
              <w:bottom w:val="none" w:color="FFFFFF" w:sz="0"/>
              <w:right w:val="none" w:color="FFFFFF" w:sz="0"/>
            </w:tcBorders>
            <w:shd w:fill="F2F4F8" w:val="clear"/>
            <w:tcMar>
              <w:top w:type="dxa" w:w="100"/>
              <w:left w:type="dxa" w:w="200"/>
              <w:bottom w:type="dxa" w:w="100"/>
              <w:right w:type="dxa" w:w="200"/>
            </w:tcMar>
          </w:tcPr>
          <w:p>
            <w:pPr>
              <w:spacing w:after="60" w:before="0"/>
            </w:pPr>
            <w:r>
              <w:rPr>
                <w:rFonts w:ascii="Arial" w:cs="Arial" w:eastAsia="Arial" w:hAnsi="Arial"/>
                <w:b/>
                <w:bCs/>
                <w:color w:val="E94560"/>
                <w:sz w:val="20"/>
                <w:szCs w:val="20"/>
              </w:rPr>
              <w:t xml:space="preserve">The Core Problem in One Sentence</w:t>
            </w:r>
          </w:p>
          <w:p>
            <w:pPr>
              <w:spacing w:after="0" w:before="0"/>
            </w:pPr>
            <w:r>
              <w:rPr>
                <w:rFonts w:ascii="Arial" w:cs="Arial" w:eastAsia="Arial" w:hAnsi="Arial"/>
                <w:color w:val="1F2937"/>
                <w:sz w:val="20"/>
                <w:szCs w:val="20"/>
              </w:rPr>
              <w:t xml:space="preserve">A system that started as a single file has grown to 100+ source files, 8,800-line monolithic HTML, 24 parallel messaging stores, and a split personality between Vanilla JS and React — all without the structural guardrails that AI agents need to operate reliably.</w:t>
            </w:r>
          </w:p>
        </w:tc>
      </w:tr>
    </w:tbl>
    <w:p>
      <w:pPr>
        <w:spacing w:after="100" w:before="200"/>
      </w:pPr>
      <w:r>
        <w:t xml:space="preserve"/>
      </w:r>
    </w:p>
    <w:p>
      <w:pPr>
        <w:pBdr>
          <w:bottom w:val="single" w:color="E94560" w:sz="4" w:space="1"/>
        </w:pBdr>
        <w:spacing w:after="200" w:before="200"/>
      </w:pPr>
      <w:r>
        <w:t xml:space="preserve"/>
      </w:r>
    </w:p>
    <w:p>
      <w:pP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left"/>
            </w:pPr>
            <w:r>
              <w:rPr>
                <w:rFonts w:ascii="Arial" w:cs="Arial" w:eastAsia="Arial" w:hAnsi="Arial"/>
                <w:b/>
                <w:bCs/>
                <w:color w:val="E94560"/>
                <w:sz w:val="32"/>
                <w:szCs w:val="32"/>
              </w:rPr>
              <w:t xml:space="preserve">02  </w:t>
            </w:r>
            <w:r>
              <w:rPr>
                <w:rFonts w:ascii="Arial" w:cs="Arial" w:eastAsia="Arial" w:hAnsi="Arial"/>
                <w:b/>
                <w:bCs/>
                <w:color w:val="FFFFFF"/>
                <w:sz w:val="32"/>
                <w:szCs w:val="32"/>
              </w:rPr>
              <w:t xml:space="preserve">Codebase Metrics at a Glance</w:t>
            </w:r>
          </w:p>
        </w:tc>
      </w:tr>
    </w:tbl>
    <w:p>
      <w:pPr>
        <w:spacing w:after="10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94560"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8,809</w:t>
            </w:r>
          </w:p>
          <w:p>
            <w:pPr>
              <w:jc w:val="center"/>
            </w:pPr>
            <w:r>
              <w:rPr>
                <w:rFonts w:ascii="Arial" w:cs="Arial" w:eastAsia="Arial" w:hAnsi="Arial"/>
                <w:color w:val="FFFFFF"/>
                <w:sz w:val="20"/>
                <w:szCs w:val="20"/>
              </w:rPr>
              <w:t xml:space="preserve">lines in index.html</w:t>
            </w:r>
          </w:p>
        </w:tc>
        <w:tc>
          <w:tcPr>
            <w:tcW w:type="dxa" w:w="3120"/>
            <w:tcBorders>
              <w:top w:val="none" w:color="FFFFFF" w:sz="0"/>
              <w:left w:val="none" w:color="FFFFFF" w:sz="0"/>
              <w:bottom w:val="none" w:color="FFFFFF" w:sz="0"/>
              <w:right w:val="none" w:color="FFFFFF" w:sz="0"/>
            </w:tcBorders>
            <w:shd w:fill="0F3460"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82</w:t>
            </w:r>
          </w:p>
          <w:p>
            <w:pPr>
              <w:jc w:val="center"/>
            </w:pPr>
            <w:r>
              <w:rPr>
                <w:rFonts w:ascii="Arial" w:cs="Arial" w:eastAsia="Arial" w:hAnsi="Arial"/>
                <w:color w:val="FFFFFF"/>
                <w:sz w:val="20"/>
                <w:szCs w:val="20"/>
              </w:rPr>
              <w:t xml:space="preserve">lib/ backend files</w:t>
            </w:r>
          </w:p>
        </w:tc>
        <w:tc>
          <w:tcPr>
            <w:tcW w:type="dxa" w:w="3120"/>
            <w:tcBorders>
              <w:top w:val="none" w:color="FFFFFF" w:sz="0"/>
              <w:left w:val="none" w:color="FFFFFF" w:sz="0"/>
              <w:bottom w:val="none" w:color="FFFFFF" w:sz="0"/>
              <w:right w:val="none" w:color="FFFFFF" w:sz="0"/>
            </w:tcBorders>
            <w:shd w:fill="1A1A2E" w:val="clear"/>
            <w:tcMar>
              <w:top w:type="dxa" w:w="160"/>
              <w:left w:type="dxa" w:w="160"/>
              <w:bottom w:type="dxa" w:w="160"/>
              <w:right w:type="dxa" w:w="160"/>
            </w:tcMar>
          </w:tcPr>
          <w:p>
            <w:pPr>
              <w:jc w:val="center"/>
            </w:pPr>
            <w:r>
              <w:rPr>
                <w:rFonts w:ascii="Arial" w:cs="Arial" w:eastAsia="Arial" w:hAnsi="Arial"/>
                <w:b/>
                <w:bCs/>
                <w:color w:val="E94560"/>
                <w:sz w:val="56"/>
                <w:szCs w:val="56"/>
              </w:rPr>
              <w:t xml:space="preserve">24</w:t>
            </w:r>
          </w:p>
          <w:p>
            <w:pPr>
              <w:jc w:val="center"/>
            </w:pPr>
            <w:r>
              <w:rPr>
                <w:rFonts w:ascii="Arial" w:cs="Arial" w:eastAsia="Arial" w:hAnsi="Arial"/>
                <w:color w:val="FFFFFF"/>
                <w:sz w:val="20"/>
                <w:szCs w:val="20"/>
              </w:rPr>
              <w:t xml:space="preserve">parallel messaging stores</w:t>
            </w:r>
          </w:p>
        </w:tc>
      </w:tr>
      <w:tr>
        <w:tc>
          <w:tcPr>
            <w:tcW w:type="dxa" w:w="3120"/>
            <w:tcBorders>
              <w:top w:val="none" w:color="FFFFFF" w:sz="0"/>
              <w:left w:val="none" w:color="FFFFFF" w:sz="0"/>
              <w:bottom w:val="none" w:color="FFFFFF" w:sz="0"/>
              <w:right w:val="none" w:color="FFFFFF" w:sz="0"/>
            </w:tcBorders>
            <w:shd w:fill="1A1A2E" w:val="clear"/>
            <w:tcMar>
              <w:top w:type="dxa" w:w="160"/>
              <w:left w:type="dxa" w:w="160"/>
              <w:bottom w:type="dxa" w:w="160"/>
              <w:right w:type="dxa" w:w="160"/>
            </w:tcMar>
          </w:tcPr>
          <w:p>
            <w:pPr>
              <w:jc w:val="center"/>
            </w:pPr>
            <w:r>
              <w:rPr>
                <w:rFonts w:ascii="Arial" w:cs="Arial" w:eastAsia="Arial" w:hAnsi="Arial"/>
                <w:b/>
                <w:bCs/>
                <w:color w:val="F5A623"/>
                <w:sz w:val="56"/>
                <w:szCs w:val="56"/>
              </w:rPr>
              <w:t xml:space="preserve">2,455</w:t>
            </w:r>
          </w:p>
          <w:p>
            <w:pPr>
              <w:jc w:val="center"/>
            </w:pPr>
            <w:r>
              <w:rPr>
                <w:rFonts w:ascii="Arial" w:cs="Arial" w:eastAsia="Arial" w:hAnsi="Arial"/>
                <w:color w:val="FFFFFF"/>
                <w:sz w:val="20"/>
                <w:szCs w:val="20"/>
              </w:rPr>
              <w:t xml:space="preserve">lines in acquire.js alone</w:t>
            </w:r>
          </w:p>
        </w:tc>
        <w:tc>
          <w:tcPr>
            <w:tcW w:type="dxa" w:w="3120"/>
            <w:tcBorders>
              <w:top w:val="none" w:color="FFFFFF" w:sz="0"/>
              <w:left w:val="none" w:color="FFFFFF" w:sz="0"/>
              <w:bottom w:val="none" w:color="FFFFFF" w:sz="0"/>
              <w:right w:val="none" w:color="FFFFFF" w:sz="0"/>
            </w:tcBorders>
            <w:shd w:fill="E94560"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194</w:t>
            </w:r>
          </w:p>
          <w:p>
            <w:pPr>
              <w:jc w:val="center"/>
            </w:pPr>
            <w:r>
              <w:rPr>
                <w:rFonts w:ascii="Arial" w:cs="Arial" w:eastAsia="Arial" w:hAnsi="Arial"/>
                <w:color w:val="FFFFFF"/>
                <w:sz w:val="20"/>
                <w:szCs w:val="20"/>
              </w:rPr>
              <w:t xml:space="preserve">inline event handlers in HTML</w:t>
            </w:r>
          </w:p>
        </w:tc>
        <w:tc>
          <w:tcPr>
            <w:tcW w:type="dxa" w:w="3120"/>
            <w:tcBorders>
              <w:top w:val="none" w:color="FFFFFF" w:sz="0"/>
              <w:left w:val="none" w:color="FFFFFF" w:sz="0"/>
              <w:bottom w:val="none" w:color="FFFFFF" w:sz="0"/>
              <w:right w:val="none" w:color="FFFFFF" w:sz="0"/>
            </w:tcBorders>
            <w:shd w:fill="0F3460"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16</w:t>
            </w:r>
          </w:p>
          <w:p>
            <w:pPr>
              <w:jc w:val="center"/>
            </w:pPr>
            <w:r>
              <w:rPr>
                <w:rFonts w:ascii="Arial" w:cs="Arial" w:eastAsia="Arial" w:hAnsi="Arial"/>
                <w:color w:val="FFFFFF"/>
                <w:sz w:val="20"/>
                <w:szCs w:val="20"/>
              </w:rPr>
              <w:t xml:space="preserve">data/*.json flat files (still active)</w:t>
            </w:r>
          </w:p>
        </w:tc>
      </w:tr>
    </w:tbl>
    <w:p>
      <w:pPr>
        <w:spacing w:after="100" w:before="200"/>
      </w:pPr>
      <w:r>
        <w:t xml:space="preserve"/>
      </w:r>
    </w:p>
    <w:p>
      <w:pPr>
        <w:pBdr>
          <w:bottom w:val="single" w:color="E94560" w:sz="4" w:space="1"/>
        </w:pBdr>
        <w:spacing w:after="200" w:before="200"/>
      </w:pPr>
      <w:r>
        <w:t xml:space="preserve"/>
      </w:r>
    </w:p>
    <w:p>
      <w:pP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left"/>
            </w:pPr>
            <w:r>
              <w:rPr>
                <w:rFonts w:ascii="Arial" w:cs="Arial" w:eastAsia="Arial" w:hAnsi="Arial"/>
                <w:b/>
                <w:bCs/>
                <w:color w:val="E94560"/>
                <w:sz w:val="32"/>
                <w:szCs w:val="32"/>
              </w:rPr>
              <w:t xml:space="preserve">03  </w:t>
            </w:r>
            <w:r>
              <w:rPr>
                <w:rFonts w:ascii="Arial" w:cs="Arial" w:eastAsia="Arial" w:hAnsi="Arial"/>
                <w:b/>
                <w:bCs/>
                <w:color w:val="FFFFFF"/>
                <w:sz w:val="32"/>
                <w:szCs w:val="32"/>
              </w:rPr>
              <w:t xml:space="preserve">Architectural Analysis</w:t>
            </w:r>
          </w:p>
        </w:tc>
      </w:tr>
    </w:tbl>
    <w:p>
      <w:pPr>
        <w:spacing w:after="100" w:before="160"/>
      </w:pPr>
      <w:r>
        <w:t xml:space="preserve"/>
      </w:r>
    </w:p>
    <w:p>
      <w:pPr>
        <w:spacing w:after="140" w:before="80"/>
      </w:pPr>
      <w:r>
        <w:rPr>
          <w:rFonts w:ascii="Arial" w:cs="Arial" w:eastAsia="Arial" w:hAnsi="Arial"/>
          <w:color w:val="1F2937"/>
          <w:sz w:val="22"/>
          <w:szCs w:val="22"/>
        </w:rPr>
        <w:t xml:space="preserve">The analysis covers five dimensions: Frontend Architecture, Backend Structure, Data Layer, AI Agent Operability, and Identity/Naming Consistency.</w:t>
      </w:r>
    </w:p>
    <w:p>
      <w:pPr>
        <w:spacing w:after="60" w:before="100"/>
      </w:pPr>
      <w:r>
        <w:t xml:space="preserve"/>
      </w:r>
    </w:p>
    <w:p>
      <w:pPr>
        <w:pStyle w:val="Heading2"/>
        <w:spacing w:after="160" w:before="300"/>
      </w:pPr>
      <w:r>
        <w:rPr>
          <w:rFonts w:ascii="Arial" w:cs="Arial" w:eastAsia="Arial" w:hAnsi="Arial"/>
          <w:b/>
          <w:bCs/>
          <w:color w:val="0F3460"/>
          <w:sz w:val="28"/>
          <w:szCs w:val="28"/>
        </w:rPr>
        <w:t xml:space="preserve">3.1  Frontend Architecture</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The Monolith: public/index.html</w:t>
      </w:r>
    </w:p>
    <w:p>
      <w:pPr>
        <w:spacing w:after="140" w:before="80"/>
      </w:pPr>
      <w:r>
        <w:rPr>
          <w:rFonts w:ascii="Arial" w:cs="Arial" w:eastAsia="Arial" w:hAnsi="Arial"/>
          <w:color w:val="1F2937"/>
          <w:sz w:val="22"/>
          <w:szCs w:val="22"/>
        </w:rPr>
        <w:t xml:space="preserve">At 8,809 lines, index.html is the single most consequential technical debt item in the entire project. It contains every page of the SPA as hidden &lt;div&gt; sections, 194 inline event handlers, and 34 &lt;script&gt; tags. This single file is the primary reason AI coding agents lose context — it is simply too long to hold in a working context window while simultaneously reasoning about a feature.</w:t>
      </w:r>
    </w:p>
    <w:p>
      <w:pPr>
        <w:spacing w:after="40" w:before="60"/>
      </w:pPr>
      <w:r>
        <w:t xml:space="preserve"/>
      </w:r>
    </w:p>
    <w:p>
      <w:pPr>
        <w:spacing w:after="140" w:before="80"/>
      </w:pPr>
      <w:r>
        <w:rPr>
          <w:rFonts w:ascii="Arial" w:cs="Arial" w:eastAsia="Arial" w:hAnsi="Arial"/>
          <w:color w:val="1F2937"/>
          <w:sz w:val="22"/>
          <w:szCs w:val="22"/>
        </w:rPr>
        <w:t xml:space="preserve">The build pipeline already uses src/pages/*.html partials, and scripts/build_html.js assembles them. This infrastructure exists but has not been fully embraced — many pages are still authored directly in the monolith rather than as partials.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6"/>
              <w:bottom w:val="none" w:color="FFFFFF" w:sz="0"/>
              <w:right w:val="none" w:color="FFFFFF" w:sz="0"/>
            </w:tcBorders>
            <w:shd w:fill="F2F4F8" w:val="clear"/>
            <w:tcMar>
              <w:top w:type="dxa" w:w="100"/>
              <w:left w:type="dxa" w:w="200"/>
              <w:bottom w:type="dxa" w:w="100"/>
              <w:right w:type="dxa" w:w="200"/>
            </w:tcMar>
          </w:tcPr>
          <w:p>
            <w:pPr>
              <w:spacing w:after="60" w:before="0"/>
            </w:pPr>
            <w:r>
              <w:rPr>
                <w:rFonts w:ascii="Arial" w:cs="Arial" w:eastAsia="Arial" w:hAnsi="Arial"/>
                <w:b/>
                <w:bCs/>
                <w:color w:val="E94560"/>
                <w:sz w:val="20"/>
                <w:szCs w:val="20"/>
              </w:rPr>
              <w:t xml:space="preserve">AI Agent Impact</w:t>
            </w:r>
          </w:p>
          <w:p>
            <w:pPr>
              <w:spacing w:after="0" w:before="0"/>
            </w:pPr>
            <w:r>
              <w:rPr>
                <w:rFonts w:ascii="Arial" w:cs="Arial" w:eastAsia="Arial" w:hAnsi="Arial"/>
                <w:color w:val="1F2937"/>
                <w:sz w:val="20"/>
                <w:szCs w:val="20"/>
              </w:rPr>
              <w:t xml:space="preserve">When an agent is given a task touching even one page, it must parse thousands of lines of unrelated HTML to find its target. This is the primary cause of context overload and the "undoing gains" behavior you observed with AntiGravity.</w:t>
            </w:r>
          </w:p>
        </w:tc>
      </w:tr>
    </w:tbl>
    <w:p>
      <w:pPr>
        <w:spacing w:after="60" w:before="120"/>
      </w:pPr>
      <w:r>
        <w:t xml:space="preserve"/>
      </w:r>
    </w:p>
    <w:p>
      <w:pPr>
        <w:pStyle w:val="Heading3"/>
        <w:spacing w:after="120" w:before="240"/>
      </w:pPr>
      <w:r>
        <w:rPr>
          <w:rFonts w:ascii="Arial" w:cs="Arial" w:eastAsia="Arial" w:hAnsi="Arial"/>
          <w:b/>
          <w:bCs/>
          <w:color w:val="1A1A2E"/>
          <w:sz w:val="24"/>
          <w:szCs w:val="24"/>
        </w:rPr>
        <w:t xml:space="preserve">The window.App Global Namespace</w:t>
      </w:r>
    </w:p>
    <w:p>
      <w:pPr>
        <w:spacing w:after="140" w:before="80"/>
      </w:pPr>
      <w:r>
        <w:rPr>
          <w:rFonts w:ascii="Arial" w:cs="Arial" w:eastAsia="Arial" w:hAnsi="Arial"/>
          <w:color w:val="1F2937"/>
          <w:sz w:val="22"/>
          <w:szCs w:val="22"/>
        </w:rPr>
        <w:t xml:space="preserve">Attaching all state and modules to window.App is pragmatic for a vanilla-JS SPA but creates invisible coupling. Any module can silently read or mutate any state key. There is no access control, no change notification contract, and no way for a coding agent to know which modules depend on a given state key without reading the entire codebase.</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The React Island Experiment</w:t>
      </w:r>
    </w:p>
    <w:p>
      <w:pPr>
        <w:spacing w:after="140" w:before="80"/>
      </w:pPr>
      <w:r>
        <w:rPr>
          <w:rFonts w:ascii="Arial" w:cs="Arial" w:eastAsia="Arial" w:hAnsi="Arial"/>
          <w:color w:val="1F2937"/>
          <w:sz w:val="22"/>
          <w:szCs w:val="22"/>
        </w:rPr>
        <w:t xml:space="preserve">react-entry.js and components/campaigns/ActiveCampaignsList.js represent a React component that fetches from a mock-data endpoint (/api/campaigns/active returns hardcoded JSON) and renders into a campaignsReactRoot div. This is simultaneously the most modern piece of the frontend and the most disconnected — it does not use App.api(), does not read App.state, and its endpoint returns fake data. It appears to be an abandoned proof-of-concept from an early AI agent session that was never removed or integrated.</w:t>
      </w:r>
    </w:p>
    <w:p>
      <w:pPr>
        <w:spacing w:after="40" w:before="60"/>
      </w:pPr>
      <w:r>
        <w:t xml:space="preserve"/>
      </w:r>
    </w:p>
    <w:p>
      <w:pPr>
        <w:spacing w:after="140" w:before="80"/>
      </w:pPr>
      <w:r>
        <w:rPr>
          <w:rFonts w:ascii="Arial" w:cs="Arial" w:eastAsia="Arial" w:hAnsi="Arial"/>
          <w:color w:val="1F2937"/>
          <w:sz w:val="22"/>
          <w:szCs w:val="22"/>
        </w:rPr>
        <w:t xml:space="preserve">The project_manifest.json explicitly states "This project DOES NOT use React." The presence of a bundled React island creates confusion for any incoming developer or AI agent about which paradigm to follow.</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Frontend Module Duplication</w:t>
      </w:r>
    </w:p>
    <w:p>
      <w:pPr>
        <w:spacing w:after="140" w:before="80"/>
      </w:pPr>
      <w:r>
        <w:rPr>
          <w:rFonts w:ascii="Arial" w:cs="Arial" w:eastAsia="Arial" w:hAnsi="Arial"/>
          <w:color w:val="1F2937"/>
          <w:sz w:val="22"/>
          <w:szCs w:val="22"/>
        </w:rPr>
        <w:t xml:space="preserve">The plan.md (skills/SKILL.md) documents a specific problem: acquire.js, messaging.js, and assetsVideo.js each independently fetch /api/messaging/topics and build topic dropdowns. This same pattern repeats for other shared lookups. Every duplicated fetch is a surface where an AI agent can make a local fix that breaks behavior in the other two locations.</w:t>
      </w:r>
    </w:p>
    <w:p>
      <w:pPr>
        <w:spacing w:after="100" w:before="200"/>
      </w:pPr>
      <w:r>
        <w:t xml:space="preserve"/>
      </w:r>
    </w:p>
    <w:p>
      <w:pPr>
        <w:pStyle w:val="Heading2"/>
        <w:spacing w:after="160" w:before="300"/>
      </w:pPr>
      <w:r>
        <w:rPr>
          <w:rFonts w:ascii="Arial" w:cs="Arial" w:eastAsia="Arial" w:hAnsi="Arial"/>
          <w:b/>
          <w:bCs/>
          <w:color w:val="0F3460"/>
          <w:sz w:val="28"/>
          <w:szCs w:val="28"/>
        </w:rPr>
        <w:t xml:space="preserve">3.2  Backend Route &amp; Store Structure</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Macro-Route Files Are Too Large</w:t>
      </w:r>
    </w:p>
    <w:p>
      <w:pPr>
        <w:spacing w:after="140" w:before="80"/>
      </w:pPr>
      <w:r>
        <w:rPr>
          <w:rFonts w:ascii="Arial" w:cs="Arial" w:eastAsia="Arial" w:hAnsi="Arial"/>
          <w:color w:val="1F2937"/>
          <w:sz w:val="22"/>
          <w:szCs w:val="22"/>
        </w:rPr>
        <w:t xml:space="preserve">The backend follows a clean manifest/handle pattern in routes/index.js, which is excellent. The problem is the size of individual route modules. At 2,455 lines, routes/acquire.js handles web harvesting, YouTube acquisition, X/Twitter harvesting, Reddit harvesting, comment mining, video management, topic management, and peer site management — all in a single file. routes/engage.js (1,395 lines) and routes/develop.js (998 lines) have the same problem.</w:t>
      </w:r>
    </w:p>
    <w:p>
      <w:pPr>
        <w:spacing w:after="40" w:before="60"/>
      </w:pPr>
      <w:r>
        <w:t xml:space="preserve"/>
      </w:r>
    </w:p>
    <w:p>
      <w:pPr>
        <w:spacing w:after="140" w:before="80"/>
      </w:pPr>
      <w:r>
        <w:rPr>
          <w:rFonts w:ascii="Arial" w:cs="Arial" w:eastAsia="Arial" w:hAnsi="Arial"/>
          <w:color w:val="1F2937"/>
          <w:sz w:val="22"/>
          <w:szCs w:val="22"/>
        </w:rPr>
        <w:t xml:space="preserve">An AI agent asked to "add a new YouTube topic filter" must parse 2,455 lines to understand the full context, even though the relevant code is perhaps 80 lines. The cognitive load is the same problem as the HTML monolith, just in the backend.</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The 24-Store Messaging Explosion</w:t>
      </w:r>
    </w:p>
    <w:p>
      <w:pPr>
        <w:spacing w:after="140" w:before="80"/>
      </w:pPr>
      <w:r>
        <w:rPr>
          <w:rFonts w:ascii="Arial" w:cs="Arial" w:eastAsia="Arial" w:hAnsi="Arial"/>
          <w:color w:val="1F2937"/>
          <w:sz w:val="22"/>
          <w:szCs w:val="22"/>
        </w:rPr>
        <w:t xml:space="preserve">The lib/ directory contains 24 files prefixed with messaging: one per content type (articles, comments, CTAs, descriptions, ebooks, emails, formats, hashtags, headlines, keywords, pitches, posts, prompts, reports, subheadings, taglines, tags, transcripts, tweets, white papers, and more). Each is a thin wrapper around either messagingTextStore.js or messagingLongformStore.js.</w:t>
      </w:r>
    </w:p>
    <w:p>
      <w:pPr>
        <w:spacing w:after="40" w:before="60"/>
      </w:pPr>
      <w:r>
        <w:t xml:space="preserve"/>
      </w:r>
    </w:p>
    <w:p>
      <w:pPr>
        <w:spacing w:after="140" w:before="80"/>
      </w:pPr>
      <w:r>
        <w:rPr>
          <w:rFonts w:ascii="Arial" w:cs="Arial" w:eastAsia="Arial" w:hAnsi="Arial"/>
          <w:color w:val="1F2937"/>
          <w:sz w:val="22"/>
          <w:szCs w:val="22"/>
        </w:rPr>
        <w:t xml:space="preserve">This is horizontal over-decomposition. Rather than reducing complexity, it spreads boilerplate across 24 files. When the base pattern needs to change — say, adding a new project-scope field — the change must be verified across all 24 wrappers. An AI agent making such a change is highly likely to miss one.</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server.js Route Contamination</w:t>
      </w:r>
    </w:p>
    <w:p>
      <w:pPr>
        <w:spacing w:after="140" w:before="80"/>
      </w:pPr>
      <w:r>
        <w:rPr>
          <w:rFonts w:ascii="Arial" w:cs="Arial" w:eastAsia="Arial" w:hAnsi="Arial"/>
          <w:color w:val="1F2937"/>
          <w:sz w:val="22"/>
          <w:szCs w:val="22"/>
        </w:rPr>
        <w:t xml:space="preserve">Despite the documented rule that all routes go through routes/index.js, server.js directly handles two endpoints: /api/agent/report (an IPC stub) and /api/campaigns/active (mock data). These bypasses are invisible to the route registry, break the authentication middleware, and create confusion about where routes actually live.</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The ag-bridge and ai-daemon Subsystems</w:t>
      </w:r>
    </w:p>
    <w:p>
      <w:pPr>
        <w:spacing w:after="140" w:before="80"/>
      </w:pPr>
      <w:r>
        <w:rPr>
          <w:rFonts w:ascii="Arial" w:cs="Arial" w:eastAsia="Arial" w:hAnsi="Arial"/>
          <w:color w:val="1F2937"/>
          <w:sz w:val="22"/>
          <w:szCs w:val="22"/>
        </w:rPr>
        <w:t xml:space="preserve">Both subsystems are standalone Node processes with their own package.json. The ag-bridge exposes a file-system read API on port 31337 with a hardcoded placeholder API key ("your-secret-api-key-here"). The ai-daemon is a sophisticated autonomous agent runner that watches Supabase Realtime for dev_tasks, checks out git branches, runs code changes, commits, and opens PRs.</w:t>
      </w:r>
    </w:p>
    <w:p>
      <w:pPr>
        <w:spacing w:after="40" w:before="60"/>
      </w:pPr>
      <w:r>
        <w:t xml:space="preserve"/>
      </w:r>
    </w:p>
    <w:p>
      <w:pPr>
        <w:spacing w:after="140" w:before="80"/>
      </w:pPr>
      <w:r>
        <w:rPr>
          <w:rFonts w:ascii="Arial" w:cs="Arial" w:eastAsia="Arial" w:hAnsi="Arial"/>
          <w:color w:val="1F2937"/>
          <w:sz w:val="22"/>
          <w:szCs w:val="22"/>
        </w:rPr>
        <w:t xml:space="preserve">These are genuinely innovative architectural additions, but they exist as satellite processes without integration documentation, without security hardening, and without being referenced in the main AI_AGENT_HANDOFF.md. They are invisible to the handoff process that governs how AI agents onboard.</w:t>
      </w:r>
    </w:p>
    <w:p>
      <w:pPr>
        <w:spacing w:after="100" w:before="200"/>
      </w:pPr>
      <w:r>
        <w:t xml:space="preserve"/>
      </w:r>
    </w:p>
    <w:p>
      <w:pPr>
        <w:pStyle w:val="Heading2"/>
        <w:spacing w:after="160" w:before="300"/>
      </w:pPr>
      <w:r>
        <w:rPr>
          <w:rFonts w:ascii="Arial" w:cs="Arial" w:eastAsia="Arial" w:hAnsi="Arial"/>
          <w:b/>
          <w:bCs/>
          <w:color w:val="0F3460"/>
          <w:sz w:val="28"/>
          <w:szCs w:val="28"/>
        </w:rPr>
        <w:t xml:space="preserve">3.3  Data Layer</w:t>
      </w:r>
    </w:p>
    <w:p>
      <w:pPr>
        <w:spacing w:after="60" w:before="60"/>
      </w:pPr>
      <w:r>
        <w:t xml:space="preserve"/>
      </w:r>
    </w:p>
    <w:p>
      <w:pPr>
        <w:pStyle w:val="Heading3"/>
        <w:spacing w:after="120" w:before="240"/>
      </w:pPr>
      <w:r>
        <w:rPr>
          <w:rFonts w:ascii="Arial" w:cs="Arial" w:eastAsia="Arial" w:hAnsi="Arial"/>
          <w:b/>
          <w:bCs/>
          <w:color w:val="1A1A2E"/>
          <w:sz w:val="24"/>
          <w:szCs w:val="24"/>
        </w:rPr>
        <w:t xml:space="preserve">Hybrid Persistence Is Riskier Than It Looks</w:t>
      </w:r>
    </w:p>
    <w:p>
      <w:pPr>
        <w:spacing w:after="140" w:before="80"/>
      </w:pPr>
      <w:r>
        <w:rPr>
          <w:rFonts w:ascii="Arial" w:cs="Arial" w:eastAsia="Arial" w:hAnsi="Arial"/>
          <w:color w:val="1F2937"/>
          <w:sz w:val="22"/>
          <w:szCs w:val="22"/>
        </w:rPr>
        <w:t xml:space="preserve">Sixteen JSON files still exist in data/ as active operational stores, including auth_sessions.json, auth_users.json, direct_acquire_runs.json, and engage_social_posts.json. On Vercel (the production environment), the filesystem is read-only. This means any write to these files in production silently fails or throws, creating a split-brain between what the UI shows and what is actually persisted.</w:t>
      </w:r>
    </w:p>
    <w:p>
      <w:pPr>
        <w:spacing w:after="40" w:before="60"/>
      </w:pPr>
      <w:r>
        <w:t xml:space="preserve"/>
      </w:r>
    </w:p>
    <w:p>
      <w:pPr>
        <w:spacing w:after="140" w:before="80"/>
      </w:pPr>
      <w:r>
        <w:rPr>
          <w:rFonts w:ascii="Arial" w:cs="Arial" w:eastAsia="Arial" w:hAnsi="Arial"/>
          <w:color w:val="1F2937"/>
          <w:sz w:val="22"/>
          <w:szCs w:val="22"/>
        </w:rPr>
        <w:t xml:space="preserve">The handoff doc acknowledges this ("If a feature writes to data/*.json in production, it is a red flag"). The risk is that an AI agent adding a new feature defaults to the local file pattern it sees in the codebase rather than the Supabase-first pattern it is instructed to use.</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No Migration Runner</w:t>
      </w:r>
    </w:p>
    <w:p>
      <w:pPr>
        <w:spacing w:after="140" w:before="80"/>
      </w:pPr>
      <w:r>
        <w:rPr>
          <w:rFonts w:ascii="Arial" w:cs="Arial" w:eastAsia="Arial" w:hAnsi="Arial"/>
          <w:color w:val="1F2937"/>
          <w:sz w:val="22"/>
          <w:szCs w:val="22"/>
        </w:rPr>
        <w:t xml:space="preserve">The docs/ directory contains 60+ individual SQL migration files, applied manually. There is no migration runner, no migration log table, and no way to know which migrations have been applied to a given environment. An AI agent that writes a migration has no mechanism to verify whether it has been run, leading to the "schema drift" already identified in the handoff doc.</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table Name Resolution Indirection</w:t>
      </w:r>
    </w:p>
    <w:p>
      <w:pPr>
        <w:spacing w:after="140" w:before="80"/>
      </w:pPr>
      <w:r>
        <w:rPr>
          <w:rFonts w:ascii="Arial" w:cs="Arial" w:eastAsia="Arial" w:hAnsi="Arial"/>
          <w:color w:val="1F2937"/>
          <w:sz w:val="22"/>
          <w:szCs w:val="22"/>
        </w:rPr>
        <w:t xml:space="preserve">lib/supabase.js centralizes table-name resolution via tableConfig(), which is good. However, lib/store.js has a redundant local alias function t() that wraps tableConfig(). Meanwhile, newer stores call sbQuery directly. The pattern has three variants depending on when the code was written, which creates unnecessary variability for agents to navigate.</w:t>
      </w:r>
    </w:p>
    <w:p>
      <w:pPr>
        <w:spacing w:after="100" w:before="200"/>
      </w:pPr>
      <w:r>
        <w:t xml:space="preserve"/>
      </w:r>
    </w:p>
    <w:p>
      <w:pPr>
        <w:pStyle w:val="Heading2"/>
        <w:spacing w:after="160" w:before="300"/>
      </w:pPr>
      <w:r>
        <w:rPr>
          <w:rFonts w:ascii="Arial" w:cs="Arial" w:eastAsia="Arial" w:hAnsi="Arial"/>
          <w:b/>
          <w:bCs/>
          <w:color w:val="0F3460"/>
          <w:sz w:val="28"/>
          <w:szCs w:val="28"/>
        </w:rPr>
        <w:t xml:space="preserve">3.4  AI Agent Operability</w:t>
      </w:r>
    </w:p>
    <w:p>
      <w:pPr>
        <w:spacing w:after="60" w:before="60"/>
      </w:pPr>
      <w:r>
        <w:t xml:space="preserve"/>
      </w:r>
    </w:p>
    <w:p>
      <w:pPr>
        <w:spacing w:after="140" w:before="80"/>
      </w:pPr>
      <w:r>
        <w:rPr>
          <w:rFonts w:ascii="Arial" w:cs="Arial" w:eastAsia="Arial" w:hAnsi="Arial"/>
          <w:color w:val="1F2937"/>
          <w:sz w:val="22"/>
          <w:szCs w:val="22"/>
        </w:rPr>
        <w:t xml:space="preserve">This is the dimension most directly responsible for the context overload you experienced. The following are the specific structural conditions that degrade AI agent reliability:</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1"/>
                <w:szCs w:val="21"/>
              </w:rPr>
              <w:t xml:space="preserve">Problem</w:t>
            </w:r>
          </w:p>
        </w:tc>
        <w:tc>
          <w:tcPr>
            <w:tcW w:type="dxa" w:w="656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1"/>
                <w:szCs w:val="21"/>
              </w:rPr>
              <w:t xml:space="preserve">Agent Impact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file size limits</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Agents read entire files to find a function. An 8,800-line HTML file costs the same tokens as 44 well-scoped 200-line files — but with 44x the noise.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Inline HTML event handlers</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194 onclick= and onchange= attributes mean behavior is scattered. An agent cannot find all handlers for a form by searching one JS file.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Undocumented satellite processes</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ag-bridge and ai-daemon are not in the handoff doc. An agent unaware of them may duplicate their functionality or conflict with them.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unit tests</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Agents cannot verify whether a change broke something. Without a test harness, every edit requires reading more surrounding code to build confidence.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Mixed persistence patterns</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Agent may use the file-backed pattern (which exists in the codebase) instead of Supabase-first (which is correct for production), causing silent failures.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typing or schema definitions</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JS is untyped. Store function signatures carry no parameter documentation. Agents must infer argument shapes from call sites.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Orphaned/dead code in repo</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roger_BAD.js, _stuff/ snippets, scratch/ scripts — all indexed by agents. Dead code is indistinguishable from live code without running the app.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Naming inconsistency</w:t>
            </w:r>
          </w:p>
        </w:tc>
        <w:tc>
          <w:tcPr>
            <w:tcW w:type="dxa" w:w="6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color w:val="1F2937"/>
                <w:sz w:val="20"/>
                <w:szCs w:val="20"/>
              </w:rPr>
              <w:t xml:space="preserve">develop vs. builder, category vs. topic — agents produce code with the wrong terminology and then get corrected, consuming session context.</w:t>
            </w:r>
          </w:p>
        </w:tc>
      </w:tr>
    </w:tbl>
    <w:p>
      <w:pPr>
        <w:spacing w:after="100" w:before="200"/>
      </w:pPr>
      <w:r>
        <w:t xml:space="preserve"/>
      </w:r>
    </w:p>
    <w:p>
      <w:pPr>
        <w:pStyle w:val="Heading2"/>
        <w:spacing w:after="160" w:before="300"/>
      </w:pPr>
      <w:r>
        <w:rPr>
          <w:rFonts w:ascii="Arial" w:cs="Arial" w:eastAsia="Arial" w:hAnsi="Arial"/>
          <w:b/>
          <w:bCs/>
          <w:color w:val="0F3460"/>
          <w:sz w:val="28"/>
          <w:szCs w:val="28"/>
        </w:rPr>
        <w:t xml:space="preserve">3.5  Identity &amp; Naming Consistency</w:t>
      </w:r>
    </w:p>
    <w:p>
      <w:pPr>
        <w:spacing w:after="60" w:before="60"/>
      </w:pPr>
      <w:r>
        <w:t xml:space="preserve"/>
      </w:r>
    </w:p>
    <w:p>
      <w:pPr>
        <w:spacing w:after="140" w:before="80"/>
      </w:pPr>
      <w:r>
        <w:rPr>
          <w:rFonts w:ascii="Arial" w:cs="Arial" w:eastAsia="Arial" w:hAnsi="Arial"/>
          <w:color w:val="1F2937"/>
          <w:sz w:val="22"/>
          <w:szCs w:val="22"/>
        </w:rPr>
        <w:t xml:space="preserve">The project has gone through at least four names: mini-mailchimp-clone (package.json), ISITAS (local path in handoff doc), Alphire (branding assets, favicon, handoff doc title), and StarCaster (current product name). This layered history is visible across the codebase in ways that create tangible confusion:</w:t>
      </w:r>
    </w:p>
    <w:p>
      <w:pPr>
        <w:spacing w:after="60" w:before="80"/>
      </w:pPr>
      <w:r>
        <w:t xml:space="preserve"/>
      </w:r>
    </w:p>
    <w:p>
      <w:pPr>
        <w:pStyle w:val="ListParagraph"/>
        <w:numPr>
          <w:ilvl w:val="0"/>
          <w:numId w:val="2"/>
        </w:numPr>
        <w:spacing w:after="80" w:before="60"/>
      </w:pPr>
      <w:r>
        <w:rPr>
          <w:rFonts w:ascii="Arial" w:cs="Arial" w:eastAsia="Arial" w:hAnsi="Arial"/>
          <w:color w:val="1F2937"/>
          <w:sz w:val="22"/>
          <w:szCs w:val="22"/>
        </w:rPr>
        <w:t xml:space="preserve">package.json name field: "mini-mailchimp-clone" — shown to every developer and agent who reads it</w:t>
      </w:r>
    </w:p>
    <w:p>
      <w:pPr>
        <w:pStyle w:val="ListParagraph"/>
        <w:numPr>
          <w:ilvl w:val="0"/>
          <w:numId w:val="2"/>
        </w:numPr>
        <w:spacing w:after="80" w:before="60"/>
      </w:pPr>
      <w:r>
        <w:rPr>
          <w:rFonts w:ascii="Arial" w:cs="Arial" w:eastAsia="Arial" w:hAnsi="Arial"/>
          <w:color w:val="1F2937"/>
          <w:sz w:val="22"/>
          <w:szCs w:val="22"/>
        </w:rPr>
        <w:t xml:space="preserve">index.html &lt;title&gt;: "Omni-channel Engagement Engine" — a fourth name not used anywhere else</w:t>
      </w:r>
    </w:p>
    <w:p>
      <w:pPr>
        <w:pStyle w:val="ListParagraph"/>
        <w:numPr>
          <w:ilvl w:val="0"/>
          <w:numId w:val="2"/>
        </w:numPr>
        <w:spacing w:after="80" w:before="60"/>
      </w:pPr>
      <w:r>
        <w:rPr>
          <w:rFonts w:ascii="Arial" w:cs="Arial" w:eastAsia="Arial" w:hAnsi="Arial"/>
          <w:color w:val="1F2937"/>
          <w:sz w:val="22"/>
          <w:szCs w:val="22"/>
        </w:rPr>
        <w:t xml:space="preserve">AI_AGENT_HANDOFF.md: titled "Alphire Promo Platform" throughout, uses absolute local paths like /Users/mentor/Desktop/ISITAS/...</w:t>
      </w:r>
    </w:p>
    <w:p>
      <w:pPr>
        <w:pStyle w:val="ListParagraph"/>
        <w:numPr>
          <w:ilvl w:val="0"/>
          <w:numId w:val="2"/>
        </w:numPr>
        <w:spacing w:after="80" w:before="60"/>
      </w:pPr>
      <w:r>
        <w:rPr>
          <w:rFonts w:ascii="Arial" w:cs="Arial" w:eastAsia="Arial" w:hAnsi="Arial"/>
          <w:color w:val="1F2937"/>
          <w:sz w:val="22"/>
          <w:szCs w:val="22"/>
        </w:rPr>
        <w:t xml:space="preserve">public/ directory: contains alphire-wordmark.png and alphire_promo_platform_*.png</w:t>
      </w:r>
    </w:p>
    <w:p>
      <w:pPr>
        <w:pStyle w:val="ListParagraph"/>
        <w:numPr>
          <w:ilvl w:val="0"/>
          <w:numId w:val="2"/>
        </w:numPr>
        <w:spacing w:after="80" w:before="60"/>
      </w:pPr>
      <w:r>
        <w:rPr>
          <w:rFonts w:ascii="Arial" w:cs="Arial" w:eastAsia="Arial" w:hAnsi="Arial"/>
          <w:color w:val="1F2937"/>
          <w:sz w:val="22"/>
          <w:szCs w:val="22"/>
        </w:rPr>
        <w:t xml:space="preserve">DB tables and route prefixes: develop_* vs. the UI label "Builder"</w:t>
      </w:r>
    </w:p>
    <w:p>
      <w:pPr>
        <w:pStyle w:val="ListParagraph"/>
        <w:numPr>
          <w:ilvl w:val="0"/>
          <w:numId w:val="2"/>
        </w:numPr>
        <w:spacing w:after="80" w:before="60"/>
      </w:pPr>
      <w:r>
        <w:rPr>
          <w:rFonts w:ascii="Arial" w:cs="Arial" w:eastAsia="Arial" w:hAnsi="Arial"/>
          <w:color w:val="1F2937"/>
          <w:sz w:val="22"/>
          <w:szCs w:val="22"/>
        </w:rPr>
        <w:t xml:space="preserve">Content taxonomy: category (legacy) vs. topic (current) — 105 category references remain in lib/</w:t>
      </w:r>
    </w:p>
    <w:p>
      <w:pPr>
        <w:pStyle w:val="ListParagraph"/>
        <w:numPr>
          <w:ilvl w:val="0"/>
          <w:numId w:val="2"/>
        </w:numPr>
        <w:spacing w:after="80" w:before="60"/>
      </w:pPr>
      <w:r>
        <w:rPr>
          <w:rFonts w:ascii="Arial" w:cs="Arial" w:eastAsia="Arial" w:hAnsi="Arial"/>
          <w:color w:val="1F2937"/>
          <w:sz w:val="22"/>
          <w:szCs w:val="22"/>
        </w:rPr>
        <w:t xml:space="preserve">Auth architecture: "app-managed users and sessions" using data/auth_sessions.json vs. the Supabase auth mentioned in docs/auth_supabase_setup.sql</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16"/>
              <w:bottom w:val="none" w:color="FFFFFF" w:sz="0"/>
              <w:right w:val="none" w:color="FFFFFF" w:sz="0"/>
            </w:tcBorders>
            <w:shd w:fill="F2F4F8" w:val="clear"/>
            <w:tcMar>
              <w:top w:type="dxa" w:w="100"/>
              <w:left w:type="dxa" w:w="200"/>
              <w:bottom w:type="dxa" w:w="100"/>
              <w:right w:type="dxa" w:w="200"/>
            </w:tcMar>
          </w:tcPr>
          <w:p>
            <w:pPr>
              <w:spacing w:after="60" w:before="0"/>
            </w:pPr>
            <w:r>
              <w:rPr>
                <w:rFonts w:ascii="Arial" w:cs="Arial" w:eastAsia="Arial" w:hAnsi="Arial"/>
                <w:b/>
                <w:bCs/>
                <w:color w:val="F5A623"/>
                <w:sz w:val="20"/>
                <w:szCs w:val="20"/>
              </w:rPr>
              <w:t xml:space="preserve">Why Naming Drift Is an AI Agent Problem</w:t>
            </w:r>
          </w:p>
          <w:p>
            <w:pPr>
              <w:spacing w:after="0" w:before="0"/>
            </w:pPr>
            <w:r>
              <w:rPr>
                <w:rFonts w:ascii="Arial" w:cs="Arial" w:eastAsia="Arial" w:hAnsi="Arial"/>
                <w:color w:val="1F2937"/>
                <w:sz w:val="20"/>
                <w:szCs w:val="20"/>
              </w:rPr>
              <w:t xml:space="preserve">An agent that reads "Builder" in a task description and "develop" in the route file is working with ambiguous grounding. It may create a new /api/builder/ route instead of using /api/develop/, duplicating functionality rather than extending it. Every naming inconsistency is a fork probability.</w:t>
            </w:r>
          </w:p>
        </w:tc>
      </w:tr>
    </w:tbl>
    <w:p>
      <w:pPr>
        <w:spacing w:after="100" w:before="200"/>
      </w:pPr>
      <w:r>
        <w:t xml:space="preserve"/>
      </w:r>
    </w:p>
    <w:p>
      <w:pPr>
        <w:pBdr>
          <w:bottom w:val="single" w:color="E94560" w:sz="4" w:space="1"/>
        </w:pBdr>
        <w:spacing w:after="200" w:before="200"/>
      </w:pPr>
      <w:r>
        <w:t xml:space="preserve"/>
      </w:r>
    </w:p>
    <w:p>
      <w:pP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left"/>
            </w:pPr>
            <w:r>
              <w:rPr>
                <w:rFonts w:ascii="Arial" w:cs="Arial" w:eastAsia="Arial" w:hAnsi="Arial"/>
                <w:b/>
                <w:bCs/>
                <w:color w:val="E94560"/>
                <w:sz w:val="32"/>
                <w:szCs w:val="32"/>
              </w:rPr>
              <w:t xml:space="preserve">04  </w:t>
            </w:r>
            <w:r>
              <w:rPr>
                <w:rFonts w:ascii="Arial" w:cs="Arial" w:eastAsia="Arial" w:hAnsi="Arial"/>
                <w:b/>
                <w:bCs/>
                <w:color w:val="FFFFFF"/>
                <w:sz w:val="32"/>
                <w:szCs w:val="32"/>
              </w:rPr>
              <w:t xml:space="preserve">What Is Working Well</w:t>
            </w:r>
          </w:p>
        </w:tc>
      </w:tr>
    </w:tbl>
    <w:p>
      <w:pPr>
        <w:spacing w:after="100" w:before="160"/>
      </w:pPr>
      <w:r>
        <w:t xml:space="preserve"/>
      </w:r>
    </w:p>
    <w:p>
      <w:pPr>
        <w:spacing w:after="140" w:before="80"/>
      </w:pPr>
      <w:r>
        <w:rPr>
          <w:rFonts w:ascii="Arial" w:cs="Arial" w:eastAsia="Arial" w:hAnsi="Arial"/>
          <w:color w:val="1F2937"/>
          <w:sz w:val="22"/>
          <w:szCs w:val="22"/>
        </w:rPr>
        <w:t xml:space="preserve">A balanced analysis must also highlight the genuine architectural strengths that should be preserved — and built upon — during refactoring.</w:t>
      </w:r>
    </w:p>
    <w:p>
      <w:pPr>
        <w:spacing w:after="60" w:before="80"/>
      </w:pPr>
      <w:r>
        <w:t xml:space="preserve"/>
      </w:r>
    </w:p>
    <w:p>
      <w:pPr>
        <w:pStyle w:val="ListParagraph"/>
        <w:numPr>
          <w:ilvl w:val="0"/>
          <w:numId w:val="2"/>
        </w:numPr>
        <w:spacing w:after="80" w:before="60"/>
      </w:pPr>
      <w:r>
        <w:rPr>
          <w:rFonts w:ascii="Arial" w:cs="Arial" w:eastAsia="Arial" w:hAnsi="Arial"/>
          <w:color w:val="1F2937"/>
          <w:sz w:val="22"/>
          <w:szCs w:val="22"/>
        </w:rPr>
        <w:t xml:space="preserve">Route Registry Pattern: routes/index.js with ROUTE_MODULES is clean, self-documenting, and easy for agents to extend correctly.</w:t>
      </w:r>
    </w:p>
    <w:p>
      <w:pPr>
        <w:pStyle w:val="ListParagraph"/>
        <w:numPr>
          <w:ilvl w:val="0"/>
          <w:numId w:val="2"/>
        </w:numPr>
        <w:spacing w:after="80" w:before="60"/>
      </w:pPr>
      <w:r>
        <w:rPr>
          <w:rFonts w:ascii="Arial" w:cs="Arial" w:eastAsia="Arial" w:hAnsi="Arial"/>
          <w:color w:val="1F2937"/>
          <w:sz w:val="22"/>
          <w:szCs w:val="22"/>
        </w:rPr>
        <w:t xml:space="preserve">Standardized API Envelope: { ok, data, error, meta } is consistent and the App.api() wrapper handles it correctly. This contract is solid.</w:t>
      </w:r>
    </w:p>
    <w:p>
      <w:pPr>
        <w:pStyle w:val="ListParagraph"/>
        <w:numPr>
          <w:ilvl w:val="0"/>
          <w:numId w:val="2"/>
        </w:numPr>
        <w:spacing w:after="80" w:before="60"/>
      </w:pPr>
      <w:r>
        <w:rPr>
          <w:rFonts w:ascii="Arial" w:cs="Arial" w:eastAsia="Arial" w:hAnsi="Arial"/>
          <w:color w:val="1F2937"/>
          <w:sz w:val="22"/>
          <w:szCs w:val="22"/>
        </w:rPr>
        <w:t xml:space="preserve">Project Scoping Architecture: The projectScope.js / requestProjectScope.js / resolveCurrentProject() pipeline is well-designed for multitenancy. The pattern is clear and consistent in newer stores.</w:t>
      </w:r>
    </w:p>
    <w:p>
      <w:pPr>
        <w:pStyle w:val="ListParagraph"/>
        <w:numPr>
          <w:ilvl w:val="0"/>
          <w:numId w:val="2"/>
        </w:numPr>
        <w:spacing w:after="80" w:before="60"/>
      </w:pPr>
      <w:r>
        <w:rPr>
          <w:rFonts w:ascii="Arial" w:cs="Arial" w:eastAsia="Arial" w:hAnsi="Arial"/>
          <w:color w:val="1F2937"/>
          <w:sz w:val="22"/>
          <w:szCs w:val="22"/>
        </w:rPr>
        <w:t xml:space="preserve">Supabase-First Momentum: The migration from JSON files toward Supabase is real and ongoing. The pattern in newer stores (sbQuery, tableConfig, scopedListQuery) is the right one.</w:t>
      </w:r>
    </w:p>
    <w:p>
      <w:pPr>
        <w:pStyle w:val="ListParagraph"/>
        <w:numPr>
          <w:ilvl w:val="0"/>
          <w:numId w:val="2"/>
        </w:numPr>
        <w:spacing w:after="80" w:before="60"/>
      </w:pPr>
      <w:r>
        <w:rPr>
          <w:rFonts w:ascii="Arial" w:cs="Arial" w:eastAsia="Arial" w:hAnsi="Arial"/>
          <w:color w:val="1F2937"/>
          <w:sz w:val="22"/>
          <w:szCs w:val="22"/>
        </w:rPr>
        <w:t xml:space="preserve">AI Handoff Documentation: AI_AGENT_HANDOFF.md is unusually thorough for a project of this age. The recommended read order, architectural conventions, and known debt inventory are exactly what agents need.</w:t>
      </w:r>
    </w:p>
    <w:p>
      <w:pPr>
        <w:pStyle w:val="ListParagraph"/>
        <w:numPr>
          <w:ilvl w:val="0"/>
          <w:numId w:val="2"/>
        </w:numPr>
        <w:spacing w:after="80" w:before="60"/>
      </w:pPr>
      <w:r>
        <w:rPr>
          <w:rFonts w:ascii="Arial" w:cs="Arial" w:eastAsia="Arial" w:hAnsi="Arial"/>
          <w:color w:val="1F2937"/>
          <w:sz w:val="22"/>
          <w:szCs w:val="22"/>
        </w:rPr>
        <w:t xml:space="preserve">Skills System: The skills/ directory with platform-specific markdown skill files is a sophisticated agent-oriented pattern that most codebases lack.</w:t>
      </w:r>
    </w:p>
    <w:p>
      <w:pPr>
        <w:pStyle w:val="ListParagraph"/>
        <w:numPr>
          <w:ilvl w:val="0"/>
          <w:numId w:val="2"/>
        </w:numPr>
        <w:spacing w:after="80" w:before="60"/>
      </w:pPr>
      <w:r>
        <w:rPr>
          <w:rFonts w:ascii="Arial" w:cs="Arial" w:eastAsia="Arial" w:hAnsi="Arial"/>
          <w:color w:val="1F2937"/>
          <w:sz w:val="22"/>
          <w:szCs w:val="22"/>
        </w:rPr>
        <w:t xml:space="preserve">ai-daemon Architecture: The concept of a Supabase Realtime-driven autonomous coding agent (ai-daemon) that branches, edits, commits, and opens PRs is genuinely advanced and worth preserving.</w:t>
      </w:r>
    </w:p>
    <w:p>
      <w:pPr>
        <w:pStyle w:val="ListParagraph"/>
        <w:numPr>
          <w:ilvl w:val="0"/>
          <w:numId w:val="2"/>
        </w:numPr>
        <w:spacing w:after="80" w:before="60"/>
      </w:pPr>
      <w:r>
        <w:rPr>
          <w:rFonts w:ascii="Arial" w:cs="Arial" w:eastAsia="Arial" w:hAnsi="Arial"/>
          <w:color w:val="1F2937"/>
          <w:sz w:val="22"/>
          <w:szCs w:val="22"/>
        </w:rPr>
        <w:t xml:space="preserve">The build_html.js Pipeline: The partial-based HTML build system already exists. The infrastructure for the most important refactoring step is already in place.</w:t>
      </w:r>
    </w:p>
    <w:p>
      <w:pPr>
        <w:spacing w:after="100" w:before="200"/>
      </w:pPr>
      <w:r>
        <w:t xml:space="preserve"/>
      </w:r>
    </w:p>
    <w:p>
      <w:pPr>
        <w:pBdr>
          <w:bottom w:val="single" w:color="E94560" w:sz="4" w:space="1"/>
        </w:pBdr>
        <w:spacing w:after="200" w:before="200"/>
      </w:pPr>
      <w:r>
        <w:t xml:space="preserve"/>
      </w:r>
    </w:p>
    <w:p>
      <w:pP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left"/>
            </w:pPr>
            <w:r>
              <w:rPr>
                <w:rFonts w:ascii="Arial" w:cs="Arial" w:eastAsia="Arial" w:hAnsi="Arial"/>
                <w:b/>
                <w:bCs/>
                <w:color w:val="E94560"/>
                <w:sz w:val="32"/>
                <w:szCs w:val="32"/>
              </w:rPr>
              <w:t xml:space="preserve">05  </w:t>
            </w:r>
            <w:r>
              <w:rPr>
                <w:rFonts w:ascii="Arial" w:cs="Arial" w:eastAsia="Arial" w:hAnsi="Arial"/>
                <w:b/>
                <w:bCs/>
                <w:color w:val="FFFFFF"/>
                <w:sz w:val="32"/>
                <w:szCs w:val="32"/>
              </w:rPr>
              <w:t xml:space="preserve">Top Ten Refactoring Steps</w:t>
            </w:r>
          </w:p>
        </w:tc>
      </w:tr>
    </w:tbl>
    <w:p>
      <w:pPr>
        <w:spacing w:after="100" w:before="160"/>
      </w:pPr>
      <w:r>
        <w:t xml:space="preserve"/>
      </w:r>
    </w:p>
    <w:p>
      <w:pPr>
        <w:spacing w:after="140" w:before="80"/>
      </w:pPr>
      <w:r>
        <w:rPr>
          <w:rFonts w:ascii="Arial" w:cs="Arial" w:eastAsia="Arial" w:hAnsi="Arial"/>
          <w:color w:val="1F2937"/>
          <w:sz w:val="22"/>
          <w:szCs w:val="22"/>
        </w:rPr>
        <w:t xml:space="preserve">The following steps are sequenced to deliver compounding value: early steps reduce context load immediately (highest AI agent benefit), middle steps eliminate structural debt, and later steps establish foundations for long-term scalability. Each step is assessed for effort and impact.</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900"/>
        <w:gridCol w:w="900"/>
        <w:gridCol w:w="4600"/>
      </w:tblGrid>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9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c>
          <w:tcPr>
            <w:tcW w:type="dxa" w:w="9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46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Summary</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1</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Fully Adopt the src/pages Partial System</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High</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Complete the migration of all page content from index.html into individual src/pages/*.html partials. The build_html.js pipeline already exists. This reduces index.html from 8,800 lines to under 200 (shell + script tags), immediately eliminating the #1 context overload source for AI agents.</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2</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Purge Dead Code &amp; Rename the Project</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Low</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High</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Remove _stuff/, scratch/, roger_BAD.js, and update package.json name to "starcaster", index.html &lt;title&gt; to "StarCaster", and AI_AGENT_HANDOFF.md. Replace all absolute local paths with relative paths. Dead code is invisible overhead that every agent session pays for.</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3</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Standardize Naming: Builder, Topics, StarCaster</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High</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Execute a codebase-wide rename: develop_ routes/tables -&gt; build_, category -&gt; topic (105 remaining refs), auth references to clarify Supabase Auth vs. custom session auth. Create a GLOSSARY.md that agents can reference. Naming consistency is the cheapest AI agent alignment tool available.</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4</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Split Macro Route Files Into Sub-Modules</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High</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Decompose routes/acquire.js (2,455 lines) into sub-modules: acquire/web.js, acquire/youtube.js, acquire/reddit.js, acquire/x.js — following the pattern already used in lib/acquire/. Apply the same split to routes/engage.js and routes/develop.js. Each sub-module should be under 400 lines.</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5</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Collapse the 24 Messaging Stores Into a Factory</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High</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Replace 24 individual messaging*Store.js files with a createContentStore(contentType, options) factory function. Each content type becomes a one-line declaration. This reduces 24 files to 1 factory + 1 index, making cross-cutting changes (scoping, validation, new fields) a single edit instead of 24.</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6</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Finish File-to-Supabase Migration &amp; Enforce It</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High</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Complete the migration of all data/*.json stores to Supabase. Add a linting rule or pre-commit hook that fails on new fs.writeFile calls in routes/ or lib/. Add a .cursor-rules or AGENT_RULES.md note explicitly prohibiting file-backed stores. Prevents agents from re-introducing the pattern.</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7</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Fix the Route Contamination in server.js</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Low</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Move /api/agent/report and /api/campaigns/active into routes/index.js and proper route modules. Wire /api/campaigns/active to real Supabase data. Remove the mock-data endpoint. This makes the route registry the single source of truth and eliminates the authentication bypass.</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8</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Remove the React Island or Integrate It</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Low</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Either delete react-entry.js, components/, and the React dependencies (3 packages) — or commit to React as a progressive enhancement pattern and wire the component to real data via App.api(). The current state (React that hits a fake endpoint and is disavowed by project_manifest.json) is the worst of both worlds for agents.</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9</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Document and Harden ag-bridge &amp; ai-daemon</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ag-bridge and ai-daemon to AI_AGENT_HANDOFF.md. Replace the hardcoded API key placeholder in ag-bridge/server.js with a proper env var. Write AGENT_ARCHITECTURE.md explaining how the daemon, bridge, and main app relate. These are valuable systems that are currently invisible to the onboarding process.</w:t>
            </w:r>
          </w:p>
        </w:tc>
      </w:tr>
      <w:tr>
        <w:tc>
          <w:tcPr>
            <w:tcW w:type="dxa" w:w="5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pPr>
              <w:jc w:val="center"/>
            </w:pPr>
            <w:r>
              <w:rPr>
                <w:rFonts w:ascii="Arial" w:cs="Arial" w:eastAsia="Arial" w:hAnsi="Arial"/>
                <w:b/>
                <w:bCs/>
                <w:color w:val="E94560"/>
                <w:sz w:val="28"/>
                <w:szCs w:val="28"/>
              </w:rPr>
              <w:t xml:space="preserve">10</w:t>
            </w:r>
          </w:p>
        </w:tc>
        <w:tc>
          <w:tcPr>
            <w:tcW w:type="dxa" w:w="24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r>
              <w:rPr>
                <w:rFonts w:ascii="Arial" w:cs="Arial" w:eastAsia="Arial" w:hAnsi="Arial"/>
                <w:b/>
                <w:bCs/>
                <w:color w:val="1A1A2E"/>
                <w:sz w:val="21"/>
                <w:szCs w:val="21"/>
              </w:rPr>
              <w:t xml:space="preserve">Introduce a Migration Runner &amp; JSDoc on Store Functions</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EA580C"/>
                <w:sz w:val="20"/>
                <w:szCs w:val="20"/>
              </w:rPr>
              <w:t xml:space="preserve">High</w:t>
            </w:r>
          </w:p>
        </w:tc>
        <w:tc>
          <w:tcPr>
            <w:tcW w:type="dxa" w:w="900"/>
            <w:tcBorders>
              <w:top w:val="single" w:color="D1D5DB" w:sz="1"/>
              <w:left w:val="single" w:color="D1D5DB" w:sz="1"/>
              <w:bottom w:val="single" w:color="D1D5DB" w:sz="1"/>
              <w:right w:val="single" w:color="D1D5DB" w:sz="1"/>
            </w:tcBorders>
            <w:shd w:fill="F2F4F8" w:val="clear"/>
            <w:tcMar>
              <w:top w:type="dxa" w:w="100"/>
              <w:left w:type="dxa" w:w="140"/>
              <w:bottom w:type="dxa" w:w="100"/>
              <w:right w:type="dxa" w:w="140"/>
            </w:tcMar>
          </w:tcPr>
          <w:p>
            <w:pPr>
              <w:jc w:val="center"/>
            </w:pPr>
            <w:r>
              <w:rPr>
                <w:rFonts w:ascii="Arial" w:cs="Arial" w:eastAsia="Arial" w:hAnsi="Arial"/>
                <w:b/>
                <w:bCs/>
                <w:color w:val="F5A623"/>
                <w:sz w:val="20"/>
                <w:szCs w:val="20"/>
              </w:rPr>
              <w:t xml:space="preserve">Medium</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Adopt a lightweight migration runner (e.g., node-pg-migrate or a simple custom runner) that records applied migrations in a db_migrations table. Add JSDoc @param and @returns annotations to all public store functions. These two changes give AI agents the schema confidence and function signature clarity needed to write reliable code without reading 10 surrounding files for context.</w:t>
            </w:r>
          </w:p>
        </w:tc>
      </w:tr>
    </w:tbl>
    <w:p>
      <w:pPr>
        <w:spacing w:after="100" w:before="200"/>
      </w:pPr>
      <w:r>
        <w:t xml:space="preserve"/>
      </w:r>
    </w:p>
    <w:p>
      <w:pPr>
        <w:pBdr>
          <w:bottom w:val="single" w:color="E94560" w:sz="4" w:space="1"/>
        </w:pBdr>
        <w:spacing w:after="200" w:before="200"/>
      </w:pPr>
      <w:r>
        <w:t xml:space="preserve"/>
      </w:r>
    </w:p>
    <w:p>
      <w:pP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left"/>
            </w:pPr>
            <w:r>
              <w:rPr>
                <w:rFonts w:ascii="Arial" w:cs="Arial" w:eastAsia="Arial" w:hAnsi="Arial"/>
                <w:b/>
                <w:bCs/>
                <w:color w:val="E94560"/>
                <w:sz w:val="32"/>
                <w:szCs w:val="32"/>
              </w:rPr>
              <w:t xml:space="preserve">06  </w:t>
            </w:r>
            <w:r>
              <w:rPr>
                <w:rFonts w:ascii="Arial" w:cs="Arial" w:eastAsia="Arial" w:hAnsi="Arial"/>
                <w:b/>
                <w:bCs/>
                <w:color w:val="FFFFFF"/>
                <w:sz w:val="32"/>
                <w:szCs w:val="32"/>
              </w:rPr>
              <w:t xml:space="preserve">Sequencing &amp; Agent Workflow Guidance</w:t>
            </w:r>
          </w:p>
        </w:tc>
      </w:tr>
    </w:tbl>
    <w:p>
      <w:pPr>
        <w:spacing w:after="100" w:before="160"/>
      </w:pPr>
      <w:r>
        <w:t xml:space="preserve"/>
      </w:r>
    </w:p>
    <w:p>
      <w:pPr>
        <w:spacing w:after="140" w:before="80"/>
      </w:pPr>
      <w:r>
        <w:rPr>
          <w:rFonts w:ascii="Arial" w:cs="Arial" w:eastAsia="Arial" w:hAnsi="Arial"/>
          <w:color w:val="1F2937"/>
          <w:sz w:val="22"/>
          <w:szCs w:val="22"/>
        </w:rPr>
        <w:t xml:space="preserve">The Top Ten steps above can be grouped into three phases for practical sequencing:</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Phase 1 — Immediate Context Relief (Steps 1, 2, 3, 7, 8)</w:t>
      </w:r>
    </w:p>
    <w:p>
      <w:pPr>
        <w:spacing w:after="140" w:before="80"/>
      </w:pPr>
      <w:r>
        <w:rPr>
          <w:rFonts w:ascii="Arial" w:cs="Arial" w:eastAsia="Arial" w:hAnsi="Arial"/>
          <w:color w:val="1F2937"/>
          <w:sz w:val="22"/>
          <w:szCs w:val="22"/>
        </w:rPr>
        <w:t xml:space="preserve">These steps require no schema changes and no new infrastructure. They are primarily file operations: split HTML, delete dead code, rename identifiers, and fix routing. An AI agent can execute each of these with a clearly scoped task. Combined, they eliminate the primary causes of context overload.</w:t>
      </w:r>
    </w:p>
    <w:p>
      <w:pPr>
        <w:spacing w:after="40" w:before="60"/>
      </w:pPr>
      <w:r>
        <w:t xml:space="preserve"/>
      </w:r>
    </w:p>
    <w:p>
      <w:pPr>
        <w:spacing w:after="140" w:before="80"/>
      </w:pPr>
      <w:r>
        <w:rPr>
          <w:rFonts w:ascii="Arial" w:cs="Arial" w:eastAsia="Arial" w:hAnsi="Arial"/>
          <w:color w:val="1F2937"/>
          <w:sz w:val="22"/>
          <w:szCs w:val="22"/>
        </w:rPr>
        <w:t xml:space="preserve">Recommended order within Phase 1: Step 2 (purge dead code) first — a smaller repo context immediately helps. Then Step 3 (naming) so subsequent work uses correct terminology. Then Steps 1, 7, and 8.</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Phase 2 — Structural Simplification (Steps 4, 5, 6)</w:t>
      </w:r>
    </w:p>
    <w:p>
      <w:pPr>
        <w:spacing w:after="140" w:before="80"/>
      </w:pPr>
      <w:r>
        <w:rPr>
          <w:rFonts w:ascii="Arial" w:cs="Arial" w:eastAsia="Arial" w:hAnsi="Arial"/>
          <w:color w:val="1F2937"/>
          <w:sz w:val="22"/>
          <w:szCs w:val="22"/>
        </w:rPr>
        <w:t xml:space="preserve">These steps reshape the backend and persistence layers. They require careful testing of existing behavior. Each sub-module split and store consolidation should be done one domain at a time — start with Messaging (Step 5) since it has the most stores and the pattern is clearest, then tackle the route splits (Step 4) starting with acquire.js. Step 6 (file migration) can run in parallel as individual stores are touched.</w:t>
      </w:r>
    </w:p>
    <w:p>
      <w:pPr>
        <w:spacing w:after="60" w:before="80"/>
      </w:pPr>
      <w:r>
        <w:t xml:space="preserve"/>
      </w:r>
    </w:p>
    <w:p>
      <w:pPr>
        <w:pStyle w:val="Heading3"/>
        <w:spacing w:after="120" w:before="240"/>
      </w:pPr>
      <w:r>
        <w:rPr>
          <w:rFonts w:ascii="Arial" w:cs="Arial" w:eastAsia="Arial" w:hAnsi="Arial"/>
          <w:b/>
          <w:bCs/>
          <w:color w:val="1A1A2E"/>
          <w:sz w:val="24"/>
          <w:szCs w:val="24"/>
        </w:rPr>
        <w:t xml:space="preserve">Phase 3 — Long-Term Agent Infrastructure (Steps 9, 10)</w:t>
      </w:r>
    </w:p>
    <w:p>
      <w:pPr>
        <w:spacing w:after="140" w:before="80"/>
      </w:pPr>
      <w:r>
        <w:rPr>
          <w:rFonts w:ascii="Arial" w:cs="Arial" w:eastAsia="Arial" w:hAnsi="Arial"/>
          <w:color w:val="1F2937"/>
          <w:sz w:val="22"/>
          <w:szCs w:val="22"/>
        </w:rPr>
        <w:t xml:space="preserve">These are ongoing improvements rather than one-time refactors. Document the daemon and bridge incrementally as they are used. Add JSDoc to store functions as they are modified. Introduce the migration runner before the next major schema change rather than retrofitting it to the full history.</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3460" w:sz="16"/>
              <w:bottom w:val="none" w:color="FFFFFF" w:sz="0"/>
              <w:right w:val="none" w:color="FFFFFF" w:sz="0"/>
            </w:tcBorders>
            <w:shd w:fill="F2F4F8" w:val="clear"/>
            <w:tcMar>
              <w:top w:type="dxa" w:w="100"/>
              <w:left w:type="dxa" w:w="200"/>
              <w:bottom w:type="dxa" w:w="100"/>
              <w:right w:type="dxa" w:w="200"/>
            </w:tcMar>
          </w:tcPr>
          <w:p>
            <w:pPr>
              <w:spacing w:after="60" w:before="0"/>
            </w:pPr>
            <w:r>
              <w:rPr>
                <w:rFonts w:ascii="Arial" w:cs="Arial" w:eastAsia="Arial" w:hAnsi="Arial"/>
                <w:b/>
                <w:bCs/>
                <w:color w:val="0F3460"/>
                <w:sz w:val="20"/>
                <w:szCs w:val="20"/>
              </w:rPr>
              <w:t xml:space="preserve">Task Scoping Best Practice for AI Agents</w:t>
            </w:r>
          </w:p>
          <w:p>
            <w:pPr>
              <w:spacing w:after="0" w:before="0"/>
            </w:pPr>
            <w:r>
              <w:rPr>
                <w:rFonts w:ascii="Arial" w:cs="Arial" w:eastAsia="Arial" w:hAnsi="Arial"/>
                <w:color w:val="1F2937"/>
                <w:sz w:val="20"/>
                <w:szCs w:val="20"/>
              </w:rPr>
              <w:t xml:space="preserve">For each refactoring task assigned to an AI agent, scope the task to a single file or a single domain. "Split routes/acquire.js into acquire/web.js and acquire/youtube.js" is a well-scoped task. "Refactor the backend" is not. The smaller the working set, the less context the agent needs, and the lower the probability of regressions.</w:t>
            </w:r>
          </w:p>
        </w:tc>
      </w:tr>
    </w:tbl>
    <w:p>
      <w:pPr>
        <w:spacing w:after="100" w:before="200"/>
      </w:pPr>
      <w:r>
        <w:t xml:space="preserve"/>
      </w:r>
    </w:p>
    <w:p>
      <w:pPr>
        <w:pBdr>
          <w:bottom w:val="single" w:color="E94560" w:sz="4" w:space="1"/>
        </w:pBdr>
        <w:spacing w:after="200" w:before="200"/>
      </w:pPr>
      <w:r>
        <w:t xml:space="preserve"/>
      </w:r>
    </w:p>
    <w:p>
      <w:pPr>
        <w:spacing w:after="2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left"/>
            </w:pPr>
            <w:r>
              <w:rPr>
                <w:rFonts w:ascii="Arial" w:cs="Arial" w:eastAsia="Arial" w:hAnsi="Arial"/>
                <w:b/>
                <w:bCs/>
                <w:color w:val="E94560"/>
                <w:sz w:val="32"/>
                <w:szCs w:val="32"/>
              </w:rPr>
              <w:t xml:space="preserve">07  </w:t>
            </w:r>
            <w:r>
              <w:rPr>
                <w:rFonts w:ascii="Arial" w:cs="Arial" w:eastAsia="Arial" w:hAnsi="Arial"/>
                <w:b/>
                <w:bCs/>
                <w:color w:val="FFFFFF"/>
                <w:sz w:val="32"/>
                <w:szCs w:val="32"/>
              </w:rPr>
              <w:t xml:space="preserve">Final Assessment</w:t>
            </w:r>
          </w:p>
        </w:tc>
      </w:tr>
    </w:tbl>
    <w:p>
      <w:pPr>
        <w:spacing w:after="100" w:before="160"/>
      </w:pPr>
      <w:r>
        <w:t xml:space="preserve"/>
      </w:r>
    </w:p>
    <w:p>
      <w:pPr>
        <w:spacing w:after="140" w:before="80"/>
      </w:pPr>
      <w:r>
        <w:rPr>
          <w:rFonts w:ascii="Arial" w:cs="Arial" w:eastAsia="Arial" w:hAnsi="Arial"/>
          <w:color w:val="1F2937"/>
          <w:sz w:val="22"/>
          <w:szCs w:val="22"/>
        </w:rPr>
        <w:t xml:space="preserve">StarCaster is not a broken codebase — it is an ambitious codebase that outgrew its original structure. The core architectural patterns (route registry, response envelope, project scoping, Supabase-first persistence) are sound. The AI agent infrastructure (skills, handoff doc, ai-daemon) is forward-thinking and genuinely differentiated.</w:t>
      </w:r>
    </w:p>
    <w:p>
      <w:pPr>
        <w:spacing w:after="60" w:before="80"/>
      </w:pPr>
      <w:r>
        <w:t xml:space="preserve"/>
      </w:r>
    </w:p>
    <w:p>
      <w:pPr>
        <w:spacing w:after="140" w:before="80"/>
      </w:pPr>
      <w:r>
        <w:rPr>
          <w:rFonts w:ascii="Arial" w:cs="Arial" w:eastAsia="Arial" w:hAnsi="Arial"/>
          <w:color w:val="1F2937"/>
          <w:sz w:val="22"/>
          <w:szCs w:val="22"/>
        </w:rPr>
        <w:t xml:space="preserve">The refactoring roadmap above is not a rewrite. It is a series of targeted, reversible improvements that — taken together — will reduce average file size by an estimated 70%, eliminate naming ambiguity, establish a single source of truth for routes and stores, and give any AI coding agent a codebase it can navigate reliably within its context window.</w:t>
      </w:r>
    </w:p>
    <w:p>
      <w:pPr>
        <w:spacing w:after="60" w:before="80"/>
      </w:pPr>
      <w:r>
        <w:t xml:space="preserve"/>
      </w:r>
    </w:p>
    <w:p>
      <w:pPr>
        <w:spacing w:after="140" w:before="80"/>
      </w:pPr>
      <w:r>
        <w:rPr>
          <w:rFonts w:ascii="Arial" w:cs="Arial" w:eastAsia="Arial" w:hAnsi="Arial"/>
          <w:color w:val="1F2937"/>
          <w:sz w:val="22"/>
          <w:szCs w:val="22"/>
        </w:rPr>
        <w:t xml:space="preserve">The most important insight from this review: the context overload problem is not about AI agent capability — it is about file size and naming consistency. Fix the monolith and the naming drift, and the same AI agent will produce dramatically better results on the same tasks.</w:t>
      </w:r>
    </w:p>
    <w:p>
      <w:pPr>
        <w:spacing w:after="1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400"/>
              <w:bottom w:type="dxa" w:w="200"/>
              <w:right w:type="dxa" w:w="400"/>
            </w:tcMar>
          </w:tcPr>
          <w:p>
            <w:pPr>
              <w:jc w:val="center"/>
            </w:pPr>
            <w:r>
              <w:rPr>
                <w:rFonts w:ascii="Arial" w:cs="Arial" w:eastAsia="Arial" w:hAnsi="Arial"/>
                <w:b/>
                <w:bCs/>
                <w:color w:val="E94560"/>
                <w:sz w:val="40"/>
                <w:szCs w:val="40"/>
              </w:rPr>
              <w:t xml:space="preserve">StarCaster</w:t>
            </w:r>
          </w:p>
          <w:p>
            <w:pPr>
              <w:jc w:val="center"/>
            </w:pPr>
            <w:r>
              <w:rPr>
                <w:rFonts w:ascii="Arial" w:cs="Arial" w:eastAsia="Arial" w:hAnsi="Arial"/>
                <w:i/>
                <w:iCs/>
                <w:color w:val="FFFFFF"/>
                <w:sz w:val="24"/>
                <w:szCs w:val="24"/>
              </w:rPr>
              <w:t xml:space="preserve">Architecture Review complete. The stars are aligned — now let's build.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2026-05-04T20:44:36.828Z</dcterms:created>
  <dcterms:modified xsi:type="dcterms:W3CDTF">2026-05-04T20:44:36.828Z</dcterms:modified>
</cp:coreProperties>
</file>

<file path=docProps/custom.xml><?xml version="1.0" encoding="utf-8"?>
<Properties xmlns="http://schemas.openxmlformats.org/officeDocument/2006/custom-properties" xmlns:vt="http://schemas.openxmlformats.org/officeDocument/2006/docPropsVTypes"/>
</file>