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b/>
          <w:i w:val="0"/>
          <w:sz w:val="28"/>
        </w:rPr>
        <w:t>ArthroBrostrom 3D-CT anchor position — manuscript draft v0.1</w:t>
      </w:r>
    </w:p>
    <w:p>
      <w:pPr>
        <w:spacing w:line="240" w:lineRule="auto"/>
      </w:pPr>
      <w:r>
        <w:rPr>
          <w:b w:val="0"/>
          <w:i/>
          <w:sz w:val="18"/>
        </w:rPr>
        <w:t>Draft generated 2026-09-26 · for discussion between co-authors · not for submission</w:t>
      </w:r>
    </w:p>
    <w:p>
      <w:pPr>
        <w:spacing w:line="240" w:lineRule="auto"/>
      </w:pPr>
      <w:r>
        <w:rPr>
          <w:b/>
          <w:i w:val="0"/>
        </w:rPr>
        <w:t>How to read the highlights</w:t>
      </w:r>
    </w:p>
    <w:p>
      <w:pPr>
        <w:spacing w:line="240" w:lineRule="auto"/>
      </w:pPr>
      <w:r>
        <w:rPr>
          <w:b w:val="0"/>
          <w:i w:val="0"/>
          <w:sz w:val="20"/>
          <w:highlight w:val="yellow"/>
        </w:rPr>
        <w:t>[Yellow = information only the authors have (not written by the draft author; please fill in)]</w:t>
      </w:r>
    </w:p>
    <w:p>
      <w:pPr>
        <w:spacing w:line="240" w:lineRule="auto"/>
      </w:pPr>
      <w:r>
        <w:rPr>
          <w:b w:val="0"/>
          <w:i w:val="0"/>
          <w:sz w:val="20"/>
          <w:highlight w:val="cyan"/>
        </w:rPr>
        <w:t>Turquoise = a value or statement that differs from the congress abstract, or an interpretation that needs your confirmation</w:t>
      </w:r>
    </w:p>
    <w:p>
      <w:pPr>
        <w:spacing w:line="240" w:lineRule="auto"/>
      </w:pPr>
      <w:r>
        <w:rPr>
          <w:b w:val="0"/>
          <w:i w:val="0"/>
          <w:sz w:val="20"/>
        </w:rPr>
        <w:t>In the reference list, highlighted entries were added from general knowledge and have NOT been checked against an original; please send the PDF or confirm. Unhighlighted entries were taken verbatim from the reference list of Lee et al. (AJSM 2022). Every number in the tables is computed directly from “update ver2.5.xlsx” by script; no value was typed by hand.</w:t>
      </w:r>
    </w:p>
    <w:p>
      <w:pPr>
        <w:spacing w:line="240" w:lineRule="auto"/>
      </w:pPr>
      <w:r>
        <w:rPr>
          <w:b/>
          <w:i w:val="0"/>
          <w:sz w:val="24"/>
        </w:rPr>
        <w:t>저자 확인 요청 사항 (Author queries)</w:t>
      </w:r>
    </w:p>
    <w:tbl>
      <w:tblPr>
        <w:tblStyle w:val="TableGrid"/>
        <w:tblW w:type="auto" w:w="0"/>
        <w:jc w:val="center"/>
        <w:tblLook w:firstColumn="1" w:firstRow="1" w:lastColumn="0" w:lastRow="0" w:noHBand="0" w:noVBand="1" w:val="04A0"/>
      </w:tblPr>
      <w:tblGrid>
        <w:gridCol w:w="3024"/>
        <w:gridCol w:w="3024"/>
        <w:gridCol w:w="3024"/>
      </w:tblGrid>
      <w:tr>
        <w:tc>
          <w:tcPr>
            <w:tcW w:type="dxa" w:w="454"/>
          </w:tcPr>
          <w:p>
            <w:pPr>
              <w:spacing w:line="240" w:lineRule="auto" w:after="0"/>
            </w:pPr>
            <w:r/>
            <w:r>
              <w:rPr>
                <w:b/>
                <w:i w:val="0"/>
                <w:sz w:val="17"/>
              </w:rPr>
              <w:t>#</w:t>
            </w:r>
          </w:p>
        </w:tc>
        <w:tc>
          <w:tcPr>
            <w:tcW w:type="dxa" w:w="1814"/>
          </w:tcPr>
          <w:p>
            <w:pPr>
              <w:spacing w:line="240" w:lineRule="auto" w:after="0"/>
              <w:jc w:val="center"/>
            </w:pPr>
            <w:r/>
            <w:r>
              <w:rPr>
                <w:b/>
                <w:i w:val="0"/>
                <w:sz w:val="17"/>
              </w:rPr>
              <w:t>Item</w:t>
            </w:r>
          </w:p>
        </w:tc>
        <w:tc>
          <w:tcPr>
            <w:tcW w:type="dxa" w:w="6803"/>
          </w:tcPr>
          <w:p>
            <w:pPr>
              <w:spacing w:line="240" w:lineRule="auto" w:after="0"/>
              <w:jc w:val="center"/>
            </w:pPr>
            <w:r/>
            <w:r>
              <w:rPr>
                <w:b/>
                <w:i w:val="0"/>
                <w:sz w:val="17"/>
              </w:rPr>
              <w:t>내용</w:t>
            </w:r>
          </w:p>
        </w:tc>
      </w:tr>
      <w:tr>
        <w:tc>
          <w:tcPr>
            <w:tcW w:type="dxa" w:w="454"/>
          </w:tcPr>
          <w:p>
            <w:pPr>
              <w:spacing w:line="240" w:lineRule="auto" w:after="0"/>
            </w:pPr>
            <w:r/>
            <w:r>
              <w:rPr>
                <w:b w:val="0"/>
                <w:i w:val="0"/>
                <w:sz w:val="17"/>
              </w:rPr>
              <w:t>1</w:t>
            </w:r>
          </w:p>
        </w:tc>
        <w:tc>
          <w:tcPr>
            <w:tcW w:type="dxa" w:w="1814"/>
          </w:tcPr>
          <w:p>
            <w:pPr>
              <w:spacing w:line="240" w:lineRule="auto" w:after="0"/>
              <w:jc w:val="center"/>
            </w:pPr>
            <w:r/>
            <w:r>
              <w:rPr>
                <w:b w:val="0"/>
                <w:i w:val="0"/>
                <w:sz w:val="17"/>
              </w:rPr>
              <w:t>Cohort / 81 ankles</w:t>
            </w:r>
          </w:p>
        </w:tc>
        <w:tc>
          <w:tcPr>
            <w:tcW w:type="dxa" w:w="6803"/>
          </w:tcPr>
          <w:p>
            <w:pPr>
              <w:spacing w:line="240" w:lineRule="auto" w:after="0"/>
              <w:jc w:val="center"/>
            </w:pPr>
            <w:r/>
            <w:r>
              <w:rPr>
                <w:b w:val="0"/>
                <w:i w:val="0"/>
                <w:sz w:val="17"/>
              </w:rPr>
              <w:t>81례 = Sheet1에서 CT anchor 비율이 있는 증례 중 2025년 이전 수술례(No.1–94 중 CT/설문 결측 13례 제외). 동일 등록번호 환자(No.72, No.80)가 양측 수술 → 80명 81례로 확인됨. 이 정의가 맞는지 확인 부탁드립니다. 또한 전체 수술 환자 수와 제외 사유별 인원(flow chart용)이 필요합니다.</w:t>
            </w:r>
          </w:p>
        </w:tc>
      </w:tr>
      <w:tr>
        <w:tc>
          <w:tcPr>
            <w:tcW w:type="dxa" w:w="454"/>
          </w:tcPr>
          <w:p>
            <w:pPr>
              <w:spacing w:line="240" w:lineRule="auto" w:after="0"/>
            </w:pPr>
            <w:r/>
            <w:r>
              <w:rPr>
                <w:b w:val="0"/>
                <w:i w:val="0"/>
                <w:sz w:val="17"/>
              </w:rPr>
              <w:t>2</w:t>
            </w:r>
          </w:p>
        </w:tc>
        <w:tc>
          <w:tcPr>
            <w:tcW w:type="dxa" w:w="1814"/>
          </w:tcPr>
          <w:p>
            <w:pPr>
              <w:spacing w:line="240" w:lineRule="auto" w:after="0"/>
              <w:jc w:val="center"/>
            </w:pPr>
            <w:r/>
            <w:r>
              <w:rPr>
                <w:b w:val="0"/>
                <w:i w:val="0"/>
                <w:sz w:val="17"/>
              </w:rPr>
              <w:t>2-year follow-up</w:t>
            </w:r>
          </w:p>
        </w:tc>
        <w:tc>
          <w:tcPr>
            <w:tcW w:type="dxa" w:w="6803"/>
          </w:tcPr>
          <w:p>
            <w:pPr>
              <w:spacing w:line="240" w:lineRule="auto" w:after="0"/>
              <w:jc w:val="center"/>
            </w:pPr>
            <w:r/>
            <w:r>
              <w:rPr>
                <w:b w:val="0"/>
                <w:i w:val="0"/>
                <w:sz w:val="17"/>
              </w:rPr>
              <w:t>No.94 (수술일 2024-12-31)는 오늘(2026-09-26) 기준 약 21개월로, “최소 2년 추시” 조건을 만족하지 않습니다. 최종 설문을 언제 받았는지, 포함 유지 여부를 알려주세요. 또한 No.93(2024-09-24)은 정확히 2년입니다.</w:t>
            </w:r>
          </w:p>
        </w:tc>
      </w:tr>
      <w:tr>
        <w:tc>
          <w:tcPr>
            <w:tcW w:type="dxa" w:w="454"/>
          </w:tcPr>
          <w:p>
            <w:pPr>
              <w:spacing w:line="240" w:lineRule="auto" w:after="0"/>
            </w:pPr>
            <w:r/>
            <w:r>
              <w:rPr>
                <w:b w:val="0"/>
                <w:i w:val="0"/>
                <w:sz w:val="17"/>
              </w:rPr>
              <w:t>3</w:t>
            </w:r>
          </w:p>
        </w:tc>
        <w:tc>
          <w:tcPr>
            <w:tcW w:type="dxa" w:w="1814"/>
          </w:tcPr>
          <w:p>
            <w:pPr>
              <w:spacing w:line="240" w:lineRule="auto" w:after="0"/>
              <w:jc w:val="center"/>
            </w:pPr>
            <w:r/>
            <w:r>
              <w:rPr>
                <w:b w:val="0"/>
                <w:i w:val="0"/>
                <w:sz w:val="17"/>
              </w:rPr>
              <w:t>Follow-up period</w:t>
            </w:r>
          </w:p>
        </w:tc>
        <w:tc>
          <w:tcPr>
            <w:tcW w:type="dxa" w:w="6803"/>
          </w:tcPr>
          <w:p>
            <w:pPr>
              <w:spacing w:line="240" w:lineRule="auto" w:after="0"/>
              <w:jc w:val="center"/>
            </w:pPr>
            <w:r/>
            <w:r>
              <w:rPr>
                <w:b w:val="0"/>
                <w:i w:val="0"/>
                <w:sz w:val="17"/>
              </w:rPr>
              <w:t>엑셀의 “Last F/U” 날짜는 외래 방문일로 보이며 수술 후 수개월인 경우가 많아, 최종 설문(PROM) 시행일로 보기 어렵습니다. 각 증례의 최종 설문 시행일(또는 평균/범위 추시기간)과 설문 방법(외래/전화/우편)을 알려주세요.</w:t>
            </w:r>
          </w:p>
        </w:tc>
      </w:tr>
      <w:tr>
        <w:tc>
          <w:tcPr>
            <w:tcW w:type="dxa" w:w="454"/>
          </w:tcPr>
          <w:p>
            <w:pPr>
              <w:spacing w:line="240" w:lineRule="auto" w:after="0"/>
            </w:pPr>
            <w:r/>
            <w:r>
              <w:rPr>
                <w:b w:val="0"/>
                <w:i w:val="0"/>
                <w:sz w:val="17"/>
              </w:rPr>
              <w:t>4</w:t>
            </w:r>
          </w:p>
        </w:tc>
        <w:tc>
          <w:tcPr>
            <w:tcW w:type="dxa" w:w="1814"/>
          </w:tcPr>
          <w:p>
            <w:pPr>
              <w:spacing w:line="240" w:lineRule="auto" w:after="0"/>
              <w:jc w:val="center"/>
            </w:pPr>
            <w:r/>
            <w:r>
              <w:rPr>
                <w:b w:val="0"/>
                <w:i w:val="0"/>
                <w:sz w:val="17"/>
              </w:rPr>
              <w:t>Tegner (변경됨)</w:t>
            </w:r>
          </w:p>
        </w:tc>
        <w:tc>
          <w:tcPr>
            <w:tcW w:type="dxa" w:w="6803"/>
          </w:tcPr>
          <w:p>
            <w:pPr>
              <w:spacing w:line="240" w:lineRule="auto" w:after="0"/>
              <w:jc w:val="center"/>
            </w:pPr>
            <w:r/>
            <w:r>
              <w:rPr>
                <w:b w:val="0"/>
                <w:i w:val="0"/>
                <w:sz w:val="17"/>
              </w:rPr>
              <w:t>현재 데이터: Tegner 6.27 ± 1.63 → 6.56 ± 1.43, Wilcoxon P = .005. 유지/향상 71례 (87.7%): 향상 26, 유지 45, 감소 10. 초록의 “68예 (87.7%)”는 68/81=84.0%로 계산이 맞지 않아, 71/81=87.7%가 맞는 것으로 보입니다.</w:t>
            </w:r>
          </w:p>
        </w:tc>
      </w:tr>
      <w:tr>
        <w:tc>
          <w:tcPr>
            <w:tcW w:type="dxa" w:w="454"/>
          </w:tcPr>
          <w:p>
            <w:pPr>
              <w:spacing w:line="240" w:lineRule="auto" w:after="0"/>
            </w:pPr>
            <w:r/>
            <w:r>
              <w:rPr>
                <w:b w:val="0"/>
                <w:i w:val="0"/>
                <w:sz w:val="17"/>
              </w:rPr>
              <w:t>5</w:t>
            </w:r>
          </w:p>
        </w:tc>
        <w:tc>
          <w:tcPr>
            <w:tcW w:type="dxa" w:w="1814"/>
          </w:tcPr>
          <w:p>
            <w:pPr>
              <w:spacing w:line="240" w:lineRule="auto" w:after="0"/>
              <w:jc w:val="center"/>
            </w:pPr>
            <w:r/>
            <w:r>
              <w:rPr>
                <w:b w:val="0"/>
                <w:i w:val="0"/>
                <w:sz w:val="17"/>
              </w:rPr>
              <w:t>FFI 사후분석 (중요)</w:t>
            </w:r>
          </w:p>
        </w:tc>
        <w:tc>
          <w:tcPr>
            <w:tcW w:type="dxa" w:w="6803"/>
          </w:tcPr>
          <w:p>
            <w:pPr>
              <w:spacing w:line="240" w:lineRule="auto" w:after="0"/>
              <w:jc w:val="center"/>
            </w:pPr>
            <w:r/>
            <w:r>
              <w:rPr>
                <w:b w:val="0"/>
                <w:i w:val="0"/>
                <w:sz w:val="17"/>
              </w:rPr>
              <w:t>초록에는 “다중비교 보정 후 유의하지 않음”으로 되어 있으나, 현재 데이터로 Kruskal–Wallis P = .041, 사후 Mann–Whitney 해부학적 vs 준해부학적 P = .011 (Bonferroni 기준 P &lt; .017에서도 유의), Dunn–Bonferroni 보정 P = .035로 여전히 유의합니다. 초록에서 사용한 보정 방법(예: 전체 결과변수 수로 보정)을 알려주시면 그에 맞춰 수정하겠습니다. 본문은 현재 계산값 그대로 기술했습니다.</w:t>
            </w:r>
          </w:p>
        </w:tc>
      </w:tr>
      <w:tr>
        <w:tc>
          <w:tcPr>
            <w:tcW w:type="dxa" w:w="454"/>
          </w:tcPr>
          <w:p>
            <w:pPr>
              <w:spacing w:line="240" w:lineRule="auto" w:after="0"/>
            </w:pPr>
            <w:r/>
            <w:r>
              <w:rPr>
                <w:b w:val="0"/>
                <w:i w:val="0"/>
                <w:sz w:val="17"/>
              </w:rPr>
              <w:t>6</w:t>
            </w:r>
          </w:p>
        </w:tc>
        <w:tc>
          <w:tcPr>
            <w:tcW w:type="dxa" w:w="1814"/>
          </w:tcPr>
          <w:p>
            <w:pPr>
              <w:spacing w:line="240" w:lineRule="auto" w:after="0"/>
              <w:jc w:val="center"/>
            </w:pPr>
            <w:r/>
            <w:r>
              <w:rPr>
                <w:b w:val="0"/>
                <w:i w:val="0"/>
                <w:sz w:val="17"/>
              </w:rPr>
              <w:t>“3차원 CT 분석”의 의미</w:t>
            </w:r>
          </w:p>
        </w:tc>
        <w:tc>
          <w:tcPr>
            <w:tcW w:type="dxa" w:w="6803"/>
          </w:tcPr>
          <w:p>
            <w:pPr>
              <w:spacing w:line="240" w:lineRule="auto" w:after="0"/>
              <w:jc w:val="center"/>
            </w:pPr>
            <w:r/>
            <w:r>
              <w:rPr>
                <w:b w:val="0"/>
                <w:i w:val="0"/>
                <w:sz w:val="17"/>
              </w:rPr>
              <w:t>초록의 “3차원 CT 분석에서는 유의하지 않았다”를 anchor 비율(연속변수)과 FFI의 Spearman 상관(ρ = -0.14, P = .217)으로 해석했습니다. 다른 분석이었다면 알려주세요.</w:t>
            </w:r>
          </w:p>
        </w:tc>
      </w:tr>
      <w:tr>
        <w:tc>
          <w:tcPr>
            <w:tcW w:type="dxa" w:w="454"/>
          </w:tcPr>
          <w:p>
            <w:pPr>
              <w:spacing w:line="240" w:lineRule="auto" w:after="0"/>
            </w:pPr>
            <w:r/>
            <w:r>
              <w:rPr>
                <w:b w:val="0"/>
                <w:i w:val="0"/>
                <w:sz w:val="17"/>
              </w:rPr>
              <w:t>7</w:t>
            </w:r>
          </w:p>
        </w:tc>
        <w:tc>
          <w:tcPr>
            <w:tcW w:type="dxa" w:w="1814"/>
          </w:tcPr>
          <w:p>
            <w:pPr>
              <w:spacing w:line="240" w:lineRule="auto" w:after="0"/>
              <w:jc w:val="center"/>
            </w:pPr>
            <w:r/>
            <w:r>
              <w:rPr>
                <w:b w:val="0"/>
                <w:i w:val="0"/>
                <w:sz w:val="17"/>
              </w:rPr>
              <w:t>통계 방법/프로그램</w:t>
            </w:r>
          </w:p>
        </w:tc>
        <w:tc>
          <w:tcPr>
            <w:tcW w:type="dxa" w:w="6803"/>
          </w:tcPr>
          <w:p>
            <w:pPr>
              <w:spacing w:line="240" w:lineRule="auto" w:after="0"/>
              <w:jc w:val="center"/>
            </w:pPr>
            <w:r/>
            <w:r>
              <w:rPr>
                <w:b w:val="0"/>
                <w:i w:val="0"/>
                <w:sz w:val="17"/>
              </w:rPr>
              <w:t>본 초안은 Lee et al.과 동일한 비모수 방법(Kruskal–Wallis, Wilcoxon signed-rank, Mann–Whitney U post hoc with P &lt; .017, χ² test)과 Spearman 상관을 Python (SciPy 1.17)으로 계산했습니다. 초록 수치(VAS/KP/AOFAS)는 정확히 재현되었습니다. 실제 사용한 프로그램(SPSS 등)과 검정법을 알려주세요. 사전 검정력 분석(power analysis) 여부도 필요합니다.</w:t>
            </w:r>
          </w:p>
        </w:tc>
      </w:tr>
      <w:tr>
        <w:tc>
          <w:tcPr>
            <w:tcW w:type="dxa" w:w="454"/>
          </w:tcPr>
          <w:p>
            <w:pPr>
              <w:spacing w:line="240" w:lineRule="auto" w:after="0"/>
            </w:pPr>
            <w:r/>
            <w:r>
              <w:rPr>
                <w:b w:val="0"/>
                <w:i w:val="0"/>
                <w:sz w:val="17"/>
              </w:rPr>
              <w:t>8</w:t>
            </w:r>
          </w:p>
        </w:tc>
        <w:tc>
          <w:tcPr>
            <w:tcW w:type="dxa" w:w="1814"/>
          </w:tcPr>
          <w:p>
            <w:pPr>
              <w:spacing w:line="240" w:lineRule="auto" w:after="0"/>
              <w:jc w:val="center"/>
            </w:pPr>
            <w:r/>
            <w:r>
              <w:rPr>
                <w:b w:val="0"/>
                <w:i w:val="0"/>
                <w:sz w:val="17"/>
              </w:rPr>
              <w:t>수술 방법</w:t>
            </w:r>
          </w:p>
        </w:tc>
        <w:tc>
          <w:tcPr>
            <w:tcW w:type="dxa" w:w="6803"/>
          </w:tcPr>
          <w:p>
            <w:pPr>
              <w:spacing w:line="240" w:lineRule="auto" w:after="0"/>
              <w:jc w:val="center"/>
            </w:pPr>
            <w:r/>
            <w:r>
              <w:rPr>
                <w:b w:val="0"/>
                <w:i w:val="0"/>
                <w:sz w:val="17"/>
              </w:rPr>
              <w:t>수술 기법 전체가 필요합니다: 마취/체위, portal, arthroscope, anchor 종류·크기·개수(엑셀 메모에 “Arthrex anchor”, “IER reinforce” 언급), ATFL 봉합 방법, IER(Gould) 보강 여부(전례 시행?), CFL 처리, 동반 술식(OLT, impingement 등), 집도의 수(단일 술자?).</w:t>
            </w:r>
          </w:p>
        </w:tc>
      </w:tr>
      <w:tr>
        <w:tc>
          <w:tcPr>
            <w:tcW w:type="dxa" w:w="454"/>
          </w:tcPr>
          <w:p>
            <w:pPr>
              <w:spacing w:line="240" w:lineRule="auto" w:after="0"/>
            </w:pPr>
            <w:r/>
            <w:r>
              <w:rPr>
                <w:b w:val="0"/>
                <w:i w:val="0"/>
                <w:sz w:val="17"/>
              </w:rPr>
              <w:t>9</w:t>
            </w:r>
          </w:p>
        </w:tc>
        <w:tc>
          <w:tcPr>
            <w:tcW w:type="dxa" w:w="1814"/>
          </w:tcPr>
          <w:p>
            <w:pPr>
              <w:spacing w:line="240" w:lineRule="auto" w:after="0"/>
              <w:jc w:val="center"/>
            </w:pPr>
            <w:r/>
            <w:r>
              <w:rPr>
                <w:b w:val="0"/>
                <w:i w:val="0"/>
                <w:sz w:val="17"/>
              </w:rPr>
              <w:t>재활</w:t>
            </w:r>
          </w:p>
        </w:tc>
        <w:tc>
          <w:tcPr>
            <w:tcW w:type="dxa" w:w="6803"/>
          </w:tcPr>
          <w:p>
            <w:pPr>
              <w:spacing w:line="240" w:lineRule="auto" w:after="0"/>
              <w:jc w:val="center"/>
            </w:pPr>
            <w:r/>
            <w:r>
              <w:rPr>
                <w:b w:val="0"/>
                <w:i w:val="0"/>
                <w:sz w:val="17"/>
              </w:rPr>
              <w:t>술후 고정 기간, 체중부하 시작 시점, 운동 복귀 시점 등 재활 프로토콜.</w:t>
            </w:r>
          </w:p>
        </w:tc>
      </w:tr>
      <w:tr>
        <w:tc>
          <w:tcPr>
            <w:tcW w:type="dxa" w:w="454"/>
          </w:tcPr>
          <w:p>
            <w:pPr>
              <w:spacing w:line="240" w:lineRule="auto" w:after="0"/>
            </w:pPr>
            <w:r/>
            <w:r>
              <w:rPr>
                <w:b w:val="0"/>
                <w:i w:val="0"/>
                <w:sz w:val="17"/>
              </w:rPr>
              <w:t>10</w:t>
            </w:r>
          </w:p>
        </w:tc>
        <w:tc>
          <w:tcPr>
            <w:tcW w:type="dxa" w:w="1814"/>
          </w:tcPr>
          <w:p>
            <w:pPr>
              <w:spacing w:line="240" w:lineRule="auto" w:after="0"/>
              <w:jc w:val="center"/>
            </w:pPr>
            <w:r/>
            <w:r>
              <w:rPr>
                <w:b w:val="0"/>
                <w:i w:val="0"/>
                <w:sz w:val="17"/>
              </w:rPr>
              <w:t>CT 측정</w:t>
            </w:r>
          </w:p>
        </w:tc>
        <w:tc>
          <w:tcPr>
            <w:tcW w:type="dxa" w:w="6803"/>
          </w:tcPr>
          <w:p>
            <w:pPr>
              <w:spacing w:line="240" w:lineRule="auto" w:after="0"/>
              <w:jc w:val="center"/>
            </w:pPr>
            <w:r/>
            <w:r>
              <w:rPr>
                <w:b w:val="0"/>
                <w:i w:val="0"/>
                <w:sz w:val="17"/>
              </w:rPr>
              <w:t>CT 촬영 시점(술후 며칠), 장비, 3D 재구성 소프트웨어, 측정자(몇 명, 맹검 여부), 측정 신뢰도(ICC/kappa).</w:t>
            </w:r>
          </w:p>
        </w:tc>
      </w:tr>
      <w:tr>
        <w:tc>
          <w:tcPr>
            <w:tcW w:type="dxa" w:w="454"/>
          </w:tcPr>
          <w:p>
            <w:pPr>
              <w:spacing w:line="240" w:lineRule="auto" w:after="0"/>
            </w:pPr>
            <w:r/>
            <w:r>
              <w:rPr>
                <w:b w:val="0"/>
                <w:i w:val="0"/>
                <w:sz w:val="17"/>
              </w:rPr>
              <w:t>11</w:t>
            </w:r>
          </w:p>
        </w:tc>
        <w:tc>
          <w:tcPr>
            <w:tcW w:type="dxa" w:w="1814"/>
          </w:tcPr>
          <w:p>
            <w:pPr>
              <w:spacing w:line="240" w:lineRule="auto" w:after="0"/>
              <w:jc w:val="center"/>
            </w:pPr>
            <w:r/>
            <w:r>
              <w:rPr>
                <w:b w:val="0"/>
                <w:i w:val="0"/>
                <w:sz w:val="17"/>
              </w:rPr>
              <w:t>스트레스 방사선</w:t>
            </w:r>
          </w:p>
        </w:tc>
        <w:tc>
          <w:tcPr>
            <w:tcW w:type="dxa" w:w="6803"/>
          </w:tcPr>
          <w:p>
            <w:pPr>
              <w:spacing w:line="240" w:lineRule="auto" w:after="0"/>
              <w:jc w:val="center"/>
            </w:pPr>
            <w:r/>
            <w:r>
              <w:rPr>
                <w:b w:val="0"/>
                <w:i w:val="0"/>
                <w:sz w:val="17"/>
              </w:rPr>
              <w:t>장비(Telos 등)·하중(N)·측정 방법, 술전 촬영 시점, 최종 촬영 시점. 참고: 술전 전방전위가 건측과 거의 차이가 없습니다(환측−건측 평균 0.52 mm). 측정 방법 확인이 필요합니다. 최종 스트레스 사진이 없는 9례(각 군 2/2/5)가 있습니다.</w:t>
            </w:r>
          </w:p>
        </w:tc>
      </w:tr>
      <w:tr>
        <w:tc>
          <w:tcPr>
            <w:tcW w:type="dxa" w:w="454"/>
          </w:tcPr>
          <w:p>
            <w:pPr>
              <w:spacing w:line="240" w:lineRule="auto" w:after="0"/>
            </w:pPr>
            <w:r/>
            <w:r>
              <w:rPr>
                <w:b w:val="0"/>
                <w:i w:val="0"/>
                <w:sz w:val="17"/>
              </w:rPr>
              <w:t>12</w:t>
            </w:r>
          </w:p>
        </w:tc>
        <w:tc>
          <w:tcPr>
            <w:tcW w:type="dxa" w:w="1814"/>
          </w:tcPr>
          <w:p>
            <w:pPr>
              <w:spacing w:line="240" w:lineRule="auto" w:after="0"/>
              <w:jc w:val="center"/>
            </w:pPr>
            <w:r/>
            <w:r>
              <w:rPr>
                <w:b w:val="0"/>
                <w:i w:val="0"/>
                <w:sz w:val="17"/>
              </w:rPr>
              <w:t>점수 정의</w:t>
            </w:r>
          </w:p>
        </w:tc>
        <w:tc>
          <w:tcPr>
            <w:tcW w:type="dxa" w:w="6803"/>
          </w:tcPr>
          <w:p>
            <w:pPr>
              <w:spacing w:line="240" w:lineRule="auto" w:after="0"/>
              <w:jc w:val="center"/>
            </w:pPr>
            <w:r/>
            <w:r>
              <w:rPr>
                <w:b w:val="0"/>
                <w:i w:val="0"/>
                <w:sz w:val="17"/>
              </w:rPr>
              <w:t>FAOS 총점 = 5개 하위척도의 평균으로 계산되어 있습니다(원래 FAOS는 총점을 정의하지 않음). No.51은 FAOS 총점만 있고 하위척도가 없습니다. EQ-5D-5L은 5–11의 값으로, 효용지수가 아닌 5개 차원 수준의 합(5 = 최상)으로 보입니다 → 한국형 가치세트로 index 변환할지 결정 필요. Karlsson-Peterson/AOFAS/FFI/FAAM은 한국어 번역판 사용 여부와 해당 인용문헌.</w:t>
            </w:r>
          </w:p>
        </w:tc>
      </w:tr>
      <w:tr>
        <w:tc>
          <w:tcPr>
            <w:tcW w:type="dxa" w:w="454"/>
          </w:tcPr>
          <w:p>
            <w:pPr>
              <w:spacing w:line="240" w:lineRule="auto" w:after="0"/>
            </w:pPr>
            <w:r/>
            <w:r>
              <w:rPr>
                <w:b w:val="0"/>
                <w:i w:val="0"/>
                <w:sz w:val="17"/>
              </w:rPr>
              <w:t>13</w:t>
            </w:r>
          </w:p>
        </w:tc>
        <w:tc>
          <w:tcPr>
            <w:tcW w:type="dxa" w:w="1814"/>
          </w:tcPr>
          <w:p>
            <w:pPr>
              <w:spacing w:line="240" w:lineRule="auto" w:after="0"/>
              <w:jc w:val="center"/>
            </w:pPr>
            <w:r/>
            <w:r>
              <w:rPr>
                <w:b w:val="0"/>
                <w:i w:val="0"/>
                <w:sz w:val="17"/>
              </w:rPr>
              <w:t>포함/제외 기준, IRB</w:t>
            </w:r>
          </w:p>
        </w:tc>
        <w:tc>
          <w:tcPr>
            <w:tcW w:type="dxa" w:w="6803"/>
          </w:tcPr>
          <w:p>
            <w:pPr>
              <w:spacing w:line="240" w:lineRule="auto" w:after="0"/>
              <w:jc w:val="center"/>
            </w:pPr>
            <w:r/>
            <w:r>
              <w:rPr>
                <w:b w:val="0"/>
                <w:i w:val="0"/>
                <w:sz w:val="17"/>
              </w:rPr>
              <w:t>포함/제외 기준, IRB 승인번호, 동의서 면제 여부, 연구기관명(경희대학교병원/강동경희대병원 등), 저자 영문 이름.</w:t>
            </w:r>
          </w:p>
        </w:tc>
      </w:tr>
      <w:tr>
        <w:tc>
          <w:tcPr>
            <w:tcW w:type="dxa" w:w="454"/>
          </w:tcPr>
          <w:p>
            <w:pPr>
              <w:spacing w:line="240" w:lineRule="auto" w:after="0"/>
            </w:pPr>
            <w:r/>
            <w:r>
              <w:rPr>
                <w:b w:val="0"/>
                <w:i w:val="0"/>
                <w:sz w:val="17"/>
              </w:rPr>
              <w:t>14</w:t>
            </w:r>
          </w:p>
        </w:tc>
        <w:tc>
          <w:tcPr>
            <w:tcW w:type="dxa" w:w="1814"/>
          </w:tcPr>
          <w:p>
            <w:pPr>
              <w:spacing w:line="240" w:lineRule="auto" w:after="0"/>
              <w:jc w:val="center"/>
            </w:pPr>
            <w:r/>
            <w:r>
              <w:rPr>
                <w:b w:val="0"/>
                <w:i w:val="0"/>
                <w:sz w:val="17"/>
              </w:rPr>
              <w:t>대상 학술지</w:t>
            </w:r>
          </w:p>
        </w:tc>
        <w:tc>
          <w:tcPr>
            <w:tcW w:type="dxa" w:w="6803"/>
          </w:tcPr>
          <w:p>
            <w:pPr>
              <w:spacing w:line="240" w:lineRule="auto" w:after="0"/>
              <w:jc w:val="center"/>
            </w:pPr>
            <w:r/>
            <w:r>
              <w:rPr>
                <w:b w:val="0"/>
                <w:i w:val="0"/>
                <w:sz w:val="17"/>
              </w:rPr>
              <w:t>투고 예정 학술지(영문/국문, 분량·참고문헌 양식)를 알려주시면 형식을 맞추겠습니다. 현재는 영문 AJSM/FAI 스타일(Vancouver 번호식)로 작성했습니다.</w:t>
            </w:r>
          </w:p>
        </w:tc>
      </w:tr>
      <w:tr>
        <w:tc>
          <w:tcPr>
            <w:tcW w:type="dxa" w:w="454"/>
          </w:tcPr>
          <w:p>
            <w:pPr>
              <w:spacing w:line="240" w:lineRule="auto" w:after="0"/>
            </w:pPr>
            <w:r/>
            <w:r>
              <w:rPr>
                <w:b w:val="0"/>
                <w:i w:val="0"/>
                <w:sz w:val="17"/>
              </w:rPr>
              <w:t>15</w:t>
            </w:r>
          </w:p>
        </w:tc>
        <w:tc>
          <w:tcPr>
            <w:tcW w:type="dxa" w:w="1814"/>
          </w:tcPr>
          <w:p>
            <w:pPr>
              <w:spacing w:line="240" w:lineRule="auto" w:after="0"/>
              <w:jc w:val="center"/>
            </w:pPr>
            <w:r/>
            <w:r>
              <w:rPr>
                <w:b w:val="0"/>
                <w:i w:val="0"/>
                <w:sz w:val="17"/>
              </w:rPr>
              <w:t>필요 문헌 원문</w:t>
            </w:r>
          </w:p>
        </w:tc>
        <w:tc>
          <w:tcPr>
            <w:tcW w:type="dxa" w:w="6803"/>
          </w:tcPr>
          <w:p>
            <w:pPr>
              <w:spacing w:line="240" w:lineRule="auto" w:after="0"/>
              <w:jc w:val="center"/>
            </w:pPr>
            <w:r/>
            <w:r>
              <w:rPr>
                <w:b w:val="0"/>
                <w:i w:val="0"/>
                <w:sz w:val="17"/>
              </w:rPr>
              <w:t>아래 참고문헌 중 하이라이트된 항목의 원문 PDF, 그리고 가능하면: (1) Lee et al. 2022 이후 anchor 위치/비해부학적 봉합 관련 임상 연구, (2) 관절경적 변형 브로스트롬(IER 보강 포함) 장기 추시 연구, (3) 한국어판 FAOS/FAAM/FFI/EQ-5D 타당도 논문, (4) Karlsson score 원저. 이 원문을 받으면 Discussion을 보강하겠습니다.</w:t>
            </w:r>
          </w:p>
        </w:tc>
      </w:tr>
    </w:tbl>
    <w:p>
      <w:r>
        <w:br w:type="page"/>
      </w:r>
    </w:p>
    <w:p>
      <w:pPr>
        <w:jc w:val="center"/>
      </w:pPr>
      <w:r>
        <w:rPr>
          <w:b w:val="0"/>
          <w:i/>
        </w:rPr>
        <w:t>Original Article</w:t>
      </w:r>
    </w:p>
    <w:p>
      <w:pPr>
        <w:jc w:val="center"/>
      </w:pPr>
      <w:r>
        <w:rPr>
          <w:b/>
          <w:i w:val="0"/>
          <w:sz w:val="28"/>
        </w:rPr>
        <w:t>Clinical and Radiologic Outcomes of Arthroscopic Modified Broström Procedure According to Fibular Anchor Position: A 3-Dimensional Computed Tomography–Based Analysis With a Minimum 2-Year Follow-up</w:t>
      </w:r>
    </w:p>
    <w:p>
      <w:pPr>
        <w:jc w:val="center"/>
      </w:pPr>
      <w:r>
        <w:rPr>
          <w:b w:val="0"/>
          <w:i w:val="0"/>
          <w:sz w:val="20"/>
        </w:rPr>
        <w:t>Running title: Anchor position in arthroscopic modified Broström procedure</w:t>
      </w:r>
    </w:p>
    <w:p>
      <w:pPr>
        <w:jc w:val="center"/>
      </w:pPr>
      <w:r>
        <w:rPr>
          <w:b w:val="0"/>
          <w:i w:val="0"/>
          <w:highlight w:val="yellow"/>
        </w:rPr>
        <w:t>[English names]</w:t>
      </w:r>
      <w:r>
        <w:rPr>
          <w:b w:val="0"/>
          <w:i w:val="0"/>
        </w:rPr>
        <w:t>: 이정현, 서동욱, 경민규, 정비오*</w:t>
      </w:r>
    </w:p>
    <w:p>
      <w:pPr>
        <w:jc w:val="center"/>
      </w:pPr>
      <w:r>
        <w:rPr>
          <w:b w:val="0"/>
          <w:i w:val="0"/>
          <w:sz w:val="20"/>
        </w:rPr>
        <w:t xml:space="preserve">Department of Orthopaedic Surgery, Kyung Hee University School of Medicine, Seoul, Korea </w:t>
      </w:r>
      <w:r>
        <w:rPr>
          <w:b w:val="0"/>
          <w:i w:val="0"/>
          <w:sz w:val="20"/>
          <w:highlight w:val="yellow"/>
        </w:rPr>
        <w:t>[hospital name / address to confirm]</w:t>
      </w:r>
    </w:p>
    <w:p>
      <w:pPr>
        <w:jc w:val="center"/>
      </w:pPr>
      <w:r>
        <w:rPr>
          <w:b w:val="0"/>
          <w:i w:val="0"/>
          <w:sz w:val="20"/>
        </w:rPr>
        <w:t xml:space="preserve">*Corresponding author: 정비오 </w:t>
      </w:r>
      <w:r>
        <w:rPr>
          <w:b w:val="0"/>
          <w:i w:val="0"/>
          <w:sz w:val="20"/>
          <w:highlight w:val="yellow"/>
        </w:rPr>
        <w:t>[English name, address, phone]</w:t>
      </w:r>
      <w:r>
        <w:rPr>
          <w:b w:val="0"/>
          <w:i w:val="0"/>
          <w:sz w:val="20"/>
        </w:rPr>
        <w:t>; e-mail: biojeong@gmail.com</w:t>
      </w:r>
    </w:p>
    <w:p>
      <w:pPr>
        <w:jc w:val="center"/>
      </w:pPr>
      <w:r>
        <w:rPr>
          <w:b w:val="0"/>
          <w:i w:val="0"/>
          <w:sz w:val="20"/>
        </w:rPr>
        <w:t xml:space="preserve">Conflict of interest: </w:t>
      </w:r>
      <w:r>
        <w:rPr>
          <w:b w:val="0"/>
          <w:i w:val="0"/>
          <w:sz w:val="20"/>
          <w:highlight w:val="yellow"/>
        </w:rPr>
        <w:t>[ ]</w:t>
      </w:r>
      <w:r>
        <w:rPr>
          <w:b w:val="0"/>
          <w:i w:val="0"/>
          <w:sz w:val="20"/>
        </w:rPr>
        <w:t xml:space="preserve">  ·  Funding: </w:t>
      </w:r>
      <w:r>
        <w:rPr>
          <w:b w:val="0"/>
          <w:i w:val="0"/>
          <w:sz w:val="20"/>
          <w:highlight w:val="yellow"/>
        </w:rPr>
        <w:t>[ ]</w:t>
      </w:r>
      <w:r>
        <w:rPr>
          <w:b w:val="0"/>
          <w:i w:val="0"/>
          <w:sz w:val="20"/>
        </w:rPr>
        <w:t xml:space="preserve">  ·  IRB approval: </w:t>
      </w:r>
      <w:r>
        <w:rPr>
          <w:b w:val="0"/>
          <w:i w:val="0"/>
          <w:sz w:val="20"/>
          <w:highlight w:val="yellow"/>
        </w:rPr>
        <w:t>[institution, number]</w:t>
      </w:r>
    </w:p>
    <w:p>
      <w:r>
        <w:br w:type="page"/>
      </w:r>
    </w:p>
    <w:p>
      <w:pPr>
        <w:pStyle w:val="Heading1"/>
      </w:pPr>
      <w:r>
        <w:t>Abstract</w:t>
      </w:r>
    </w:p>
    <w:p>
      <w:r>
        <w:rPr>
          <w:b/>
          <w:i w:val="0"/>
        </w:rPr>
        <w:t>Background:</w:t>
      </w:r>
      <w:r>
        <w:rPr>
          <w:b w:val="0"/>
          <w:i w:val="0"/>
        </w:rPr>
        <w:t xml:space="preserve"> Anatomic placement of the fibular anchor is considered important in arthroscopic lateral ankle ligament repair. A previous 3-dimensional computed tomography (3D CT) study reported inferior outcomes when the anchor was placed in a nonanatomic (high) position after all-inside arthroscopic anterior talofibular ligament (ATFL) repair. This study evaluated whether clinical and radiologic outcomes of the arthroscopic modified Broström procedure differ according to fibular anchor position.</w:t>
      </w:r>
    </w:p>
    <w:p>
      <w:r>
        <w:rPr>
          <w:b/>
          <w:i w:val="0"/>
        </w:rPr>
        <w:t>Methods:</w:t>
      </w:r>
      <w:r>
        <w:rPr>
          <w:b w:val="0"/>
          <w:i w:val="0"/>
        </w:rPr>
        <w:t xml:space="preserve"> 81 ankles in 80 patients who underwent the arthroscopic modified Broström procedure with a minimum follow-up of 2 years</w:t>
      </w:r>
      <w:r>
        <w:rPr>
          <w:b w:val="0"/>
          <w:i w:val="0"/>
          <w:highlight w:val="cyan"/>
        </w:rPr>
        <w:t xml:space="preserve"> [confirm; see query 2]</w:t>
      </w:r>
      <w:r>
        <w:rPr>
          <w:b w:val="0"/>
          <w:i w:val="0"/>
        </w:rPr>
        <w:t xml:space="preserve"> were retrospectively reviewed. On postoperative 3D CT, the distance from the anchor center to the fibular obscure tubercle (FOT) was divided by the distance between the fibular anterior tubercle (FAT) and the FOT. Ankles were classified as anatomic (&lt;25%, n = 29), subanatomic (25% to &lt;50%, n = 35), or nonanatomic (≥50%, n = 17). The visual analog scale (VAS) for pain, Karlsson-Peterson (KP) score, American Orthopaedic Foot and Ankle Society (AOFAS) score, and Tegner activity score were compared between the preoperative and final follow-up evaluations; the Foot Function Index (FFI), Foot and Ankle Outcome Score (FAOS), EQ-5D-5L, and Foot and Ankle Ability Measure (FAAM) were assessed at the final follow-up. Varus talar tilt, anterior talar translation, and side-to-side differences were measured on stress radiographs.</w:t>
      </w:r>
    </w:p>
    <w:p>
      <w:r>
        <w:rPr>
          <w:b/>
          <w:i w:val="0"/>
        </w:rPr>
        <w:t>Results:</w:t>
      </w:r>
      <w:r>
        <w:rPr>
          <w:b w:val="0"/>
          <w:i w:val="0"/>
        </w:rPr>
        <w:t xml:space="preserve"> The VAS decreased from 4.37 ± 1.32 to 1.69 ± 1.20 (P &lt; .001), the KP score improved from 51.65 ± 14.11 to 93.84 ± 8.62, and the AOFAS score improved from 67.62 ± 14.62 to 96.44 ± 5.74 (both P &lt; .001). The Tegner activity score increased from </w:t>
      </w:r>
      <w:r>
        <w:rPr>
          <w:b w:val="0"/>
          <w:i w:val="0"/>
          <w:highlight w:val="cyan"/>
        </w:rPr>
        <w:t>6.27 ± 1.63 to 6.56 ± 1.43 (P = .005)</w:t>
      </w:r>
      <w:r>
        <w:rPr>
          <w:b w:val="0"/>
          <w:i w:val="0"/>
        </w:rPr>
        <w:t xml:space="preserve">, and the activity level was maintained or improved in </w:t>
      </w:r>
      <w:r>
        <w:rPr>
          <w:b w:val="0"/>
          <w:i w:val="0"/>
          <w:highlight w:val="cyan"/>
        </w:rPr>
        <w:t>71 ankles (87.7%)</w:t>
      </w:r>
      <w:r>
        <w:rPr>
          <w:b w:val="0"/>
          <w:i w:val="0"/>
        </w:rPr>
        <w:t>. Final scores and pre- to postoperative changes in the VAS, KP, AOFAS, and Tegner scores did not differ among the 3 groups (all P &gt; .05). The FFI differed among the groups (P = .041), being lower in the subanatomic group than in the anatomic group</w:t>
      </w:r>
      <w:r>
        <w:rPr>
          <w:b w:val="0"/>
          <w:i w:val="0"/>
          <w:highlight w:val="cyan"/>
        </w:rPr>
        <w:t xml:space="preserve"> (post hoc P = .011) [see query 5]</w:t>
      </w:r>
      <w:r>
        <w:rPr>
          <w:b w:val="0"/>
          <w:i w:val="0"/>
        </w:rPr>
        <w:t>; however, the FFI was not correlated with the anchor position ratio (ρ = -0.14, P = .217). The FAOS, FAAM, and EQ-5D-5L did not differ among the groups. Final talar tilt, anterior translation, side-to-side differences, and radiologic changes did not differ among the groups (all P &gt; .05).</w:t>
      </w:r>
    </w:p>
    <w:p>
      <w:r>
        <w:rPr>
          <w:b/>
          <w:i w:val="0"/>
        </w:rPr>
        <w:t>Conclusion:</w:t>
      </w:r>
      <w:r>
        <w:rPr>
          <w:b w:val="0"/>
          <w:i w:val="0"/>
        </w:rPr>
        <w:t xml:space="preserve"> No significant differences in clinical or radiologic outcomes were found according to fibular anchor position after the arthroscopic modified Broström procedure. Pain and functional scores improved significantly in the overall cohort, and the activity level was maintained or improved in most patients.</w:t>
      </w:r>
    </w:p>
    <w:p>
      <w:r>
        <w:rPr>
          <w:b/>
          <w:i w:val="0"/>
        </w:rPr>
        <w:t>Level of Evidence:</w:t>
      </w:r>
      <w:r>
        <w:rPr>
          <w:b w:val="0"/>
          <w:i w:val="0"/>
        </w:rPr>
        <w:t xml:space="preserve"> Level III, retrospective cohort study </w:t>
      </w:r>
      <w:r>
        <w:rPr>
          <w:b w:val="0"/>
          <w:i w:val="0"/>
          <w:highlight w:val="yellow"/>
        </w:rPr>
        <w:t>[confirm]</w:t>
      </w:r>
    </w:p>
    <w:p>
      <w:r>
        <w:rPr>
          <w:b/>
          <w:i w:val="0"/>
        </w:rPr>
        <w:t>Keywords:</w:t>
      </w:r>
      <w:r>
        <w:rPr>
          <w:b w:val="0"/>
          <w:i w:val="0"/>
        </w:rPr>
        <w:t xml:space="preserve"> anterior talofibular ligament; chronic ankle instability; arthroscopic modified Broström procedure; suture anchor position; 3-dimensional computed tomography</w:t>
      </w:r>
    </w:p>
    <w:p>
      <w:r>
        <w:br w:type="page"/>
      </w:r>
    </w:p>
    <w:p>
      <w:pPr>
        <w:pStyle w:val="Heading1"/>
      </w:pPr>
      <w:r>
        <w:t>Introduction</w:t>
      </w:r>
    </w:p>
    <w:p>
      <w:r>
        <w:rPr>
          <w:b w:val="0"/>
          <w:i w:val="0"/>
        </w:rPr>
        <w:t xml:space="preserve">Direct anatomic repair of the lateral ankle ligaments, originally described by Broström, remains the favored surgical procedure for chronic ankle instability (CAI) </w:t>
      </w:r>
      <w:r>
        <w:rPr>
          <w:b w:val="0"/>
          <w:i w:val="0"/>
        </w:rPr>
        <w:t>[1,2]</w:t>
      </w:r>
      <w:r>
        <w:rPr>
          <w:b w:val="0"/>
          <w:i w:val="0"/>
        </w:rPr>
        <w:t xml:space="preserve">, and augmentation with the inferior extensor retinaculum (IER) has been added as a modification of this procedure </w:t>
      </w:r>
      <w:r>
        <w:rPr>
          <w:b w:val="0"/>
          <w:i w:val="0"/>
        </w:rPr>
        <w:t>[3,4]</w:t>
      </w:r>
      <w:r>
        <w:rPr>
          <w:b w:val="0"/>
          <w:i w:val="0"/>
        </w:rPr>
        <w:t xml:space="preserve">. With advances in arthroscopic techniques, all-inside arthroscopic ATFL repair and the arthroscopic Broström procedure have emerged as effective alternatives to the open procedure </w:t>
      </w:r>
      <w:r>
        <w:rPr>
          <w:b w:val="0"/>
          <w:i w:val="0"/>
        </w:rPr>
        <w:t>[5-8]</w:t>
      </w:r>
      <w:r>
        <w:rPr>
          <w:b w:val="0"/>
          <w:i w:val="0"/>
        </w:rPr>
        <w:t xml:space="preserve">. A biomechanical study showed comparable strength between open and arthroscopic Broström repairs </w:t>
      </w:r>
      <w:r>
        <w:rPr>
          <w:b w:val="0"/>
          <w:i w:val="0"/>
        </w:rPr>
        <w:t>[9]</w:t>
      </w:r>
      <w:r>
        <w:rPr>
          <w:b w:val="0"/>
          <w:i w:val="0"/>
        </w:rPr>
        <w:t xml:space="preserve">, and clinical studies have reported favorable outcomes with early recovery after arthroscopic repair </w:t>
      </w:r>
      <w:r>
        <w:rPr>
          <w:b w:val="0"/>
          <w:i w:val="0"/>
        </w:rPr>
        <w:t>[7,8]</w:t>
      </w:r>
      <w:r>
        <w:rPr>
          <w:b w:val="0"/>
          <w:i w:val="0"/>
        </w:rPr>
        <w:t>.</w:t>
      </w:r>
    </w:p>
    <w:p>
      <w:r>
        <w:rPr>
          <w:b w:val="0"/>
          <w:i w:val="0"/>
        </w:rPr>
        <w:t xml:space="preserve">Restoration of normal anatomy is regarded as an important factor for a good prognosis after lateral ankle ligament surgery </w:t>
      </w:r>
      <w:r>
        <w:rPr>
          <w:b w:val="0"/>
          <w:i w:val="0"/>
        </w:rPr>
        <w:t>[2,10]</w:t>
      </w:r>
      <w:r>
        <w:rPr>
          <w:b w:val="0"/>
          <w:i w:val="0"/>
        </w:rPr>
        <w:t xml:space="preserve">. In a cadaveric study, Shoji et al </w:t>
      </w:r>
      <w:r>
        <w:rPr>
          <w:b w:val="0"/>
          <w:i w:val="0"/>
        </w:rPr>
        <w:t>[11]</w:t>
      </w:r>
      <w:r>
        <w:rPr>
          <w:b w:val="0"/>
          <w:i w:val="0"/>
        </w:rPr>
        <w:t xml:space="preserve"> found that ATFL repair through a fibular bone tunnel located proximal to the anatomic footprint (nonanatomic repair) resulted in increased inversion and internal rotation kinematics and internal rotation laxity compared with the intact state, resembling the kinematics of the ATFL-deficient ankle </w:t>
      </w:r>
      <w:r>
        <w:rPr>
          <w:b w:val="0"/>
          <w:i w:val="0"/>
        </w:rPr>
        <w:t>[11,12]</w:t>
      </w:r>
      <w:r>
        <w:rPr>
          <w:b w:val="0"/>
          <w:i w:val="0"/>
        </w:rPr>
        <w:t xml:space="preserve">. However, arthroscopic identification of the fibular ATFL footprint is not always straightforward. One cadaveric study showed that only the portion 7 to 10 mm proximal to the tip of the lateral malleolus is visible through standard arthroscopic portals, raising the possibility of unintended proximal anchor placement </w:t>
      </w:r>
      <w:r>
        <w:rPr>
          <w:b w:val="0"/>
          <w:i w:val="0"/>
        </w:rPr>
        <w:t>[13]</w:t>
      </w:r>
      <w:r>
        <w:rPr>
          <w:b w:val="0"/>
          <w:i w:val="0"/>
        </w:rPr>
        <w:t xml:space="preserve">, whereas another study reported that arthroscopic identification of the lateral ligaments and their footprints is feasible </w:t>
      </w:r>
      <w:r>
        <w:rPr>
          <w:b w:val="0"/>
          <w:i w:val="0"/>
        </w:rPr>
        <w:t>[14]</w:t>
      </w:r>
      <w:r>
        <w:rPr>
          <w:b w:val="0"/>
          <w:i w:val="0"/>
        </w:rPr>
        <w:t xml:space="preserve">. Bony landmarks such as the FOT and FAT have been proposed to help identify the ligament footprints during minimally invasive surgery </w:t>
      </w:r>
      <w:r>
        <w:rPr>
          <w:b w:val="0"/>
          <w:i w:val="0"/>
        </w:rPr>
        <w:t>[15,16]</w:t>
      </w:r>
      <w:r>
        <w:rPr>
          <w:b w:val="0"/>
          <w:i w:val="0"/>
        </w:rPr>
        <w:t>.</w:t>
      </w:r>
    </w:p>
    <w:p>
      <w:r>
        <w:rPr>
          <w:b w:val="0"/>
          <w:i w:val="0"/>
        </w:rPr>
        <w:t xml:space="preserve">Using postoperative 3D CT, Lee et al </w:t>
      </w:r>
      <w:r>
        <w:rPr>
          <w:b w:val="0"/>
          <w:i w:val="0"/>
        </w:rPr>
        <w:t>[2]</w:t>
      </w:r>
      <w:r>
        <w:rPr>
          <w:b w:val="0"/>
          <w:i w:val="0"/>
        </w:rPr>
        <w:t xml:space="preserve"> classified the fibular anchor position after all-inside arthroscopic ATFL repair according to its relative location between the FAT and FOT and reported that nonanatomic repair with a high-position anchor resulted in inferior FAOS, Karlsson scores, and posturographic fall risk compared with anatomic repair, although stress radiographic outcomes did not differ among groups. Their procedure consisted of ATFL repair with a single knotless suture anchor </w:t>
      </w:r>
      <w:r>
        <w:rPr>
          <w:b w:val="0"/>
          <w:i w:val="0"/>
        </w:rPr>
        <w:t>[2,17]</w:t>
      </w:r>
      <w:r>
        <w:rPr>
          <w:b w:val="0"/>
          <w:i w:val="0"/>
        </w:rPr>
        <w:t xml:space="preserve">. Whether anchor position has a similar influence on outcomes after the arthroscopic modified Broström procedure </w:t>
      </w:r>
      <w:r>
        <w:rPr>
          <w:b w:val="0"/>
          <w:i w:val="0"/>
          <w:highlight w:val="yellow"/>
        </w:rPr>
        <w:t>[with IER augmentation — confirm technique]</w:t>
      </w:r>
      <w:r>
        <w:rPr>
          <w:b w:val="0"/>
          <w:i w:val="0"/>
        </w:rPr>
        <w:t>, and when a broader set of patient-reported outcome measures is used, remains unclear.</w:t>
      </w:r>
    </w:p>
    <w:p>
      <w:r>
        <w:rPr>
          <w:b w:val="0"/>
          <w:i w:val="0"/>
        </w:rPr>
        <w:t xml:space="preserve">Therefore, the purpose of this study was to compare the clinical and radiologic outcomes of the arthroscopic modified Broström procedure according to the fibular anchor position measured on 3D CT, using the classification described by Lee et al </w:t>
      </w:r>
      <w:r>
        <w:rPr>
          <w:b w:val="0"/>
          <w:i w:val="0"/>
        </w:rPr>
        <w:t>[2]</w:t>
      </w:r>
      <w:r>
        <w:rPr>
          <w:b w:val="0"/>
          <w:i w:val="0"/>
        </w:rPr>
        <w:t>. We hypothesized that outcomes would differ according to anchor position, as previously reported.</w:t>
      </w:r>
    </w:p>
    <w:p>
      <w:pPr>
        <w:pStyle w:val="Heading1"/>
      </w:pPr>
      <w:r>
        <w:t>Materials and Methods</w:t>
      </w:r>
    </w:p>
    <w:p>
      <w:pPr>
        <w:pStyle w:val="Heading2"/>
      </w:pPr>
      <w:r>
        <w:t>Study Design and Patients</w:t>
      </w:r>
    </w:p>
    <w:p>
      <w:r>
        <w:rPr>
          <w:b w:val="0"/>
          <w:i w:val="0"/>
        </w:rPr>
        <w:t xml:space="preserve">This retrospective study was approved by the institutional review board of </w:t>
      </w:r>
      <w:r>
        <w:rPr>
          <w:b w:val="0"/>
          <w:i w:val="0"/>
          <w:highlight w:val="yellow"/>
        </w:rPr>
        <w:t>[institution]</w:t>
      </w:r>
      <w:r>
        <w:rPr>
          <w:b w:val="0"/>
          <w:i w:val="0"/>
        </w:rPr>
        <w:t xml:space="preserve"> (</w:t>
      </w:r>
      <w:r>
        <w:rPr>
          <w:b w:val="0"/>
          <w:i w:val="0"/>
          <w:highlight w:val="yellow"/>
        </w:rPr>
        <w:t>[IRB number]</w:t>
      </w:r>
      <w:r>
        <w:rPr>
          <w:b w:val="0"/>
          <w:i w:val="0"/>
        </w:rPr>
        <w:t xml:space="preserve">), and the requirement for informed consent was </w:t>
      </w:r>
      <w:r>
        <w:rPr>
          <w:b w:val="0"/>
          <w:i w:val="0"/>
          <w:highlight w:val="yellow"/>
        </w:rPr>
        <w:t>[waived / obtained]</w:t>
      </w:r>
      <w:r>
        <w:rPr>
          <w:b w:val="0"/>
          <w:i w:val="0"/>
        </w:rPr>
        <w:t xml:space="preserve">. We reviewed patients who underwent the arthroscopic modified Broström procedure for CAI between May 2018 and December 2024 </w:t>
      </w:r>
      <w:r>
        <w:rPr>
          <w:b w:val="0"/>
          <w:i w:val="0"/>
          <w:highlight w:val="yellow"/>
        </w:rPr>
        <w:t>[performed by a single surgeon? — confirm]</w:t>
      </w:r>
      <w:r>
        <w:rPr>
          <w:b w:val="0"/>
          <w:i w:val="0"/>
        </w:rPr>
        <w:t xml:space="preserve">. The inclusion criteria were as follows: (1) CAI with failure of nonoperative treatment for at least </w:t>
      </w:r>
      <w:r>
        <w:rPr>
          <w:b w:val="0"/>
          <w:i w:val="0"/>
          <w:highlight w:val="yellow"/>
        </w:rPr>
        <w:t>[ ]</w:t>
      </w:r>
      <w:r>
        <w:rPr>
          <w:b w:val="0"/>
          <w:i w:val="0"/>
        </w:rPr>
        <w:t xml:space="preserve"> months, (2) the arthroscopic modified Broström procedure, (3) available postoperative 3D CT, and (4) a minimum of 2 years of clinical follow-up. The exclusion criteria were </w:t>
      </w:r>
      <w:r>
        <w:rPr>
          <w:b w:val="0"/>
          <w:i w:val="0"/>
          <w:highlight w:val="yellow"/>
        </w:rPr>
        <w:t>[e.g., previous surgery on the affected ankle, arthritis, concomitant procedures such as ligament reconstruction or osteotomy, neuromuscular disorder — please provide]</w:t>
      </w:r>
      <w:r>
        <w:rPr>
          <w:b w:val="0"/>
          <w:i w:val="0"/>
        </w:rPr>
        <w:t xml:space="preserve">. Of </w:t>
      </w:r>
      <w:r>
        <w:rPr>
          <w:b w:val="0"/>
          <w:i w:val="0"/>
          <w:highlight w:val="yellow"/>
        </w:rPr>
        <w:t>[total number]</w:t>
      </w:r>
      <w:r>
        <w:rPr>
          <w:b w:val="0"/>
          <w:i w:val="0"/>
        </w:rPr>
        <w:t xml:space="preserve"> ankles, </w:t>
      </w:r>
      <w:r>
        <w:rPr>
          <w:b w:val="0"/>
          <w:i w:val="0"/>
          <w:highlight w:val="yellow"/>
        </w:rPr>
        <w:t>[ ]</w:t>
      </w:r>
      <w:r>
        <w:rPr>
          <w:b w:val="0"/>
          <w:i w:val="0"/>
        </w:rPr>
        <w:t xml:space="preserve"> were excluded (</w:t>
      </w:r>
      <w:r>
        <w:rPr>
          <w:b w:val="0"/>
          <w:i w:val="0"/>
          <w:highlight w:val="yellow"/>
        </w:rPr>
        <w:t>[reasons]</w:t>
      </w:r>
      <w:r>
        <w:rPr>
          <w:b w:val="0"/>
          <w:i w:val="0"/>
        </w:rPr>
        <w:t>), and 81 ankles in 80 patients (one patient underwent bilateral surgery) were included in the final analysis (Figure 1).</w:t>
      </w:r>
    </w:p>
    <w:p>
      <w:pPr>
        <w:pStyle w:val="Heading2"/>
      </w:pPr>
      <w:r>
        <w:t>Surgical Technique</w:t>
      </w:r>
    </w:p>
    <w:p>
      <w:r>
        <w:rPr>
          <w:b w:val="0"/>
          <w:i w:val="0"/>
          <w:highlight w:val="yellow"/>
        </w:rPr>
        <w:t>[To be provided by the authors: anesthesia and positioning; portals and arthroscope; diagnostic arthroscopy and management of intra-articular lesions; ATFL remnant assessment; anchor type, size, and number; fibular anchor insertion technique and intended target (e.g., relation to the FOT); suture passage and tensioning; IER (Gould) augmentation; CFL management.]</w:t>
      </w:r>
    </w:p>
    <w:p>
      <w:pPr>
        <w:pStyle w:val="Heading2"/>
      </w:pPr>
      <w:r>
        <w:t>Postoperative Rehabilitation</w:t>
      </w:r>
    </w:p>
    <w:p>
      <w:r>
        <w:rPr>
          <w:b w:val="0"/>
          <w:i w:val="0"/>
          <w:highlight w:val="yellow"/>
        </w:rPr>
        <w:t>[To be provided: immobilization type and duration, weightbearing progression, range-of-motion and strengthening program, timing of return to sports.]</w:t>
      </w:r>
    </w:p>
    <w:p>
      <w:pPr>
        <w:pStyle w:val="Heading2"/>
      </w:pPr>
      <w:r>
        <w:t>3D CT Measurement of Anchor Position</w:t>
      </w:r>
    </w:p>
    <w:p>
      <w:r>
        <w:rPr>
          <w:b w:val="0"/>
          <w:i w:val="0"/>
        </w:rPr>
        <w:t xml:space="preserve">Postoperative CT was obtained at </w:t>
      </w:r>
      <w:r>
        <w:rPr>
          <w:b w:val="0"/>
          <w:i w:val="0"/>
          <w:highlight w:val="yellow"/>
        </w:rPr>
        <w:t>[time point]</w:t>
      </w:r>
      <w:r>
        <w:rPr>
          <w:b w:val="0"/>
          <w:i w:val="0"/>
        </w:rPr>
        <w:t xml:space="preserve"> using </w:t>
      </w:r>
      <w:r>
        <w:rPr>
          <w:b w:val="0"/>
          <w:i w:val="0"/>
          <w:highlight w:val="yellow"/>
        </w:rPr>
        <w:t>[scanner]</w:t>
      </w:r>
      <w:r>
        <w:rPr>
          <w:b w:val="0"/>
          <w:i w:val="0"/>
        </w:rPr>
        <w:t xml:space="preserve">, and 3D reconstruction was performed with </w:t>
      </w:r>
      <w:r>
        <w:rPr>
          <w:b w:val="0"/>
          <w:i w:val="0"/>
          <w:highlight w:val="yellow"/>
        </w:rPr>
        <w:t>[software]</w:t>
      </w:r>
      <w:r>
        <w:rPr>
          <w:b w:val="0"/>
          <w:i w:val="0"/>
        </w:rPr>
        <w:t xml:space="preserve">. Following the method of Lee et al </w:t>
      </w:r>
      <w:r>
        <w:rPr>
          <w:b w:val="0"/>
          <w:i w:val="0"/>
        </w:rPr>
        <w:t>[2]</w:t>
      </w:r>
      <w:r>
        <w:rPr>
          <w:b w:val="0"/>
          <w:i w:val="0"/>
        </w:rPr>
        <w:t xml:space="preserve">, the reconstructed image was rotated to a true lateral view of the distal fibula, and the FAT, FOT, and anchor center were identified (Figure 2). The distance from the anchor center to the FOT was divided by the distance between the FAT and FOT and expressed as a percentage. On the basis of cadaveric studies of the fibular ATFL footprint </w:t>
      </w:r>
      <w:r>
        <w:rPr>
          <w:b w:val="0"/>
          <w:i w:val="0"/>
        </w:rPr>
        <w:t>[15,16,18,19]</w:t>
      </w:r>
      <w:r>
        <w:rPr>
          <w:b w:val="0"/>
          <w:i w:val="0"/>
        </w:rPr>
        <w:t xml:space="preserve">, Lee et al </w:t>
      </w:r>
      <w:r>
        <w:rPr>
          <w:b w:val="0"/>
          <w:i w:val="0"/>
        </w:rPr>
        <w:t>[2]</w:t>
      </w:r>
      <w:r>
        <w:rPr>
          <w:b w:val="0"/>
          <w:i w:val="0"/>
        </w:rPr>
        <w:t xml:space="preserve"> defined the lower quarter between the FOT and FAT as the anatomic position; accordingly, ankles were classified into the anatomic (&lt;25%), subanatomic (25% to &lt;50%), and nonanatomic (≥50%) groups. Measurements were performed by </w:t>
      </w:r>
      <w:r>
        <w:rPr>
          <w:b w:val="0"/>
          <w:i w:val="0"/>
          <w:highlight w:val="yellow"/>
        </w:rPr>
        <w:t>[number, profession, blinding]</w:t>
      </w:r>
      <w:r>
        <w:rPr>
          <w:b w:val="0"/>
          <w:i w:val="0"/>
        </w:rPr>
        <w:t xml:space="preserve">, and the reliability was </w:t>
      </w:r>
      <w:r>
        <w:rPr>
          <w:b w:val="0"/>
          <w:i w:val="0"/>
          <w:highlight w:val="yellow"/>
        </w:rPr>
        <w:t>[ICC / kappa]</w:t>
      </w:r>
      <w:r>
        <w:rPr>
          <w:b w:val="0"/>
          <w:i w:val="0"/>
        </w:rPr>
        <w:t>.</w:t>
      </w:r>
    </w:p>
    <w:p>
      <w:pPr>
        <w:pStyle w:val="Heading2"/>
      </w:pPr>
      <w:r>
        <w:t>Clinical Evaluation</w:t>
      </w:r>
    </w:p>
    <w:p>
      <w:r>
        <w:rPr>
          <w:b w:val="0"/>
          <w:i w:val="0"/>
        </w:rPr>
        <w:t xml:space="preserve">Pain was evaluated using a 10-point VAS. Function was evaluated using the KP score </w:t>
      </w:r>
      <w:r>
        <w:rPr>
          <w:b w:val="0"/>
          <w:i w:val="0"/>
        </w:rPr>
        <w:t>[20]</w:t>
      </w:r>
      <w:r>
        <w:rPr>
          <w:b w:val="0"/>
          <w:i w:val="0"/>
        </w:rPr>
        <w:t xml:space="preserve"> and the AOFAS ankle-hindfoot score </w:t>
      </w:r>
      <w:r>
        <w:rPr>
          <w:b w:val="0"/>
          <w:i w:val="0"/>
        </w:rPr>
        <w:t>[21]</w:t>
      </w:r>
      <w:r>
        <w:rPr>
          <w:b w:val="0"/>
          <w:i w:val="0"/>
        </w:rPr>
        <w:t xml:space="preserve">, and the activity level was evaluated using the Tegner activity score </w:t>
      </w:r>
      <w:r>
        <w:rPr>
          <w:b w:val="0"/>
          <w:i w:val="0"/>
        </w:rPr>
        <w:t>[22]</w:t>
      </w:r>
      <w:r>
        <w:rPr>
          <w:b w:val="0"/>
          <w:i w:val="0"/>
        </w:rPr>
        <w:t xml:space="preserve">. These 4 scores were assessed preoperatively and at the final follow-up. At the final follow-up, the FFI </w:t>
      </w:r>
      <w:r>
        <w:rPr>
          <w:b w:val="0"/>
          <w:i w:val="0"/>
        </w:rPr>
        <w:t>[23]</w:t>
      </w:r>
      <w:r>
        <w:rPr>
          <w:b w:val="0"/>
          <w:i w:val="0"/>
        </w:rPr>
        <w:t xml:space="preserve">, FAOS </w:t>
      </w:r>
      <w:r>
        <w:rPr>
          <w:b w:val="0"/>
          <w:i w:val="0"/>
        </w:rPr>
        <w:t>[24]</w:t>
      </w:r>
      <w:r>
        <w:rPr>
          <w:b w:val="0"/>
          <w:i w:val="0"/>
        </w:rPr>
        <w:t xml:space="preserve">, FAAM activities of daily living (ADL) and sports subscales </w:t>
      </w:r>
      <w:r>
        <w:rPr>
          <w:b w:val="0"/>
          <w:i w:val="0"/>
        </w:rPr>
        <w:t>[25]</w:t>
      </w:r>
      <w:r>
        <w:rPr>
          <w:b w:val="0"/>
          <w:i w:val="0"/>
        </w:rPr>
        <w:t xml:space="preserve">, and EQ-5D-5L </w:t>
      </w:r>
      <w:r>
        <w:rPr>
          <w:b w:val="0"/>
          <w:i w:val="0"/>
        </w:rPr>
        <w:t>[26]</w:t>
      </w:r>
      <w:r>
        <w:rPr>
          <w:b w:val="0"/>
          <w:i w:val="0"/>
        </w:rPr>
        <w:t xml:space="preserve"> were additionally assessed. </w:t>
      </w:r>
      <w:r>
        <w:rPr>
          <w:b w:val="0"/>
          <w:i w:val="0"/>
          <w:highlight w:val="cyan"/>
        </w:rPr>
        <w:t>For the FAOS, the 5 subscales (pain, symptoms, ADL, sport and recreation, and quality of life) and their mean were reported. The EQ-5D-5L was reported as the sum of the 5 dimension levels (range, 5-25; lower is better).</w:t>
      </w:r>
      <w:r>
        <w:rPr>
          <w:b w:val="0"/>
          <w:i w:val="0"/>
        </w:rPr>
        <w:t xml:space="preserve"> </w:t>
      </w:r>
      <w:r>
        <w:rPr>
          <w:b w:val="0"/>
          <w:i w:val="0"/>
          <w:highlight w:val="yellow"/>
        </w:rPr>
        <w:t>[confirm definitions; Korean versions and their references]</w:t>
      </w:r>
      <w:r>
        <w:rPr>
          <w:b w:val="0"/>
          <w:i w:val="0"/>
        </w:rPr>
        <w:t xml:space="preserve"> Generalized joint laxity was assessed with the Beighton score </w:t>
      </w:r>
      <w:r>
        <w:rPr>
          <w:b w:val="0"/>
          <w:i w:val="0"/>
        </w:rPr>
        <w:t>[27]</w:t>
      </w:r>
      <w:r>
        <w:rPr>
          <w:b w:val="0"/>
          <w:i w:val="0"/>
        </w:rPr>
        <w:t xml:space="preserve">. The final evaluation was performed </w:t>
      </w:r>
      <w:r>
        <w:rPr>
          <w:b w:val="0"/>
          <w:i w:val="0"/>
          <w:highlight w:val="yellow"/>
        </w:rPr>
        <w:t>[in person / by telephone]</w:t>
      </w:r>
      <w:r>
        <w:rPr>
          <w:b w:val="0"/>
          <w:i w:val="0"/>
        </w:rPr>
        <w:t xml:space="preserve"> at a mean of </w:t>
      </w:r>
      <w:r>
        <w:rPr>
          <w:b w:val="0"/>
          <w:i w:val="0"/>
          <w:highlight w:val="yellow"/>
        </w:rPr>
        <w:t>[ ]</w:t>
      </w:r>
      <w:r>
        <w:rPr>
          <w:b w:val="0"/>
          <w:i w:val="0"/>
        </w:rPr>
        <w:t xml:space="preserve"> months (range, </w:t>
      </w:r>
      <w:r>
        <w:rPr>
          <w:b w:val="0"/>
          <w:i w:val="0"/>
          <w:highlight w:val="yellow"/>
        </w:rPr>
        <w:t>[ ]</w:t>
      </w:r>
      <w:r>
        <w:rPr>
          <w:b w:val="0"/>
          <w:i w:val="0"/>
        </w:rPr>
        <w:t>) after surgery.</w:t>
      </w:r>
    </w:p>
    <w:p>
      <w:pPr>
        <w:pStyle w:val="Heading2"/>
      </w:pPr>
      <w:r>
        <w:t>Radiologic Evaluation</w:t>
      </w:r>
    </w:p>
    <w:p>
      <w:r>
        <w:rPr>
          <w:b w:val="0"/>
          <w:i w:val="0"/>
        </w:rPr>
        <w:t xml:space="preserve">Stress radiographs were obtained preoperatively and at the final follow-up using </w:t>
      </w:r>
      <w:r>
        <w:rPr>
          <w:b w:val="0"/>
          <w:i w:val="0"/>
          <w:highlight w:val="yellow"/>
        </w:rPr>
        <w:t>[device, load]</w:t>
      </w:r>
      <w:r>
        <w:rPr>
          <w:b w:val="0"/>
          <w:i w:val="0"/>
        </w:rPr>
        <w:t xml:space="preserve">. Varus talar tilt (degrees) was measured on the anteroposterior stress view, and anterior talar translation (mm) was measured on the lateral stress view </w:t>
      </w:r>
      <w:r>
        <w:rPr>
          <w:b w:val="0"/>
          <w:i w:val="0"/>
          <w:highlight w:val="yellow"/>
        </w:rPr>
        <w:t>[confirm method]</w:t>
      </w:r>
      <w:r>
        <w:rPr>
          <w:b w:val="0"/>
          <w:i w:val="0"/>
        </w:rPr>
        <w:t xml:space="preserve">. Stress radiographs of the contralateral ankle were obtained at the same time points, and the side-to-side difference was calculated as the value of the operated ankle minus that of the contralateral ankle. Measurements were performed by </w:t>
      </w:r>
      <w:r>
        <w:rPr>
          <w:b w:val="0"/>
          <w:i w:val="0"/>
          <w:highlight w:val="yellow"/>
        </w:rPr>
        <w:t>[ ]</w:t>
      </w:r>
      <w:r>
        <w:rPr>
          <w:b w:val="0"/>
          <w:i w:val="0"/>
        </w:rPr>
        <w:t>.</w:t>
      </w:r>
    </w:p>
    <w:p>
      <w:pPr>
        <w:pStyle w:val="Heading2"/>
      </w:pPr>
      <w:r>
        <w:t>Statistical Analysis</w:t>
      </w:r>
    </w:p>
    <w:p>
      <w:r>
        <w:rPr>
          <w:b w:val="0"/>
          <w:i w:val="0"/>
        </w:rPr>
        <w:t xml:space="preserve">Continuous variables are presented as mean ± standard deviation. Comparisons among the 3 groups were performed using the Kruskal-Wallis test for continuous variables and the chi-square test for categorical variables. When the Kruskal-Wallis test was significant, post hoc pairwise comparisons were performed using the Mann-Whitney U test with a Bonferroni-adjusted significance level of P &lt; .017, as in the study by Lee et al </w:t>
      </w:r>
      <w:r>
        <w:rPr>
          <w:b w:val="0"/>
          <w:i w:val="0"/>
        </w:rPr>
        <w:t>[2]</w:t>
      </w:r>
      <w:r>
        <w:rPr>
          <w:b w:val="0"/>
          <w:i w:val="0"/>
        </w:rPr>
        <w:t xml:space="preserve">. Preoperative and final follow-up values were compared using the Wilcoxon signed-rank test. To evaluate anchor position as a continuous variable, Spearman rank correlation coefficients between the anchor position ratio and the outcome variables were calculated. Statistical significance was set at P &lt; .05. </w:t>
      </w:r>
      <w:r>
        <w:rPr>
          <w:b w:val="0"/>
          <w:i w:val="0"/>
          <w:highlight w:val="cyan"/>
        </w:rPr>
        <w:t>Analyses in this draft were performed with Python (SciPy 1.17).</w:t>
      </w:r>
      <w:r>
        <w:rPr>
          <w:b w:val="0"/>
          <w:i w:val="0"/>
        </w:rPr>
        <w:t xml:space="preserve"> </w:t>
      </w:r>
      <w:r>
        <w:rPr>
          <w:b w:val="0"/>
          <w:i w:val="0"/>
          <w:highlight w:val="yellow"/>
        </w:rPr>
        <w:t>[replace with the software actually used]</w:t>
      </w:r>
      <w:r>
        <w:rPr>
          <w:b w:val="0"/>
          <w:i w:val="0"/>
        </w:rPr>
        <w:t xml:space="preserve"> </w:t>
      </w:r>
      <w:r>
        <w:rPr>
          <w:b w:val="0"/>
          <w:i w:val="0"/>
          <w:highlight w:val="yellow"/>
        </w:rPr>
        <w:t>[power analysis]</w:t>
      </w:r>
    </w:p>
    <w:p>
      <w:pPr>
        <w:pStyle w:val="Heading1"/>
      </w:pPr>
      <w:r>
        <w:t>Results</w:t>
      </w:r>
    </w:p>
    <w:p>
      <w:pPr>
        <w:pStyle w:val="Heading2"/>
      </w:pPr>
      <w:r>
        <w:t>Patient Characteristics</w:t>
      </w:r>
    </w:p>
    <w:p>
      <w:r>
        <w:rPr>
          <w:b w:val="0"/>
          <w:i w:val="0"/>
        </w:rPr>
        <w:t>A total of 81 ankles in 80 patients (35 men and 45 women) were included. The mean age at surgery was 31.2 ± 13.6 years (range, 15-69 years), and 44 right and 37 left ankles were operated on. The anchor position ratio was 38.4 ± 16.8% overall, 21.9 ± 3.0% in the anatomic group (n = 29, 35.8%), 39.0 ± 6.6% in the subanatomic group (n = 35, 43.2%), and 65.1 ± 7.8% in the nonanatomic group (n = 17, 21.0%). There were no significant differences among the 3 groups in age, sex, side, body mass index, Beighton score, or preoperative clinical and radiologic parameters (Table 1).</w:t>
      </w:r>
    </w:p>
    <w:p>
      <w:pPr>
        <w:pStyle w:val="Heading2"/>
      </w:pPr>
      <w:r>
        <w:t>Clinical Outcomes</w:t>
      </w:r>
    </w:p>
    <w:p>
      <w:r>
        <w:rPr>
          <w:b w:val="0"/>
          <w:i w:val="0"/>
        </w:rPr>
        <w:t xml:space="preserve">In the overall cohort, the VAS decreased from 4.37 ± 1.32 preoperatively to 1.69 ± 1.20 at the final follow-up, the KP score improved from 51.65 ± 14.11 to 93.84 ± 8.62, and the AOFAS score improved from 67.62 ± 14.62 to 96.44 ± 5.74 (all P &lt; .001). These improvements were significant within each group (Table 2). The Tegner activity score increased from </w:t>
      </w:r>
      <w:r>
        <w:rPr>
          <w:b w:val="0"/>
          <w:i w:val="0"/>
          <w:highlight w:val="cyan"/>
        </w:rPr>
        <w:t>6.27 ± 1.63 to 6.56 ± 1.43 (P = .005)</w:t>
      </w:r>
      <w:r>
        <w:rPr>
          <w:b w:val="0"/>
          <w:i w:val="0"/>
        </w:rPr>
        <w:t xml:space="preserve">; the activity level improved in 26 ankles, was maintained in 45, and decreased in 10, so that it was maintained or improved in </w:t>
      </w:r>
      <w:r>
        <w:rPr>
          <w:b w:val="0"/>
          <w:i w:val="0"/>
          <w:highlight w:val="cyan"/>
        </w:rPr>
        <w:t>71 ankles (87.7%)</w:t>
      </w:r>
      <w:r>
        <w:rPr>
          <w:b w:val="0"/>
          <w:i w:val="0"/>
        </w:rPr>
        <w:t>. The proportion of ankles with a maintained or improved Tegner score did not differ among the groups (P = .193).</w:t>
      </w:r>
    </w:p>
    <w:p>
      <w:r>
        <w:rPr>
          <w:b w:val="0"/>
          <w:i w:val="0"/>
        </w:rPr>
        <w:t xml:space="preserve">The final VAS, KP, AOFAS, and Tegner scores and their pre- to postoperative changes did not differ significantly among the 3 groups (all P &gt; .05; Table 2). Among the outcomes assessed only at the final follow-up, the FFI differed significantly among the groups (P = .041). In the post hoc analysis, the FFI was lower (better) in the subanatomic group than in the anatomic group (2.06 ± 3.57 vs 3.72 ± 4.16; P = .011), whereas neither group differed from the nonanatomic group (P = .373 and P = .298, respectively). </w:t>
      </w:r>
      <w:r>
        <w:rPr>
          <w:b w:val="0"/>
          <w:i w:val="0"/>
          <w:highlight w:val="cyan"/>
        </w:rPr>
        <w:t>[see query 5 — the abstract states this difference was not significant after correction]</w:t>
      </w:r>
      <w:r>
        <w:rPr>
          <w:b w:val="0"/>
          <w:i w:val="0"/>
        </w:rPr>
        <w:t xml:space="preserve"> The FAOS (total and all 5 subscales), FAAM ADL and sports subscales, and EQ-5D-5L did not differ among the groups (Table 3).</w:t>
      </w:r>
    </w:p>
    <w:p>
      <w:pPr>
        <w:pStyle w:val="Heading2"/>
      </w:pPr>
      <w:r>
        <w:t>Radiologic Outcomes</w:t>
      </w:r>
    </w:p>
    <w:p>
      <w:r>
        <w:rPr>
          <w:b w:val="0"/>
          <w:i w:val="0"/>
        </w:rPr>
        <w:t>Final stress radiographs were available for 72 ankles (anatomic, 27; subanatomic, 33; nonanatomic, 12). In these ankles, the talar tilt decreased from 9.33 ± 4.56° to 6.51 ± 3.62° and the anterior translation decreased from 6.01 ± 1.91 mm to 4.94 ± 1.37 mm (both P &lt; .001). The side-to-side difference in talar tilt decreased from 4.14 ± 4.78° to 1.48 ± 3.24° (P &lt; .001), and that in anterior translation decreased from 0.52 ± 1.62 mm to -0.02 ± 1.28 mm (P = .010; n = 71). The final talar tilt, anterior translation, side-to-side differences, and pre- to postoperative changes did not differ among the 3 groups (all P &gt; .05; Table 4). Within-group comparison showed significant decreases in talar tilt in all 3 groups, whereas the decrease in anterior translation was significant in the anatomic and subanatomic groups but not in the nonanatomic group (5.67 ± 1.61 to 5.58 ± 1.70 mm; P = .850; n = 12).</w:t>
      </w:r>
    </w:p>
    <w:p>
      <w:pPr>
        <w:pStyle w:val="Heading2"/>
      </w:pPr>
      <w:r>
        <w:t>Anchor Position as a Continuous Variable</w:t>
      </w:r>
    </w:p>
    <w:p>
      <w:r>
        <w:rPr>
          <w:b w:val="0"/>
          <w:i w:val="0"/>
        </w:rPr>
        <w:t xml:space="preserve">The anchor position ratio was not significantly correlated with the final VAS, KP, AOFAS, Tegner, FFI, FAOS, FAAM, or EQ-5D-5L scores (Table 5). Weak correlations were observed between the ratio and the change in AOFAS score (ρ = 0.23, P = .037), the change in talar tilt (ρ = 0.25, P = .033), and the final side-to-side difference in talar tilt (ρ = -0.25, P = .032); these did not indicate a consistent disadvantage of higher anchor positions </w:t>
      </w:r>
      <w:r>
        <w:rPr>
          <w:b w:val="0"/>
          <w:i w:val="0"/>
          <w:highlight w:val="cyan"/>
        </w:rPr>
        <w:t>[interpretation to confirm; these were not corrected for multiple testing]</w:t>
      </w:r>
      <w:r>
        <w:rPr>
          <w:b w:val="0"/>
          <w:i w:val="0"/>
        </w:rPr>
        <w:t>.</w:t>
      </w:r>
    </w:p>
    <w:p>
      <w:pPr>
        <w:pStyle w:val="Heading1"/>
      </w:pPr>
      <w:r>
        <w:t>Discussion</w:t>
      </w:r>
    </w:p>
    <w:p>
      <w:r>
        <w:rPr>
          <w:b w:val="0"/>
          <w:i w:val="0"/>
        </w:rPr>
        <w:t>The principal finding of this study was that clinical and radiologic outcomes after the arthroscopic modified Broström procedure did not differ significantly according to the fibular anchor position measured on 3D CT. Pain, KP, and AOFAS scores improved significantly in all 3 groups, the magnitude of improvement was similar among the groups, and the activity level was maintained or improved in 87.7% of the ankles. Stress radiographic stability at the final follow-up and its change from the preoperative values were also comparable among the groups. Therefore, our hypothesis that outcomes would differ according to anchor position was not supported.</w:t>
      </w:r>
    </w:p>
    <w:p>
      <w:r>
        <w:rPr>
          <w:b w:val="0"/>
          <w:i w:val="0"/>
        </w:rPr>
        <w:t xml:space="preserve">These results differ from those of Lee et al </w:t>
      </w:r>
      <w:r>
        <w:rPr>
          <w:b w:val="0"/>
          <w:i w:val="0"/>
        </w:rPr>
        <w:t>[2]</w:t>
      </w:r>
      <w:r>
        <w:rPr>
          <w:b w:val="0"/>
          <w:i w:val="0"/>
        </w:rPr>
        <w:t xml:space="preserve">, who reported inferior FAOS, Karlsson scores, and posturographic fall risk in the nonanatomic group after all-inside arthroscopic ATFL repair. The distribution of anchor positions was similar between the 2 studies (anatomic, subanatomic, and nonanatomic: 35.8%, 43.2%, and 21.0% in our study vs 30.0%, 52.5%, and 17.5% in their study), and the same 3D CT classification was used, so differences in grouping are unlikely to explain the discrepancy. Several other factors may be considered. First, the surgical procedures differed. Lee et al repaired the ATFL with a single knotless anchor without additional augmentation </w:t>
      </w:r>
      <w:r>
        <w:rPr>
          <w:b w:val="0"/>
          <w:i w:val="0"/>
        </w:rPr>
        <w:t>[2,17]</w:t>
      </w:r>
      <w:r>
        <w:rPr>
          <w:b w:val="0"/>
          <w:i w:val="0"/>
        </w:rPr>
        <w:t xml:space="preserve">, whereas our patients underwent the arthroscopic modified Broström procedure </w:t>
      </w:r>
      <w:r>
        <w:rPr>
          <w:b w:val="0"/>
          <w:i w:val="0"/>
          <w:highlight w:val="yellow"/>
        </w:rPr>
        <w:t>[with IER augmentation — confirm]</w:t>
      </w:r>
      <w:r>
        <w:rPr>
          <w:b w:val="0"/>
          <w:i w:val="0"/>
        </w:rPr>
        <w:t xml:space="preserve">. </w:t>
      </w:r>
      <w:r>
        <w:rPr>
          <w:b w:val="0"/>
          <w:i w:val="0"/>
          <w:highlight w:val="cyan"/>
        </w:rPr>
        <w:t>It is possible that additional augmentation contributes to stability and function regardless of the exact anchor position; however, the present study was not designed to test this, and Lee et al [28] found no additional benefit of IER augmentation after all-inside arthroscopic ATFL repair.</w:t>
      </w:r>
      <w:r>
        <w:rPr>
          <w:b w:val="0"/>
          <w:i w:val="0"/>
        </w:rPr>
        <w:t xml:space="preserve"> Second, the postoperative scores in the nonanatomic group of Lee et al were considerably lower than those in our nonanatomic group (e.g., Karlsson score 45.4 ± 27.4 vs KP score 95.1 ± 9.3), and their nonanatomic group did not show significant improvement in most subjective scores </w:t>
      </w:r>
      <w:r>
        <w:rPr>
          <w:b w:val="0"/>
          <w:i w:val="0"/>
        </w:rPr>
        <w:t>[2]</w:t>
      </w:r>
      <w:r>
        <w:rPr>
          <w:b w:val="0"/>
          <w:i w:val="0"/>
        </w:rPr>
        <w:t xml:space="preserve">. In contrast, the scores of all 3 groups in our study were high at the final follow-up, which may reflect differences in patient populations, techniques, or rehabilitation, and may also indicate a ceiling effect that limits the ability to detect small between-group differences. Third, </w:t>
      </w:r>
      <w:r>
        <w:rPr>
          <w:b w:val="0"/>
          <w:i w:val="0"/>
          <w:highlight w:val="yellow"/>
        </w:rPr>
        <w:t>[follow-up duration, surgeon experience/learning curve, patient activity level — to discuss after data confirmed]</w:t>
      </w:r>
      <w:r>
        <w:rPr>
          <w:b w:val="0"/>
          <w:i w:val="0"/>
        </w:rPr>
        <w:t>.</w:t>
      </w:r>
    </w:p>
    <w:p>
      <w:r>
        <w:rPr>
          <w:b w:val="0"/>
          <w:i w:val="0"/>
        </w:rPr>
        <w:t xml:space="preserve">Biomechanically, nonanatomic ATFL repair with a proximal fibular tunnel has been shown to alter ankle kinematics and laxity in cadavers </w:t>
      </w:r>
      <w:r>
        <w:rPr>
          <w:b w:val="0"/>
          <w:i w:val="0"/>
        </w:rPr>
        <w:t>[11]</w:t>
      </w:r>
      <w:r>
        <w:rPr>
          <w:b w:val="0"/>
          <w:i w:val="0"/>
        </w:rPr>
        <w:t xml:space="preserve">. In the present study, however, final talar tilt, anterior translation, and side-to-side differences did not differ among the groups, which is consistent with the stress radiographic findings of Lee et al, who also found no between-group differences in anterior translation or talar tilt </w:t>
      </w:r>
      <w:r>
        <w:rPr>
          <w:b w:val="0"/>
          <w:i w:val="0"/>
        </w:rPr>
        <w:t>[2]</w:t>
      </w:r>
      <w:r>
        <w:rPr>
          <w:b w:val="0"/>
          <w:i w:val="0"/>
        </w:rPr>
        <w:t xml:space="preserve">. Although the reduction in anterior translation did not reach significance within the nonanatomic group, this group had the smallest number of ankles with final stress radiographs, and the between-group comparison of changes was not significant; this finding should therefore be interpreted with caution. Static stress radiographs may not capture rotational laxity, such as the internal rotation laxity described in the cadaveric study </w:t>
      </w:r>
      <w:r>
        <w:rPr>
          <w:b w:val="0"/>
          <w:i w:val="0"/>
        </w:rPr>
        <w:t>[11]</w:t>
      </w:r>
      <w:r>
        <w:rPr>
          <w:b w:val="0"/>
          <w:i w:val="0"/>
        </w:rPr>
        <w:t>, and dynamic or rotational evaluation would be needed to clarify whether anchor position affects these parameters in vivo.</w:t>
      </w:r>
    </w:p>
    <w:p>
      <w:r>
        <w:rPr>
          <w:b w:val="0"/>
          <w:i w:val="0"/>
        </w:rPr>
        <w:t xml:space="preserve">The FFI was the only outcome that differed among the groups. However, the difference was observed between the anatomic and subanatomic groups, with the subanatomic group showing the better score, and neither group differed from the nonanatomic group. In addition, the FFI was not correlated with the anchor position ratio when analyzed as a continuous variable (ρ = -0.14, P = .217), and the mean values in all groups were low (range, 2.1-3.7). Because a higher anchor position did not lead to worse FFI, this finding does not suggest a detrimental effect of nonanatomic anchor placement and may be attributable to multiple comparisons across many outcome measures. </w:t>
      </w:r>
      <w:r>
        <w:rPr>
          <w:b w:val="0"/>
          <w:i w:val="0"/>
          <w:highlight w:val="cyan"/>
        </w:rPr>
        <w:t>[please confirm this interpretation; see query 5]</w:t>
      </w:r>
    </w:p>
    <w:p>
      <w:r>
        <w:rPr>
          <w:b w:val="0"/>
          <w:i w:val="0"/>
        </w:rPr>
        <w:t xml:space="preserve">Identification of the fibular ATFL footprint during arthroscopy can be difficult because the footprint may not be fully visible from standard portals </w:t>
      </w:r>
      <w:r>
        <w:rPr>
          <w:b w:val="0"/>
          <w:i w:val="0"/>
        </w:rPr>
        <w:t>[13]</w:t>
      </w:r>
      <w:r>
        <w:rPr>
          <w:b w:val="0"/>
          <w:i w:val="0"/>
        </w:rPr>
        <w:t xml:space="preserve">. In our series, 35.8% of anchors were placed in the anatomic zone and 21.0% in the nonanatomic zone, a distribution similar to that reported by Lee et al </w:t>
      </w:r>
      <w:r>
        <w:rPr>
          <w:b w:val="0"/>
          <w:i w:val="0"/>
        </w:rPr>
        <w:t>[2]</w:t>
      </w:r>
      <w:r>
        <w:rPr>
          <w:b w:val="0"/>
          <w:i w:val="0"/>
        </w:rPr>
        <w:t xml:space="preserve">. The FOT has been proposed as a reliable bony landmark for identifying the ligament footprints </w:t>
      </w:r>
      <w:r>
        <w:rPr>
          <w:b w:val="0"/>
          <w:i w:val="0"/>
        </w:rPr>
        <w:t>[15,16]</w:t>
      </w:r>
      <w:r>
        <w:rPr>
          <w:b w:val="0"/>
          <w:i w:val="0"/>
        </w:rPr>
        <w:t>, and efforts to place the anchor at the anatomic footprint remain reasonable. Nevertheless, our results suggest that, at least within the range of anchor positions observed in this study, a modest deviation of the anchor from the anatomic footprint may not substantially compromise clinical or radiologic outcomes at a minimum of 2 years after the arthroscopic modified Broström procedure.</w:t>
      </w:r>
    </w:p>
    <w:p>
      <w:pPr>
        <w:pStyle w:val="Heading2"/>
      </w:pPr>
      <w:r>
        <w:t>Limitations</w:t>
      </w:r>
    </w:p>
    <w:p>
      <w:r>
        <w:rPr>
          <w:b w:val="0"/>
          <w:i w:val="0"/>
        </w:rPr>
        <w:t xml:space="preserve">This study has several limitations. First, it was a retrospective study with a relatively small number of ankles in the nonanatomic group (n = 17); therefore, the possibility of a type II error cannot be excluded </w:t>
      </w:r>
      <w:r>
        <w:rPr>
          <w:b w:val="0"/>
          <w:i w:val="0"/>
          <w:highlight w:val="yellow"/>
        </w:rPr>
        <w:t>[power analysis]</w:t>
      </w:r>
      <w:r>
        <w:rPr>
          <w:b w:val="0"/>
          <w:i w:val="0"/>
        </w:rPr>
        <w:t xml:space="preserve">. Second, the FFI, FAOS, FAAM, and EQ-5D-5L were assessed only at the final follow-up, so pre- to postoperative changes in these measures could not be evaluated. Third, final stress radiographs were not available for 9 ankles, and the contralateral final stress radiographs were not available for 1 additional ankle(s). Fourth, one patient underwent bilateral surgery and both ankles were analyzed as independent observations. Fifth, the 3D CT classification used in this study was adopted from a single previous study </w:t>
      </w:r>
      <w:r>
        <w:rPr>
          <w:b w:val="0"/>
          <w:i w:val="0"/>
        </w:rPr>
        <w:t>[2]</w:t>
      </w:r>
      <w:r>
        <w:rPr>
          <w:b w:val="0"/>
          <w:i w:val="0"/>
        </w:rPr>
        <w:t xml:space="preserve">, and its cutoff values have not been validated against clinical outcomes. Sixth, </w:t>
      </w:r>
      <w:r>
        <w:rPr>
          <w:b w:val="0"/>
          <w:i w:val="0"/>
          <w:highlight w:val="yellow"/>
        </w:rPr>
        <w:t>[single-surgeon series / learning curve; no MRI or dynamic evaluation of the repaired ligament; ceiling effect of the scores]</w:t>
      </w:r>
      <w:r>
        <w:rPr>
          <w:b w:val="0"/>
          <w:i w:val="0"/>
        </w:rPr>
        <w:t>.</w:t>
      </w:r>
    </w:p>
    <w:p>
      <w:pPr>
        <w:pStyle w:val="Heading1"/>
      </w:pPr>
      <w:r>
        <w:t>Conclusion</w:t>
      </w:r>
    </w:p>
    <w:p>
      <w:r>
        <w:rPr>
          <w:b w:val="0"/>
          <w:i w:val="0"/>
        </w:rPr>
        <w:t>No significant differences in clinical or radiologic outcomes were found according to the fibular anchor position after the arthroscopic modified Broström procedure at a minimum 2-year follow-up. Pain and functional scores improved significantly in all groups, and the activity level was maintained or improved in most patients.</w:t>
      </w:r>
    </w:p>
    <w:p>
      <w:r>
        <w:br w:type="page"/>
      </w:r>
    </w:p>
    <w:p>
      <w:pPr>
        <w:pStyle w:val="Heading1"/>
      </w:pPr>
      <w:r>
        <w:t>Tables</w:t>
      </w:r>
    </w:p>
    <w:p>
      <w:pPr>
        <w:spacing w:after="60" w:line="240" w:lineRule="auto"/>
      </w:pPr>
      <w:r>
        <w:rPr>
          <w:b/>
          <w:i w:val="0"/>
          <w:sz w:val="20"/>
        </w:rPr>
        <w:t>Table 1. Patient characteristics and preoperative parameters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Variable</w:t>
            </w:r>
          </w:p>
        </w:tc>
        <w:tc>
          <w:tcPr>
            <w:tcW w:type="dxa" w:w="1417"/>
          </w:tcPr>
          <w:p>
            <w:pPr>
              <w:spacing w:line="240" w:lineRule="auto" w:after="0"/>
              <w:jc w:val="center"/>
            </w:pPr>
            <w:r/>
            <w:r>
              <w:rPr>
                <w:b/>
                <w:i w:val="0"/>
                <w:sz w:val="17"/>
              </w:rPr>
              <w:t>Total (n = 81)</w:t>
            </w:r>
          </w:p>
        </w:tc>
        <w:tc>
          <w:tcPr>
            <w:tcW w:type="dxa" w:w="1417"/>
          </w:tcPr>
          <w:p>
            <w:pPr>
              <w:spacing w:line="240" w:lineRule="auto" w:after="0"/>
              <w:jc w:val="center"/>
            </w:pPr>
            <w:r/>
            <w:r>
              <w:rPr>
                <w:b/>
                <w:i w:val="0"/>
                <w:sz w:val="17"/>
              </w:rPr>
              <w:t>Anatomic (n = 29)</w:t>
            </w:r>
          </w:p>
        </w:tc>
        <w:tc>
          <w:tcPr>
            <w:tcW w:type="dxa" w:w="1417"/>
          </w:tcPr>
          <w:p>
            <w:pPr>
              <w:spacing w:line="240" w:lineRule="auto" w:after="0"/>
              <w:jc w:val="center"/>
            </w:pPr>
            <w:r/>
            <w:r>
              <w:rPr>
                <w:b/>
                <w:i w:val="0"/>
                <w:sz w:val="17"/>
              </w:rPr>
              <w:t>Subanatomic (n = 35)</w:t>
            </w:r>
          </w:p>
        </w:tc>
        <w:tc>
          <w:tcPr>
            <w:tcW w:type="dxa" w:w="1417"/>
          </w:tcPr>
          <w:p>
            <w:pPr>
              <w:spacing w:line="240" w:lineRule="auto" w:after="0"/>
              <w:jc w:val="center"/>
            </w:pPr>
            <w:r/>
            <w:r>
              <w:rPr>
                <w:b/>
                <w:i w:val="0"/>
                <w:sz w:val="17"/>
              </w:rPr>
              <w:t>Nonanatomic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val="0"/>
                <w:i w:val="0"/>
                <w:sz w:val="17"/>
              </w:rPr>
              <w:t>Age, y</w:t>
            </w:r>
          </w:p>
        </w:tc>
        <w:tc>
          <w:tcPr>
            <w:tcW w:type="dxa" w:w="1417"/>
          </w:tcPr>
          <w:p>
            <w:pPr>
              <w:spacing w:line="240" w:lineRule="auto" w:after="0"/>
              <w:jc w:val="center"/>
            </w:pPr>
            <w:r/>
            <w:r>
              <w:rPr>
                <w:b w:val="0"/>
                <w:i w:val="0"/>
                <w:sz w:val="17"/>
              </w:rPr>
              <w:t>31.2 ± 13.6</w:t>
            </w:r>
          </w:p>
        </w:tc>
        <w:tc>
          <w:tcPr>
            <w:tcW w:type="dxa" w:w="1417"/>
          </w:tcPr>
          <w:p>
            <w:pPr>
              <w:spacing w:line="240" w:lineRule="auto" w:after="0"/>
              <w:jc w:val="center"/>
            </w:pPr>
            <w:r/>
            <w:r>
              <w:rPr>
                <w:b w:val="0"/>
                <w:i w:val="0"/>
                <w:sz w:val="17"/>
              </w:rPr>
              <w:t>30.1 ± 12.6</w:t>
            </w:r>
          </w:p>
        </w:tc>
        <w:tc>
          <w:tcPr>
            <w:tcW w:type="dxa" w:w="1417"/>
          </w:tcPr>
          <w:p>
            <w:pPr>
              <w:spacing w:line="240" w:lineRule="auto" w:after="0"/>
              <w:jc w:val="center"/>
            </w:pPr>
            <w:r/>
            <w:r>
              <w:rPr>
                <w:b w:val="0"/>
                <w:i w:val="0"/>
                <w:sz w:val="17"/>
              </w:rPr>
              <w:t>34.1 ± 15.4</w:t>
            </w:r>
          </w:p>
        </w:tc>
        <w:tc>
          <w:tcPr>
            <w:tcW w:type="dxa" w:w="1417"/>
          </w:tcPr>
          <w:p>
            <w:pPr>
              <w:spacing w:line="240" w:lineRule="auto" w:after="0"/>
              <w:jc w:val="center"/>
            </w:pPr>
            <w:r/>
            <w:r>
              <w:rPr>
                <w:b w:val="0"/>
                <w:i w:val="0"/>
                <w:sz w:val="17"/>
              </w:rPr>
              <w:t>27.1 ± 10.3</w:t>
            </w:r>
          </w:p>
        </w:tc>
        <w:tc>
          <w:tcPr>
            <w:tcW w:type="dxa" w:w="737"/>
          </w:tcPr>
          <w:p>
            <w:pPr>
              <w:spacing w:line="240" w:lineRule="auto" w:after="0"/>
              <w:jc w:val="center"/>
            </w:pPr>
            <w:r/>
            <w:r>
              <w:rPr>
                <w:b w:val="0"/>
                <w:i w:val="0"/>
                <w:sz w:val="17"/>
              </w:rPr>
              <w:t>.431</w:t>
            </w:r>
          </w:p>
        </w:tc>
      </w:tr>
      <w:tr>
        <w:tc>
          <w:tcPr>
            <w:tcW w:type="dxa" w:w="2381"/>
          </w:tcPr>
          <w:p>
            <w:pPr>
              <w:spacing w:line="240" w:lineRule="auto" w:after="0"/>
            </w:pPr>
            <w:r/>
            <w:r>
              <w:rPr>
                <w:b w:val="0"/>
                <w:i w:val="0"/>
                <w:sz w:val="17"/>
              </w:rPr>
              <w:t>Sex, male/female, n</w:t>
            </w:r>
          </w:p>
        </w:tc>
        <w:tc>
          <w:tcPr>
            <w:tcW w:type="dxa" w:w="1417"/>
          </w:tcPr>
          <w:p>
            <w:pPr>
              <w:spacing w:line="240" w:lineRule="auto" w:after="0"/>
              <w:jc w:val="center"/>
            </w:pPr>
            <w:r/>
            <w:r>
              <w:rPr>
                <w:b w:val="0"/>
                <w:i w:val="0"/>
                <w:sz w:val="17"/>
              </w:rPr>
              <w:t>35/46</w:t>
            </w:r>
          </w:p>
        </w:tc>
        <w:tc>
          <w:tcPr>
            <w:tcW w:type="dxa" w:w="1417"/>
          </w:tcPr>
          <w:p>
            <w:pPr>
              <w:spacing w:line="240" w:lineRule="auto" w:after="0"/>
              <w:jc w:val="center"/>
            </w:pPr>
            <w:r/>
            <w:r>
              <w:rPr>
                <w:b w:val="0"/>
                <w:i w:val="0"/>
                <w:sz w:val="17"/>
              </w:rPr>
              <w:t>11/18</w:t>
            </w:r>
          </w:p>
        </w:tc>
        <w:tc>
          <w:tcPr>
            <w:tcW w:type="dxa" w:w="1417"/>
          </w:tcPr>
          <w:p>
            <w:pPr>
              <w:spacing w:line="240" w:lineRule="auto" w:after="0"/>
              <w:jc w:val="center"/>
            </w:pPr>
            <w:r/>
            <w:r>
              <w:rPr>
                <w:b w:val="0"/>
                <w:i w:val="0"/>
                <w:sz w:val="17"/>
              </w:rPr>
              <w:t>15/20</w:t>
            </w:r>
          </w:p>
        </w:tc>
        <w:tc>
          <w:tcPr>
            <w:tcW w:type="dxa" w:w="1417"/>
          </w:tcPr>
          <w:p>
            <w:pPr>
              <w:spacing w:line="240" w:lineRule="auto" w:after="0"/>
              <w:jc w:val="center"/>
            </w:pPr>
            <w:r/>
            <w:r>
              <w:rPr>
                <w:b w:val="0"/>
                <w:i w:val="0"/>
                <w:sz w:val="17"/>
              </w:rPr>
              <w:t>9/8</w:t>
            </w:r>
          </w:p>
        </w:tc>
        <w:tc>
          <w:tcPr>
            <w:tcW w:type="dxa" w:w="737"/>
          </w:tcPr>
          <w:p>
            <w:pPr>
              <w:spacing w:line="240" w:lineRule="auto" w:after="0"/>
              <w:jc w:val="center"/>
            </w:pPr>
            <w:r/>
            <w:r>
              <w:rPr>
                <w:b w:val="0"/>
                <w:i w:val="0"/>
                <w:sz w:val="17"/>
              </w:rPr>
              <w:t>.610</w:t>
            </w:r>
          </w:p>
        </w:tc>
      </w:tr>
      <w:tr>
        <w:tc>
          <w:tcPr>
            <w:tcW w:type="dxa" w:w="2381"/>
          </w:tcPr>
          <w:p>
            <w:pPr>
              <w:spacing w:line="240" w:lineRule="auto" w:after="0"/>
            </w:pPr>
            <w:r/>
            <w:r>
              <w:rPr>
                <w:b w:val="0"/>
                <w:i w:val="0"/>
                <w:sz w:val="17"/>
              </w:rPr>
              <w:t>Side, right/left, n</w:t>
            </w:r>
          </w:p>
        </w:tc>
        <w:tc>
          <w:tcPr>
            <w:tcW w:type="dxa" w:w="1417"/>
          </w:tcPr>
          <w:p>
            <w:pPr>
              <w:spacing w:line="240" w:lineRule="auto" w:after="0"/>
              <w:jc w:val="center"/>
            </w:pPr>
            <w:r/>
            <w:r>
              <w:rPr>
                <w:b w:val="0"/>
                <w:i w:val="0"/>
                <w:sz w:val="17"/>
              </w:rPr>
              <w:t>44/37</w:t>
            </w:r>
          </w:p>
        </w:tc>
        <w:tc>
          <w:tcPr>
            <w:tcW w:type="dxa" w:w="1417"/>
          </w:tcPr>
          <w:p>
            <w:pPr>
              <w:spacing w:line="240" w:lineRule="auto" w:after="0"/>
              <w:jc w:val="center"/>
            </w:pPr>
            <w:r/>
            <w:r>
              <w:rPr>
                <w:b w:val="0"/>
                <w:i w:val="0"/>
                <w:sz w:val="17"/>
              </w:rPr>
              <w:t>18/11</w:t>
            </w:r>
          </w:p>
        </w:tc>
        <w:tc>
          <w:tcPr>
            <w:tcW w:type="dxa" w:w="1417"/>
          </w:tcPr>
          <w:p>
            <w:pPr>
              <w:spacing w:line="240" w:lineRule="auto" w:after="0"/>
              <w:jc w:val="center"/>
            </w:pPr>
            <w:r/>
            <w:r>
              <w:rPr>
                <w:b w:val="0"/>
                <w:i w:val="0"/>
                <w:sz w:val="17"/>
              </w:rPr>
              <w:t>19/16</w:t>
            </w:r>
          </w:p>
        </w:tc>
        <w:tc>
          <w:tcPr>
            <w:tcW w:type="dxa" w:w="1417"/>
          </w:tcPr>
          <w:p>
            <w:pPr>
              <w:spacing w:line="240" w:lineRule="auto" w:after="0"/>
              <w:jc w:val="center"/>
            </w:pPr>
            <w:r/>
            <w:r>
              <w:rPr>
                <w:b w:val="0"/>
                <w:i w:val="0"/>
                <w:sz w:val="17"/>
              </w:rPr>
              <w:t>7/10</w:t>
            </w:r>
          </w:p>
        </w:tc>
        <w:tc>
          <w:tcPr>
            <w:tcW w:type="dxa" w:w="737"/>
          </w:tcPr>
          <w:p>
            <w:pPr>
              <w:spacing w:line="240" w:lineRule="auto" w:after="0"/>
              <w:jc w:val="center"/>
            </w:pPr>
            <w:r/>
            <w:r>
              <w:rPr>
                <w:b w:val="0"/>
                <w:i w:val="0"/>
                <w:sz w:val="17"/>
              </w:rPr>
              <w:t>.390</w:t>
            </w:r>
          </w:p>
        </w:tc>
      </w:tr>
      <w:tr>
        <w:tc>
          <w:tcPr>
            <w:tcW w:type="dxa" w:w="2381"/>
          </w:tcPr>
          <w:p>
            <w:pPr>
              <w:spacing w:line="240" w:lineRule="auto" w:after="0"/>
            </w:pPr>
            <w:r/>
            <w:r>
              <w:rPr>
                <w:b w:val="0"/>
                <w:i w:val="0"/>
                <w:sz w:val="17"/>
              </w:rPr>
              <w:t>BMI, kg/m²</w:t>
            </w:r>
          </w:p>
        </w:tc>
        <w:tc>
          <w:tcPr>
            <w:tcW w:type="dxa" w:w="1417"/>
          </w:tcPr>
          <w:p>
            <w:pPr>
              <w:spacing w:line="240" w:lineRule="auto" w:after="0"/>
              <w:jc w:val="center"/>
            </w:pPr>
            <w:r/>
            <w:r>
              <w:rPr>
                <w:b w:val="0"/>
                <w:i w:val="0"/>
                <w:sz w:val="17"/>
              </w:rPr>
              <w:t>24.8 ± 3.4</w:t>
            </w:r>
          </w:p>
        </w:tc>
        <w:tc>
          <w:tcPr>
            <w:tcW w:type="dxa" w:w="1417"/>
          </w:tcPr>
          <w:p>
            <w:pPr>
              <w:spacing w:line="240" w:lineRule="auto" w:after="0"/>
              <w:jc w:val="center"/>
            </w:pPr>
            <w:r/>
            <w:r>
              <w:rPr>
                <w:b w:val="0"/>
                <w:i w:val="0"/>
                <w:sz w:val="17"/>
              </w:rPr>
              <w:t>25.0 ± 4.0</w:t>
            </w:r>
          </w:p>
        </w:tc>
        <w:tc>
          <w:tcPr>
            <w:tcW w:type="dxa" w:w="1417"/>
          </w:tcPr>
          <w:p>
            <w:pPr>
              <w:spacing w:line="240" w:lineRule="auto" w:after="0"/>
              <w:jc w:val="center"/>
            </w:pPr>
            <w:r/>
            <w:r>
              <w:rPr>
                <w:b w:val="0"/>
                <w:i w:val="0"/>
                <w:sz w:val="17"/>
              </w:rPr>
              <w:t>24.7 ± 2.7</w:t>
            </w:r>
          </w:p>
        </w:tc>
        <w:tc>
          <w:tcPr>
            <w:tcW w:type="dxa" w:w="1417"/>
          </w:tcPr>
          <w:p>
            <w:pPr>
              <w:spacing w:line="240" w:lineRule="auto" w:after="0"/>
              <w:jc w:val="center"/>
            </w:pPr>
            <w:r/>
            <w:r>
              <w:rPr>
                <w:b w:val="0"/>
                <w:i w:val="0"/>
                <w:sz w:val="17"/>
              </w:rPr>
              <w:t>24.4 ± 3.5</w:t>
            </w:r>
          </w:p>
        </w:tc>
        <w:tc>
          <w:tcPr>
            <w:tcW w:type="dxa" w:w="737"/>
          </w:tcPr>
          <w:p>
            <w:pPr>
              <w:spacing w:line="240" w:lineRule="auto" w:after="0"/>
              <w:jc w:val="center"/>
            </w:pPr>
            <w:r/>
            <w:r>
              <w:rPr>
                <w:b w:val="0"/>
                <w:i w:val="0"/>
                <w:sz w:val="17"/>
              </w:rPr>
              <w:t>.876</w:t>
            </w:r>
          </w:p>
        </w:tc>
      </w:tr>
      <w:tr>
        <w:tc>
          <w:tcPr>
            <w:tcW w:type="dxa" w:w="2381"/>
          </w:tcPr>
          <w:p>
            <w:pPr>
              <w:spacing w:line="240" w:lineRule="auto" w:after="0"/>
            </w:pPr>
            <w:r/>
            <w:r>
              <w:rPr>
                <w:b w:val="0"/>
                <w:i w:val="0"/>
                <w:sz w:val="17"/>
              </w:rPr>
              <w:t>Beighton score</w:t>
            </w:r>
          </w:p>
        </w:tc>
        <w:tc>
          <w:tcPr>
            <w:tcW w:type="dxa" w:w="1417"/>
          </w:tcPr>
          <w:p>
            <w:pPr>
              <w:spacing w:line="240" w:lineRule="auto" w:after="0"/>
              <w:jc w:val="center"/>
            </w:pPr>
            <w:r/>
            <w:r>
              <w:rPr>
                <w:b w:val="0"/>
                <w:i w:val="0"/>
                <w:sz w:val="17"/>
              </w:rPr>
              <w:t>3.7 ± 2.5</w:t>
            </w:r>
          </w:p>
        </w:tc>
        <w:tc>
          <w:tcPr>
            <w:tcW w:type="dxa" w:w="1417"/>
          </w:tcPr>
          <w:p>
            <w:pPr>
              <w:spacing w:line="240" w:lineRule="auto" w:after="0"/>
              <w:jc w:val="center"/>
            </w:pPr>
            <w:r/>
            <w:r>
              <w:rPr>
                <w:b w:val="0"/>
                <w:i w:val="0"/>
                <w:sz w:val="17"/>
              </w:rPr>
              <w:t>3.3 ± 2.3</w:t>
            </w:r>
          </w:p>
        </w:tc>
        <w:tc>
          <w:tcPr>
            <w:tcW w:type="dxa" w:w="1417"/>
          </w:tcPr>
          <w:p>
            <w:pPr>
              <w:spacing w:line="240" w:lineRule="auto" w:after="0"/>
              <w:jc w:val="center"/>
            </w:pPr>
            <w:r/>
            <w:r>
              <w:rPr>
                <w:b w:val="0"/>
                <w:i w:val="0"/>
                <w:sz w:val="17"/>
              </w:rPr>
              <w:t>4.0 ± 2.5</w:t>
            </w:r>
          </w:p>
        </w:tc>
        <w:tc>
          <w:tcPr>
            <w:tcW w:type="dxa" w:w="1417"/>
          </w:tcPr>
          <w:p>
            <w:pPr>
              <w:spacing w:line="240" w:lineRule="auto" w:after="0"/>
              <w:jc w:val="center"/>
            </w:pPr>
            <w:r/>
            <w:r>
              <w:rPr>
                <w:b w:val="0"/>
                <w:i w:val="0"/>
                <w:sz w:val="17"/>
              </w:rPr>
              <w:t>3.4 ± 2.7</w:t>
            </w:r>
          </w:p>
        </w:tc>
        <w:tc>
          <w:tcPr>
            <w:tcW w:type="dxa" w:w="737"/>
          </w:tcPr>
          <w:p>
            <w:pPr>
              <w:spacing w:line="240" w:lineRule="auto" w:after="0"/>
              <w:jc w:val="center"/>
            </w:pPr>
            <w:r/>
            <w:r>
              <w:rPr>
                <w:b w:val="0"/>
                <w:i w:val="0"/>
                <w:sz w:val="17"/>
              </w:rPr>
              <w:t>.413</w:t>
            </w:r>
          </w:p>
        </w:tc>
      </w:tr>
      <w:tr>
        <w:tc>
          <w:tcPr>
            <w:tcW w:type="dxa" w:w="2381"/>
          </w:tcPr>
          <w:p>
            <w:pPr>
              <w:spacing w:line="240" w:lineRule="auto" w:after="0"/>
            </w:pPr>
            <w:r/>
            <w:r>
              <w:rPr>
                <w:b w:val="0"/>
                <w:i w:val="0"/>
                <w:sz w:val="17"/>
              </w:rPr>
              <w:t>Anchor position ratio, %</w:t>
            </w:r>
          </w:p>
        </w:tc>
        <w:tc>
          <w:tcPr>
            <w:tcW w:type="dxa" w:w="1417"/>
          </w:tcPr>
          <w:p>
            <w:pPr>
              <w:spacing w:line="240" w:lineRule="auto" w:after="0"/>
              <w:jc w:val="center"/>
            </w:pPr>
            <w:r/>
            <w:r>
              <w:rPr>
                <w:b w:val="0"/>
                <w:i w:val="0"/>
                <w:sz w:val="17"/>
              </w:rPr>
              <w:t>38.4 ± 16.8</w:t>
            </w:r>
          </w:p>
        </w:tc>
        <w:tc>
          <w:tcPr>
            <w:tcW w:type="dxa" w:w="1417"/>
          </w:tcPr>
          <w:p>
            <w:pPr>
              <w:spacing w:line="240" w:lineRule="auto" w:after="0"/>
              <w:jc w:val="center"/>
            </w:pPr>
            <w:r/>
            <w:r>
              <w:rPr>
                <w:b w:val="0"/>
                <w:i w:val="0"/>
                <w:sz w:val="17"/>
              </w:rPr>
              <w:t>21.9 ± 3.0</w:t>
            </w:r>
          </w:p>
        </w:tc>
        <w:tc>
          <w:tcPr>
            <w:tcW w:type="dxa" w:w="1417"/>
          </w:tcPr>
          <w:p>
            <w:pPr>
              <w:spacing w:line="240" w:lineRule="auto" w:after="0"/>
              <w:jc w:val="center"/>
            </w:pPr>
            <w:r/>
            <w:r>
              <w:rPr>
                <w:b w:val="0"/>
                <w:i w:val="0"/>
                <w:sz w:val="17"/>
              </w:rPr>
              <w:t>39.0 ± 6.6</w:t>
            </w:r>
          </w:p>
        </w:tc>
        <w:tc>
          <w:tcPr>
            <w:tcW w:type="dxa" w:w="1417"/>
          </w:tcPr>
          <w:p>
            <w:pPr>
              <w:spacing w:line="240" w:lineRule="auto" w:after="0"/>
              <w:jc w:val="center"/>
            </w:pPr>
            <w:r/>
            <w:r>
              <w:rPr>
                <w:b w:val="0"/>
                <w:i w:val="0"/>
                <w:sz w:val="17"/>
              </w:rPr>
              <w:t>65.1 ± 7.8</w:t>
            </w:r>
          </w:p>
        </w:tc>
        <w:tc>
          <w:tcPr>
            <w:tcW w:type="dxa" w:w="737"/>
          </w:tcPr>
          <w:p>
            <w:pPr>
              <w:spacing w:line="240" w:lineRule="auto" w:after="0"/>
              <w:jc w:val="center"/>
            </w:pPr>
            <w:r/>
            <w:r>
              <w:rPr>
                <w:b w:val="0"/>
                <w:i w:val="0"/>
                <w:sz w:val="17"/>
              </w:rPr>
              <w:t>—</w:t>
            </w:r>
          </w:p>
        </w:tc>
      </w:tr>
      <w:tr>
        <w:tc>
          <w:tcPr>
            <w:tcW w:type="dxa" w:w="2381"/>
          </w:tcPr>
          <w:p>
            <w:pPr>
              <w:spacing w:line="240" w:lineRule="auto" w:after="0"/>
            </w:pPr>
            <w:r/>
            <w:r>
              <w:rPr>
                <w:b w:val="0"/>
                <w:i w:val="0"/>
                <w:sz w:val="17"/>
              </w:rPr>
              <w:t>Preop VAS</w:t>
            </w:r>
          </w:p>
        </w:tc>
        <w:tc>
          <w:tcPr>
            <w:tcW w:type="dxa" w:w="1417"/>
          </w:tcPr>
          <w:p>
            <w:pPr>
              <w:spacing w:line="240" w:lineRule="auto" w:after="0"/>
              <w:jc w:val="center"/>
            </w:pPr>
            <w:r/>
            <w:r>
              <w:rPr>
                <w:b w:val="0"/>
                <w:i w:val="0"/>
                <w:sz w:val="17"/>
              </w:rPr>
              <w:t>4.37 ± 1.32</w:t>
            </w:r>
          </w:p>
        </w:tc>
        <w:tc>
          <w:tcPr>
            <w:tcW w:type="dxa" w:w="1417"/>
          </w:tcPr>
          <w:p>
            <w:pPr>
              <w:spacing w:line="240" w:lineRule="auto" w:after="0"/>
              <w:jc w:val="center"/>
            </w:pPr>
            <w:r/>
            <w:r>
              <w:rPr>
                <w:b w:val="0"/>
                <w:i w:val="0"/>
                <w:sz w:val="17"/>
              </w:rPr>
              <w:t>4.00 ± 1.07</w:t>
            </w:r>
          </w:p>
        </w:tc>
        <w:tc>
          <w:tcPr>
            <w:tcW w:type="dxa" w:w="1417"/>
          </w:tcPr>
          <w:p>
            <w:pPr>
              <w:spacing w:line="240" w:lineRule="auto" w:after="0"/>
              <w:jc w:val="center"/>
            </w:pPr>
            <w:r/>
            <w:r>
              <w:rPr>
                <w:b w:val="0"/>
                <w:i w:val="0"/>
                <w:sz w:val="17"/>
              </w:rPr>
              <w:t>4.54 ± 1.44</w:t>
            </w:r>
          </w:p>
        </w:tc>
        <w:tc>
          <w:tcPr>
            <w:tcW w:type="dxa" w:w="1417"/>
          </w:tcPr>
          <w:p>
            <w:pPr>
              <w:spacing w:line="240" w:lineRule="auto" w:after="0"/>
              <w:jc w:val="center"/>
            </w:pPr>
            <w:r/>
            <w:r>
              <w:rPr>
                <w:b w:val="0"/>
                <w:i w:val="0"/>
                <w:sz w:val="17"/>
              </w:rPr>
              <w:t>4.65 ± 1.37</w:t>
            </w:r>
          </w:p>
        </w:tc>
        <w:tc>
          <w:tcPr>
            <w:tcW w:type="dxa" w:w="737"/>
          </w:tcPr>
          <w:p>
            <w:pPr>
              <w:spacing w:line="240" w:lineRule="auto" w:after="0"/>
              <w:jc w:val="center"/>
            </w:pPr>
            <w:r/>
            <w:r>
              <w:rPr>
                <w:b w:val="0"/>
                <w:i w:val="0"/>
                <w:sz w:val="17"/>
              </w:rPr>
              <w:t>.163</w:t>
            </w:r>
          </w:p>
        </w:tc>
      </w:tr>
      <w:tr>
        <w:tc>
          <w:tcPr>
            <w:tcW w:type="dxa" w:w="2381"/>
          </w:tcPr>
          <w:p>
            <w:pPr>
              <w:spacing w:line="240" w:lineRule="auto" w:after="0"/>
            </w:pPr>
            <w:r/>
            <w:r>
              <w:rPr>
                <w:b w:val="0"/>
                <w:i w:val="0"/>
                <w:sz w:val="17"/>
              </w:rPr>
              <w:t>Preop KP score</w:t>
            </w:r>
          </w:p>
        </w:tc>
        <w:tc>
          <w:tcPr>
            <w:tcW w:type="dxa" w:w="1417"/>
          </w:tcPr>
          <w:p>
            <w:pPr>
              <w:spacing w:line="240" w:lineRule="auto" w:after="0"/>
              <w:jc w:val="center"/>
            </w:pPr>
            <w:r/>
            <w:r>
              <w:rPr>
                <w:b w:val="0"/>
                <w:i w:val="0"/>
                <w:sz w:val="17"/>
              </w:rPr>
              <w:t>51.65 ± 14.11</w:t>
            </w:r>
          </w:p>
        </w:tc>
        <w:tc>
          <w:tcPr>
            <w:tcW w:type="dxa" w:w="1417"/>
          </w:tcPr>
          <w:p>
            <w:pPr>
              <w:spacing w:line="240" w:lineRule="auto" w:after="0"/>
              <w:jc w:val="center"/>
            </w:pPr>
            <w:r/>
            <w:r>
              <w:rPr>
                <w:b w:val="0"/>
                <w:i w:val="0"/>
                <w:sz w:val="17"/>
              </w:rPr>
              <w:t>48.62 ± 15.01</w:t>
            </w:r>
          </w:p>
        </w:tc>
        <w:tc>
          <w:tcPr>
            <w:tcW w:type="dxa" w:w="1417"/>
          </w:tcPr>
          <w:p>
            <w:pPr>
              <w:spacing w:line="240" w:lineRule="auto" w:after="0"/>
              <w:jc w:val="center"/>
            </w:pPr>
            <w:r/>
            <w:r>
              <w:rPr>
                <w:b w:val="0"/>
                <w:i w:val="0"/>
                <w:sz w:val="17"/>
              </w:rPr>
              <w:t>53.74 ± 13.10</w:t>
            </w:r>
          </w:p>
        </w:tc>
        <w:tc>
          <w:tcPr>
            <w:tcW w:type="dxa" w:w="1417"/>
          </w:tcPr>
          <w:p>
            <w:pPr>
              <w:spacing w:line="240" w:lineRule="auto" w:after="0"/>
              <w:jc w:val="center"/>
            </w:pPr>
            <w:r/>
            <w:r>
              <w:rPr>
                <w:b w:val="0"/>
                <w:i w:val="0"/>
                <w:sz w:val="17"/>
              </w:rPr>
              <w:t>52.53 ± 14.49</w:t>
            </w:r>
          </w:p>
        </w:tc>
        <w:tc>
          <w:tcPr>
            <w:tcW w:type="dxa" w:w="737"/>
          </w:tcPr>
          <w:p>
            <w:pPr>
              <w:spacing w:line="240" w:lineRule="auto" w:after="0"/>
              <w:jc w:val="center"/>
            </w:pPr>
            <w:r/>
            <w:r>
              <w:rPr>
                <w:b w:val="0"/>
                <w:i w:val="0"/>
                <w:sz w:val="17"/>
              </w:rPr>
              <w:t>.510</w:t>
            </w:r>
          </w:p>
        </w:tc>
      </w:tr>
      <w:tr>
        <w:tc>
          <w:tcPr>
            <w:tcW w:type="dxa" w:w="2381"/>
          </w:tcPr>
          <w:p>
            <w:pPr>
              <w:spacing w:line="240" w:lineRule="auto" w:after="0"/>
            </w:pPr>
            <w:r/>
            <w:r>
              <w:rPr>
                <w:b w:val="0"/>
                <w:i w:val="0"/>
                <w:sz w:val="17"/>
              </w:rPr>
              <w:t>Preop AOFAS score</w:t>
            </w:r>
          </w:p>
        </w:tc>
        <w:tc>
          <w:tcPr>
            <w:tcW w:type="dxa" w:w="1417"/>
          </w:tcPr>
          <w:p>
            <w:pPr>
              <w:spacing w:line="240" w:lineRule="auto" w:after="0"/>
              <w:jc w:val="center"/>
            </w:pPr>
            <w:r/>
            <w:r>
              <w:rPr>
                <w:b w:val="0"/>
                <w:i w:val="0"/>
                <w:sz w:val="17"/>
              </w:rPr>
              <w:t>67.62 ± 14.62</w:t>
            </w:r>
          </w:p>
        </w:tc>
        <w:tc>
          <w:tcPr>
            <w:tcW w:type="dxa" w:w="1417"/>
          </w:tcPr>
          <w:p>
            <w:pPr>
              <w:spacing w:line="240" w:lineRule="auto" w:after="0"/>
              <w:jc w:val="center"/>
            </w:pPr>
            <w:r/>
            <w:r>
              <w:rPr>
                <w:b w:val="0"/>
                <w:i w:val="0"/>
                <w:sz w:val="17"/>
              </w:rPr>
              <w:t>69.34 ± 16.67</w:t>
            </w:r>
          </w:p>
        </w:tc>
        <w:tc>
          <w:tcPr>
            <w:tcW w:type="dxa" w:w="1417"/>
          </w:tcPr>
          <w:p>
            <w:pPr>
              <w:spacing w:line="240" w:lineRule="auto" w:after="0"/>
              <w:jc w:val="center"/>
            </w:pPr>
            <w:r/>
            <w:r>
              <w:rPr>
                <w:b w:val="0"/>
                <w:i w:val="0"/>
                <w:sz w:val="17"/>
              </w:rPr>
              <w:t>67.49 ± 13.65</w:t>
            </w:r>
          </w:p>
        </w:tc>
        <w:tc>
          <w:tcPr>
            <w:tcW w:type="dxa" w:w="1417"/>
          </w:tcPr>
          <w:p>
            <w:pPr>
              <w:spacing w:line="240" w:lineRule="auto" w:after="0"/>
              <w:jc w:val="center"/>
            </w:pPr>
            <w:r/>
            <w:r>
              <w:rPr>
                <w:b w:val="0"/>
                <w:i w:val="0"/>
                <w:sz w:val="17"/>
              </w:rPr>
              <w:t>64.94 ± 13.14</w:t>
            </w:r>
          </w:p>
        </w:tc>
        <w:tc>
          <w:tcPr>
            <w:tcW w:type="dxa" w:w="737"/>
          </w:tcPr>
          <w:p>
            <w:pPr>
              <w:spacing w:line="240" w:lineRule="auto" w:after="0"/>
              <w:jc w:val="center"/>
            </w:pPr>
            <w:r/>
            <w:r>
              <w:rPr>
                <w:b w:val="0"/>
                <w:i w:val="0"/>
                <w:sz w:val="17"/>
              </w:rPr>
              <w:t>.389</w:t>
            </w:r>
          </w:p>
        </w:tc>
      </w:tr>
      <w:tr>
        <w:tc>
          <w:tcPr>
            <w:tcW w:type="dxa" w:w="2381"/>
          </w:tcPr>
          <w:p>
            <w:pPr>
              <w:spacing w:line="240" w:lineRule="auto" w:after="0"/>
            </w:pPr>
            <w:r/>
            <w:r>
              <w:rPr>
                <w:b w:val="0"/>
                <w:i w:val="0"/>
                <w:sz w:val="17"/>
              </w:rPr>
              <w:t>Preop Tegner score</w:t>
            </w:r>
          </w:p>
        </w:tc>
        <w:tc>
          <w:tcPr>
            <w:tcW w:type="dxa" w:w="1417"/>
          </w:tcPr>
          <w:p>
            <w:pPr>
              <w:spacing w:line="240" w:lineRule="auto" w:after="0"/>
              <w:jc w:val="center"/>
            </w:pPr>
            <w:r/>
            <w:r>
              <w:rPr>
                <w:b w:val="0"/>
                <w:i w:val="0"/>
                <w:sz w:val="17"/>
              </w:rPr>
              <w:t>6.27 ± 1.63</w:t>
            </w:r>
          </w:p>
        </w:tc>
        <w:tc>
          <w:tcPr>
            <w:tcW w:type="dxa" w:w="1417"/>
          </w:tcPr>
          <w:p>
            <w:pPr>
              <w:spacing w:line="240" w:lineRule="auto" w:after="0"/>
              <w:jc w:val="center"/>
            </w:pPr>
            <w:r/>
            <w:r>
              <w:rPr>
                <w:b w:val="0"/>
                <w:i w:val="0"/>
                <w:sz w:val="17"/>
              </w:rPr>
              <w:t>5.97 ± 1.95</w:t>
            </w:r>
          </w:p>
        </w:tc>
        <w:tc>
          <w:tcPr>
            <w:tcW w:type="dxa" w:w="1417"/>
          </w:tcPr>
          <w:p>
            <w:pPr>
              <w:spacing w:line="240" w:lineRule="auto" w:after="0"/>
              <w:jc w:val="center"/>
            </w:pPr>
            <w:r/>
            <w:r>
              <w:rPr>
                <w:b w:val="0"/>
                <w:i w:val="0"/>
                <w:sz w:val="17"/>
              </w:rPr>
              <w:t>6.17 ± 1.40</w:t>
            </w:r>
          </w:p>
        </w:tc>
        <w:tc>
          <w:tcPr>
            <w:tcW w:type="dxa" w:w="1417"/>
          </w:tcPr>
          <w:p>
            <w:pPr>
              <w:spacing w:line="240" w:lineRule="auto" w:after="0"/>
              <w:jc w:val="center"/>
            </w:pPr>
            <w:r/>
            <w:r>
              <w:rPr>
                <w:b w:val="0"/>
                <w:i w:val="0"/>
                <w:sz w:val="17"/>
              </w:rPr>
              <w:t>7.00 ± 1.27</w:t>
            </w:r>
          </w:p>
        </w:tc>
        <w:tc>
          <w:tcPr>
            <w:tcW w:type="dxa" w:w="737"/>
          </w:tcPr>
          <w:p>
            <w:pPr>
              <w:spacing w:line="240" w:lineRule="auto" w:after="0"/>
              <w:jc w:val="center"/>
            </w:pPr>
            <w:r/>
            <w:r>
              <w:rPr>
                <w:b w:val="0"/>
                <w:i w:val="0"/>
                <w:sz w:val="17"/>
              </w:rPr>
              <w:t>.097</w:t>
            </w:r>
          </w:p>
        </w:tc>
      </w:tr>
      <w:tr>
        <w:tc>
          <w:tcPr>
            <w:tcW w:type="dxa" w:w="2381"/>
          </w:tcPr>
          <w:p>
            <w:pPr>
              <w:spacing w:line="240" w:lineRule="auto" w:after="0"/>
            </w:pPr>
            <w:r/>
            <w:r>
              <w:rPr>
                <w:b w:val="0"/>
                <w:i w:val="0"/>
                <w:sz w:val="17"/>
              </w:rPr>
              <w:t>Preop talar tilt, °</w:t>
            </w:r>
          </w:p>
        </w:tc>
        <w:tc>
          <w:tcPr>
            <w:tcW w:type="dxa" w:w="1417"/>
          </w:tcPr>
          <w:p>
            <w:pPr>
              <w:spacing w:line="240" w:lineRule="auto" w:after="0"/>
              <w:jc w:val="center"/>
            </w:pPr>
            <w:r/>
            <w:r>
              <w:rPr>
                <w:b w:val="0"/>
                <w:i w:val="0"/>
                <w:sz w:val="17"/>
              </w:rPr>
              <w:t>9.27 ± 4.64</w:t>
            </w:r>
          </w:p>
        </w:tc>
        <w:tc>
          <w:tcPr>
            <w:tcW w:type="dxa" w:w="1417"/>
          </w:tcPr>
          <w:p>
            <w:pPr>
              <w:spacing w:line="240" w:lineRule="auto" w:after="0"/>
              <w:jc w:val="center"/>
            </w:pPr>
            <w:r/>
            <w:r>
              <w:rPr>
                <w:b w:val="0"/>
                <w:i w:val="0"/>
                <w:sz w:val="17"/>
              </w:rPr>
              <w:t>10.52 ± 4.59</w:t>
            </w:r>
          </w:p>
        </w:tc>
        <w:tc>
          <w:tcPr>
            <w:tcW w:type="dxa" w:w="1417"/>
          </w:tcPr>
          <w:p>
            <w:pPr>
              <w:spacing w:line="240" w:lineRule="auto" w:after="0"/>
              <w:jc w:val="center"/>
            </w:pPr>
            <w:r/>
            <w:r>
              <w:rPr>
                <w:b w:val="0"/>
                <w:i w:val="0"/>
                <w:sz w:val="17"/>
              </w:rPr>
              <w:t>8.06 ± 3.87</w:t>
            </w:r>
          </w:p>
        </w:tc>
        <w:tc>
          <w:tcPr>
            <w:tcW w:type="dxa" w:w="1417"/>
          </w:tcPr>
          <w:p>
            <w:pPr>
              <w:spacing w:line="240" w:lineRule="auto" w:after="0"/>
              <w:jc w:val="center"/>
            </w:pPr>
            <w:r/>
            <w:r>
              <w:rPr>
                <w:b w:val="0"/>
                <w:i w:val="0"/>
                <w:sz w:val="17"/>
              </w:rPr>
              <w:t>9.63 ± 5.74</w:t>
            </w:r>
          </w:p>
        </w:tc>
        <w:tc>
          <w:tcPr>
            <w:tcW w:type="dxa" w:w="737"/>
          </w:tcPr>
          <w:p>
            <w:pPr>
              <w:spacing w:line="240" w:lineRule="auto" w:after="0"/>
              <w:jc w:val="center"/>
            </w:pPr>
            <w:r/>
            <w:r>
              <w:rPr>
                <w:b w:val="0"/>
                <w:i w:val="0"/>
                <w:sz w:val="17"/>
              </w:rPr>
              <w:t>.155</w:t>
            </w:r>
          </w:p>
        </w:tc>
      </w:tr>
      <w:tr>
        <w:tc>
          <w:tcPr>
            <w:tcW w:type="dxa" w:w="2381"/>
          </w:tcPr>
          <w:p>
            <w:pPr>
              <w:spacing w:line="240" w:lineRule="auto" w:after="0"/>
            </w:pPr>
            <w:r/>
            <w:r>
              <w:rPr>
                <w:b w:val="0"/>
                <w:i w:val="0"/>
                <w:sz w:val="17"/>
              </w:rPr>
              <w:t>Preop anterior translation, mm</w:t>
            </w:r>
          </w:p>
        </w:tc>
        <w:tc>
          <w:tcPr>
            <w:tcW w:type="dxa" w:w="1417"/>
          </w:tcPr>
          <w:p>
            <w:pPr>
              <w:spacing w:line="240" w:lineRule="auto" w:after="0"/>
              <w:jc w:val="center"/>
            </w:pPr>
            <w:r/>
            <w:r>
              <w:rPr>
                <w:b w:val="0"/>
                <w:i w:val="0"/>
                <w:sz w:val="17"/>
              </w:rPr>
              <w:t>5.97 ± 1.83</w:t>
            </w:r>
          </w:p>
        </w:tc>
        <w:tc>
          <w:tcPr>
            <w:tcW w:type="dxa" w:w="1417"/>
          </w:tcPr>
          <w:p>
            <w:pPr>
              <w:spacing w:line="240" w:lineRule="auto" w:after="0"/>
              <w:jc w:val="center"/>
            </w:pPr>
            <w:r/>
            <w:r>
              <w:rPr>
                <w:b w:val="0"/>
                <w:i w:val="0"/>
                <w:sz w:val="17"/>
              </w:rPr>
              <w:t>6.16 ± 1.87</w:t>
            </w:r>
          </w:p>
        </w:tc>
        <w:tc>
          <w:tcPr>
            <w:tcW w:type="dxa" w:w="1417"/>
          </w:tcPr>
          <w:p>
            <w:pPr>
              <w:spacing w:line="240" w:lineRule="auto" w:after="0"/>
              <w:jc w:val="center"/>
            </w:pPr>
            <w:r/>
            <w:r>
              <w:rPr>
                <w:b w:val="0"/>
                <w:i w:val="0"/>
                <w:sz w:val="17"/>
              </w:rPr>
              <w:t>5.91 ± 2.00</w:t>
            </w:r>
          </w:p>
        </w:tc>
        <w:tc>
          <w:tcPr>
            <w:tcW w:type="dxa" w:w="1417"/>
          </w:tcPr>
          <w:p>
            <w:pPr>
              <w:spacing w:line="240" w:lineRule="auto" w:after="0"/>
              <w:jc w:val="center"/>
            </w:pPr>
            <w:r/>
            <w:r>
              <w:rPr>
                <w:b w:val="0"/>
                <w:i w:val="0"/>
                <w:sz w:val="17"/>
              </w:rPr>
              <w:t>5.79 ± 1.43</w:t>
            </w:r>
          </w:p>
        </w:tc>
        <w:tc>
          <w:tcPr>
            <w:tcW w:type="dxa" w:w="737"/>
          </w:tcPr>
          <w:p>
            <w:pPr>
              <w:spacing w:line="240" w:lineRule="auto" w:after="0"/>
              <w:jc w:val="center"/>
            </w:pPr>
            <w:r/>
            <w:r>
              <w:rPr>
                <w:b w:val="0"/>
                <w:i w:val="0"/>
                <w:sz w:val="17"/>
              </w:rPr>
              <w:t>.907</w:t>
            </w:r>
          </w:p>
        </w:tc>
      </w:tr>
      <w:tr>
        <w:tc>
          <w:tcPr>
            <w:tcW w:type="dxa" w:w="2381"/>
          </w:tcPr>
          <w:p>
            <w:pPr>
              <w:spacing w:line="240" w:lineRule="auto" w:after="0"/>
            </w:pPr>
            <w:r/>
            <w:r>
              <w:rPr>
                <w:b w:val="0"/>
                <w:i w:val="0"/>
                <w:sz w:val="17"/>
              </w:rPr>
              <w:t>Preop SSD talar tilt, °</w:t>
            </w:r>
          </w:p>
        </w:tc>
        <w:tc>
          <w:tcPr>
            <w:tcW w:type="dxa" w:w="1417"/>
          </w:tcPr>
          <w:p>
            <w:pPr>
              <w:spacing w:line="240" w:lineRule="auto" w:after="0"/>
              <w:jc w:val="center"/>
            </w:pPr>
            <w:r/>
            <w:r>
              <w:rPr>
                <w:b w:val="0"/>
                <w:i w:val="0"/>
                <w:sz w:val="17"/>
              </w:rPr>
              <w:t>3.92 ± 4.67</w:t>
            </w:r>
          </w:p>
        </w:tc>
        <w:tc>
          <w:tcPr>
            <w:tcW w:type="dxa" w:w="1417"/>
          </w:tcPr>
          <w:p>
            <w:pPr>
              <w:spacing w:line="240" w:lineRule="auto" w:after="0"/>
              <w:jc w:val="center"/>
            </w:pPr>
            <w:r/>
            <w:r>
              <w:rPr>
                <w:b w:val="0"/>
                <w:i w:val="0"/>
                <w:sz w:val="17"/>
              </w:rPr>
              <w:t>4.55 ± 5.31</w:t>
            </w:r>
          </w:p>
        </w:tc>
        <w:tc>
          <w:tcPr>
            <w:tcW w:type="dxa" w:w="1417"/>
          </w:tcPr>
          <w:p>
            <w:pPr>
              <w:spacing w:line="240" w:lineRule="auto" w:after="0"/>
              <w:jc w:val="center"/>
            </w:pPr>
            <w:r/>
            <w:r>
              <w:rPr>
                <w:b w:val="0"/>
                <w:i w:val="0"/>
                <w:sz w:val="17"/>
              </w:rPr>
              <w:t>3.36 ± 4.46</w:t>
            </w:r>
          </w:p>
        </w:tc>
        <w:tc>
          <w:tcPr>
            <w:tcW w:type="dxa" w:w="1417"/>
          </w:tcPr>
          <w:p>
            <w:pPr>
              <w:spacing w:line="240" w:lineRule="auto" w:after="0"/>
              <w:jc w:val="center"/>
            </w:pPr>
            <w:r/>
            <w:r>
              <w:rPr>
                <w:b w:val="0"/>
                <w:i w:val="0"/>
                <w:sz w:val="17"/>
              </w:rPr>
              <w:t>4.02 ± 4.00</w:t>
            </w:r>
          </w:p>
        </w:tc>
        <w:tc>
          <w:tcPr>
            <w:tcW w:type="dxa" w:w="737"/>
          </w:tcPr>
          <w:p>
            <w:pPr>
              <w:spacing w:line="240" w:lineRule="auto" w:after="0"/>
              <w:jc w:val="center"/>
            </w:pPr>
            <w:r/>
            <w:r>
              <w:rPr>
                <w:b w:val="0"/>
                <w:i w:val="0"/>
                <w:sz w:val="17"/>
              </w:rPr>
              <w:t>.735</w:t>
            </w:r>
          </w:p>
        </w:tc>
      </w:tr>
      <w:tr>
        <w:tc>
          <w:tcPr>
            <w:tcW w:type="dxa" w:w="2381"/>
          </w:tcPr>
          <w:p>
            <w:pPr>
              <w:spacing w:line="240" w:lineRule="auto" w:after="0"/>
            </w:pPr>
            <w:r/>
            <w:r>
              <w:rPr>
                <w:b w:val="0"/>
                <w:i w:val="0"/>
                <w:sz w:val="17"/>
              </w:rPr>
              <w:t>Preop SSD anterior translation, mm</w:t>
            </w:r>
          </w:p>
        </w:tc>
        <w:tc>
          <w:tcPr>
            <w:tcW w:type="dxa" w:w="1417"/>
          </w:tcPr>
          <w:p>
            <w:pPr>
              <w:spacing w:line="240" w:lineRule="auto" w:after="0"/>
              <w:jc w:val="center"/>
            </w:pPr>
            <w:r/>
            <w:r>
              <w:rPr>
                <w:b w:val="0"/>
                <w:i w:val="0"/>
                <w:sz w:val="17"/>
              </w:rPr>
              <w:t>0.50 ± 1.55</w:t>
            </w:r>
          </w:p>
        </w:tc>
        <w:tc>
          <w:tcPr>
            <w:tcW w:type="dxa" w:w="1417"/>
          </w:tcPr>
          <w:p>
            <w:pPr>
              <w:spacing w:line="240" w:lineRule="auto" w:after="0"/>
              <w:jc w:val="center"/>
            </w:pPr>
            <w:r/>
            <w:r>
              <w:rPr>
                <w:b w:val="0"/>
                <w:i w:val="0"/>
                <w:sz w:val="17"/>
              </w:rPr>
              <w:t>0.51 ± 1.57</w:t>
            </w:r>
          </w:p>
        </w:tc>
        <w:tc>
          <w:tcPr>
            <w:tcW w:type="dxa" w:w="1417"/>
          </w:tcPr>
          <w:p>
            <w:pPr>
              <w:spacing w:line="240" w:lineRule="auto" w:after="0"/>
              <w:jc w:val="center"/>
            </w:pPr>
            <w:r/>
            <w:r>
              <w:rPr>
                <w:b w:val="0"/>
                <w:i w:val="0"/>
                <w:sz w:val="17"/>
              </w:rPr>
              <w:t>0.40 ± 1.66</w:t>
            </w:r>
          </w:p>
        </w:tc>
        <w:tc>
          <w:tcPr>
            <w:tcW w:type="dxa" w:w="1417"/>
          </w:tcPr>
          <w:p>
            <w:pPr>
              <w:spacing w:line="240" w:lineRule="auto" w:after="0"/>
              <w:jc w:val="center"/>
            </w:pPr>
            <w:r/>
            <w:r>
              <w:rPr>
                <w:b w:val="0"/>
                <w:i w:val="0"/>
                <w:sz w:val="17"/>
              </w:rPr>
              <w:t>0.73 ± 1.32</w:t>
            </w:r>
          </w:p>
        </w:tc>
        <w:tc>
          <w:tcPr>
            <w:tcW w:type="dxa" w:w="737"/>
          </w:tcPr>
          <w:p>
            <w:pPr>
              <w:spacing w:line="240" w:lineRule="auto" w:after="0"/>
              <w:jc w:val="center"/>
            </w:pPr>
            <w:r/>
            <w:r>
              <w:rPr>
                <w:b w:val="0"/>
                <w:i w:val="0"/>
                <w:sz w:val="17"/>
              </w:rPr>
              <w:t>.709</w:t>
            </w:r>
          </w:p>
        </w:tc>
      </w:tr>
    </w:tbl>
    <w:p>
      <w:pPr>
        <w:spacing w:after="240" w:line="240" w:lineRule="auto"/>
      </w:pPr>
      <w:r>
        <w:rPr>
          <w:b w:val="0"/>
          <w:i w:val="0"/>
          <w:sz w:val="17"/>
        </w:rPr>
        <w:t xml:space="preserve">Values are mean ± SD unless otherwise indicated. P values from the Kruskal-Wallis test (continuous) or chi-square test (categorical). One patient underwent bilateral surgery (81 ankles in 80 patients); sex is counted per ankle. AOFAS, American Orthopaedic Foot and Ankle Society; BMI, body mass index; KP, Karlsson-Peterson; SSD, side-to-side difference (operated − contralateral); VAS, visual analog scale. </w:t>
      </w:r>
      <w:r>
        <w:rPr>
          <w:b w:val="0"/>
          <w:i w:val="0"/>
          <w:sz w:val="17"/>
          <w:highlight w:val="yellow"/>
        </w:rPr>
        <w:t>[add symptom duration, concomitant lesions if available]</w:t>
      </w:r>
    </w:p>
    <w:p>
      <w:pPr>
        <w:spacing w:after="60" w:line="240" w:lineRule="auto"/>
      </w:pPr>
      <w:r>
        <w:rPr>
          <w:b/>
          <w:i w:val="0"/>
          <w:sz w:val="20"/>
        </w:rPr>
        <w:t>Table 2. Clinical outcomes evaluated preoperatively and at final follow-up</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Variable</w:t>
            </w:r>
          </w:p>
        </w:tc>
        <w:tc>
          <w:tcPr>
            <w:tcW w:type="dxa" w:w="1417"/>
          </w:tcPr>
          <w:p>
            <w:pPr>
              <w:spacing w:line="240" w:lineRule="auto" w:after="0"/>
              <w:jc w:val="center"/>
            </w:pPr>
            <w:r/>
            <w:r>
              <w:rPr>
                <w:b/>
                <w:i w:val="0"/>
                <w:sz w:val="17"/>
              </w:rPr>
              <w:t>Total (n = 81)</w:t>
            </w:r>
          </w:p>
        </w:tc>
        <w:tc>
          <w:tcPr>
            <w:tcW w:type="dxa" w:w="1417"/>
          </w:tcPr>
          <w:p>
            <w:pPr>
              <w:spacing w:line="240" w:lineRule="auto" w:after="0"/>
              <w:jc w:val="center"/>
            </w:pPr>
            <w:r/>
            <w:r>
              <w:rPr>
                <w:b/>
                <w:i w:val="0"/>
                <w:sz w:val="17"/>
              </w:rPr>
              <w:t>Anatomic (n = 29)</w:t>
            </w:r>
          </w:p>
        </w:tc>
        <w:tc>
          <w:tcPr>
            <w:tcW w:type="dxa" w:w="1417"/>
          </w:tcPr>
          <w:p>
            <w:pPr>
              <w:spacing w:line="240" w:lineRule="auto" w:after="0"/>
              <w:jc w:val="center"/>
            </w:pPr>
            <w:r/>
            <w:r>
              <w:rPr>
                <w:b/>
                <w:i w:val="0"/>
                <w:sz w:val="17"/>
              </w:rPr>
              <w:t>Subanatomic (n = 35)</w:t>
            </w:r>
          </w:p>
        </w:tc>
        <w:tc>
          <w:tcPr>
            <w:tcW w:type="dxa" w:w="1417"/>
          </w:tcPr>
          <w:p>
            <w:pPr>
              <w:spacing w:line="240" w:lineRule="auto" w:after="0"/>
              <w:jc w:val="center"/>
            </w:pPr>
            <w:r/>
            <w:r>
              <w:rPr>
                <w:b/>
                <w:i w:val="0"/>
                <w:sz w:val="17"/>
              </w:rPr>
              <w:t>Nonanatomic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VAS</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4.37 ± 1.32</w:t>
            </w:r>
          </w:p>
        </w:tc>
        <w:tc>
          <w:tcPr>
            <w:tcW w:type="dxa" w:w="1417"/>
          </w:tcPr>
          <w:p>
            <w:pPr>
              <w:spacing w:line="240" w:lineRule="auto" w:after="0"/>
              <w:jc w:val="center"/>
            </w:pPr>
            <w:r/>
            <w:r>
              <w:rPr>
                <w:b w:val="0"/>
                <w:i w:val="0"/>
                <w:sz w:val="17"/>
              </w:rPr>
              <w:t>4.00 ± 1.07</w:t>
            </w:r>
          </w:p>
        </w:tc>
        <w:tc>
          <w:tcPr>
            <w:tcW w:type="dxa" w:w="1417"/>
          </w:tcPr>
          <w:p>
            <w:pPr>
              <w:spacing w:line="240" w:lineRule="auto" w:after="0"/>
              <w:jc w:val="center"/>
            </w:pPr>
            <w:r/>
            <w:r>
              <w:rPr>
                <w:b w:val="0"/>
                <w:i w:val="0"/>
                <w:sz w:val="17"/>
              </w:rPr>
              <w:t>4.54 ± 1.44</w:t>
            </w:r>
          </w:p>
        </w:tc>
        <w:tc>
          <w:tcPr>
            <w:tcW w:type="dxa" w:w="1417"/>
          </w:tcPr>
          <w:p>
            <w:pPr>
              <w:spacing w:line="240" w:lineRule="auto" w:after="0"/>
              <w:jc w:val="center"/>
            </w:pPr>
            <w:r/>
            <w:r>
              <w:rPr>
                <w:b w:val="0"/>
                <w:i w:val="0"/>
                <w:sz w:val="17"/>
              </w:rPr>
              <w:t>4.65 ± 1.37</w:t>
            </w:r>
          </w:p>
        </w:tc>
        <w:tc>
          <w:tcPr>
            <w:tcW w:type="dxa" w:w="737"/>
          </w:tcPr>
          <w:p>
            <w:pPr>
              <w:spacing w:line="240" w:lineRule="auto" w:after="0"/>
              <w:jc w:val="center"/>
            </w:pPr>
            <w:r/>
            <w:r>
              <w:rPr>
                <w:b w:val="0"/>
                <w:i w:val="0"/>
                <w:sz w:val="17"/>
              </w:rPr>
              <w:t>.163</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1.69 ± 1.20</w:t>
            </w:r>
          </w:p>
        </w:tc>
        <w:tc>
          <w:tcPr>
            <w:tcW w:type="dxa" w:w="1417"/>
          </w:tcPr>
          <w:p>
            <w:pPr>
              <w:spacing w:line="240" w:lineRule="auto" w:after="0"/>
              <w:jc w:val="center"/>
            </w:pPr>
            <w:r/>
            <w:r>
              <w:rPr>
                <w:b w:val="0"/>
                <w:i w:val="0"/>
                <w:sz w:val="17"/>
              </w:rPr>
              <w:t>1.79 ± 1.24</w:t>
            </w:r>
          </w:p>
        </w:tc>
        <w:tc>
          <w:tcPr>
            <w:tcW w:type="dxa" w:w="1417"/>
          </w:tcPr>
          <w:p>
            <w:pPr>
              <w:spacing w:line="240" w:lineRule="auto" w:after="0"/>
              <w:jc w:val="center"/>
            </w:pPr>
            <w:r/>
            <w:r>
              <w:rPr>
                <w:b w:val="0"/>
                <w:i w:val="0"/>
                <w:sz w:val="17"/>
              </w:rPr>
              <w:t>1.54 ± 1.12</w:t>
            </w:r>
          </w:p>
        </w:tc>
        <w:tc>
          <w:tcPr>
            <w:tcW w:type="dxa" w:w="1417"/>
          </w:tcPr>
          <w:p>
            <w:pPr>
              <w:spacing w:line="240" w:lineRule="auto" w:after="0"/>
              <w:jc w:val="center"/>
            </w:pPr>
            <w:r/>
            <w:r>
              <w:rPr>
                <w:b w:val="0"/>
                <w:i w:val="0"/>
                <w:sz w:val="17"/>
              </w:rPr>
              <w:t>1.82 ± 1.33</w:t>
            </w:r>
          </w:p>
        </w:tc>
        <w:tc>
          <w:tcPr>
            <w:tcW w:type="dxa" w:w="737"/>
          </w:tcPr>
          <w:p>
            <w:pPr>
              <w:spacing w:line="240" w:lineRule="auto" w:after="0"/>
              <w:jc w:val="center"/>
            </w:pPr>
            <w:r/>
            <w:r>
              <w:rPr>
                <w:b w:val="0"/>
                <w:i w:val="0"/>
                <w:sz w:val="17"/>
              </w:rPr>
              <w:t>.671</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-2.68 ± 1.65</w:t>
            </w:r>
          </w:p>
        </w:tc>
        <w:tc>
          <w:tcPr>
            <w:tcW w:type="dxa" w:w="1417"/>
          </w:tcPr>
          <w:p>
            <w:pPr>
              <w:spacing w:line="240" w:lineRule="auto" w:after="0"/>
              <w:jc w:val="center"/>
            </w:pPr>
            <w:r/>
            <w:r>
              <w:rPr>
                <w:b w:val="0"/>
                <w:i w:val="0"/>
                <w:sz w:val="17"/>
              </w:rPr>
              <w:t>-2.21 ± 1.54</w:t>
            </w:r>
          </w:p>
        </w:tc>
        <w:tc>
          <w:tcPr>
            <w:tcW w:type="dxa" w:w="1417"/>
          </w:tcPr>
          <w:p>
            <w:pPr>
              <w:spacing w:line="240" w:lineRule="auto" w:after="0"/>
              <w:jc w:val="center"/>
            </w:pPr>
            <w:r/>
            <w:r>
              <w:rPr>
                <w:b w:val="0"/>
                <w:i w:val="0"/>
                <w:sz w:val="17"/>
              </w:rPr>
              <w:t>-3.00 ± 1.61</w:t>
            </w:r>
          </w:p>
        </w:tc>
        <w:tc>
          <w:tcPr>
            <w:tcW w:type="dxa" w:w="1417"/>
          </w:tcPr>
          <w:p>
            <w:pPr>
              <w:spacing w:line="240" w:lineRule="auto" w:after="0"/>
              <w:jc w:val="center"/>
            </w:pPr>
            <w:r/>
            <w:r>
              <w:rPr>
                <w:b w:val="0"/>
                <w:i w:val="0"/>
                <w:sz w:val="17"/>
              </w:rPr>
              <w:t>-2.82 ± 1.81</w:t>
            </w:r>
          </w:p>
        </w:tc>
        <w:tc>
          <w:tcPr>
            <w:tcW w:type="dxa" w:w="737"/>
          </w:tcPr>
          <w:p>
            <w:pPr>
              <w:spacing w:line="240" w:lineRule="auto" w:after="0"/>
              <w:jc w:val="center"/>
            </w:pPr>
            <w:r/>
            <w:r>
              <w:rPr>
                <w:b w:val="0"/>
                <w:i w:val="0"/>
                <w:sz w:val="17"/>
              </w:rPr>
              <w:t>.190</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KP score</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51.65 ± 14.11</w:t>
            </w:r>
          </w:p>
        </w:tc>
        <w:tc>
          <w:tcPr>
            <w:tcW w:type="dxa" w:w="1417"/>
          </w:tcPr>
          <w:p>
            <w:pPr>
              <w:spacing w:line="240" w:lineRule="auto" w:after="0"/>
              <w:jc w:val="center"/>
            </w:pPr>
            <w:r/>
            <w:r>
              <w:rPr>
                <w:b w:val="0"/>
                <w:i w:val="0"/>
                <w:sz w:val="17"/>
              </w:rPr>
              <w:t>48.62 ± 15.01</w:t>
            </w:r>
          </w:p>
        </w:tc>
        <w:tc>
          <w:tcPr>
            <w:tcW w:type="dxa" w:w="1417"/>
          </w:tcPr>
          <w:p>
            <w:pPr>
              <w:spacing w:line="240" w:lineRule="auto" w:after="0"/>
              <w:jc w:val="center"/>
            </w:pPr>
            <w:r/>
            <w:r>
              <w:rPr>
                <w:b w:val="0"/>
                <w:i w:val="0"/>
                <w:sz w:val="17"/>
              </w:rPr>
              <w:t>53.74 ± 13.10</w:t>
            </w:r>
          </w:p>
        </w:tc>
        <w:tc>
          <w:tcPr>
            <w:tcW w:type="dxa" w:w="1417"/>
          </w:tcPr>
          <w:p>
            <w:pPr>
              <w:spacing w:line="240" w:lineRule="auto" w:after="0"/>
              <w:jc w:val="center"/>
            </w:pPr>
            <w:r/>
            <w:r>
              <w:rPr>
                <w:b w:val="0"/>
                <w:i w:val="0"/>
                <w:sz w:val="17"/>
              </w:rPr>
              <w:t>52.53 ± 14.49</w:t>
            </w:r>
          </w:p>
        </w:tc>
        <w:tc>
          <w:tcPr>
            <w:tcW w:type="dxa" w:w="737"/>
          </w:tcPr>
          <w:p>
            <w:pPr>
              <w:spacing w:line="240" w:lineRule="auto" w:after="0"/>
              <w:jc w:val="center"/>
            </w:pPr>
            <w:r/>
            <w:r>
              <w:rPr>
                <w:b w:val="0"/>
                <w:i w:val="0"/>
                <w:sz w:val="17"/>
              </w:rPr>
              <w:t>.510</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93.84 ± 8.62</w:t>
            </w:r>
          </w:p>
        </w:tc>
        <w:tc>
          <w:tcPr>
            <w:tcW w:type="dxa" w:w="1417"/>
          </w:tcPr>
          <w:p>
            <w:pPr>
              <w:spacing w:line="240" w:lineRule="auto" w:after="0"/>
              <w:jc w:val="center"/>
            </w:pPr>
            <w:r/>
            <w:r>
              <w:rPr>
                <w:b w:val="0"/>
                <w:i w:val="0"/>
                <w:sz w:val="17"/>
              </w:rPr>
              <w:t>91.17 ± 10.72</w:t>
            </w:r>
          </w:p>
        </w:tc>
        <w:tc>
          <w:tcPr>
            <w:tcW w:type="dxa" w:w="1417"/>
          </w:tcPr>
          <w:p>
            <w:pPr>
              <w:spacing w:line="240" w:lineRule="auto" w:after="0"/>
              <w:jc w:val="center"/>
            </w:pPr>
            <w:r/>
            <w:r>
              <w:rPr>
                <w:b w:val="0"/>
                <w:i w:val="0"/>
                <w:sz w:val="17"/>
              </w:rPr>
              <w:t>95.46 ± 5.46</w:t>
            </w:r>
          </w:p>
        </w:tc>
        <w:tc>
          <w:tcPr>
            <w:tcW w:type="dxa" w:w="1417"/>
          </w:tcPr>
          <w:p>
            <w:pPr>
              <w:spacing w:line="240" w:lineRule="auto" w:after="0"/>
              <w:jc w:val="center"/>
            </w:pPr>
            <w:r/>
            <w:r>
              <w:rPr>
                <w:b w:val="0"/>
                <w:i w:val="0"/>
                <w:sz w:val="17"/>
              </w:rPr>
              <w:t>95.06 ± 9.34</w:t>
            </w:r>
          </w:p>
        </w:tc>
        <w:tc>
          <w:tcPr>
            <w:tcW w:type="dxa" w:w="737"/>
          </w:tcPr>
          <w:p>
            <w:pPr>
              <w:spacing w:line="240" w:lineRule="auto" w:after="0"/>
              <w:jc w:val="center"/>
            </w:pPr>
            <w:r/>
            <w:r>
              <w:rPr>
                <w:b w:val="0"/>
                <w:i w:val="0"/>
                <w:sz w:val="17"/>
              </w:rPr>
              <w:t>.335</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42.19 ± 13.33</w:t>
            </w:r>
          </w:p>
        </w:tc>
        <w:tc>
          <w:tcPr>
            <w:tcW w:type="dxa" w:w="1417"/>
          </w:tcPr>
          <w:p>
            <w:pPr>
              <w:spacing w:line="240" w:lineRule="auto" w:after="0"/>
              <w:jc w:val="center"/>
            </w:pPr>
            <w:r/>
            <w:r>
              <w:rPr>
                <w:b w:val="0"/>
                <w:i w:val="0"/>
                <w:sz w:val="17"/>
              </w:rPr>
              <w:t>42.55 ± 14.86</w:t>
            </w:r>
          </w:p>
        </w:tc>
        <w:tc>
          <w:tcPr>
            <w:tcW w:type="dxa" w:w="1417"/>
          </w:tcPr>
          <w:p>
            <w:pPr>
              <w:spacing w:line="240" w:lineRule="auto" w:after="0"/>
              <w:jc w:val="center"/>
            </w:pPr>
            <w:r/>
            <w:r>
              <w:rPr>
                <w:b w:val="0"/>
                <w:i w:val="0"/>
                <w:sz w:val="17"/>
              </w:rPr>
              <w:t>41.71 ± 11.10</w:t>
            </w:r>
          </w:p>
        </w:tc>
        <w:tc>
          <w:tcPr>
            <w:tcW w:type="dxa" w:w="1417"/>
          </w:tcPr>
          <w:p>
            <w:pPr>
              <w:spacing w:line="240" w:lineRule="auto" w:after="0"/>
              <w:jc w:val="center"/>
            </w:pPr>
            <w:r/>
            <w:r>
              <w:rPr>
                <w:b w:val="0"/>
                <w:i w:val="0"/>
                <w:sz w:val="17"/>
              </w:rPr>
              <w:t>42.53 ± 15.48</w:t>
            </w:r>
          </w:p>
        </w:tc>
        <w:tc>
          <w:tcPr>
            <w:tcW w:type="dxa" w:w="737"/>
          </w:tcPr>
          <w:p>
            <w:pPr>
              <w:spacing w:line="240" w:lineRule="auto" w:after="0"/>
              <w:jc w:val="center"/>
            </w:pPr>
            <w:r/>
            <w:r>
              <w:rPr>
                <w:b w:val="0"/>
                <w:i w:val="0"/>
                <w:sz w:val="17"/>
              </w:rPr>
              <w:t>.987</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AOFAS score</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67.62 ± 14.62</w:t>
            </w:r>
          </w:p>
        </w:tc>
        <w:tc>
          <w:tcPr>
            <w:tcW w:type="dxa" w:w="1417"/>
          </w:tcPr>
          <w:p>
            <w:pPr>
              <w:spacing w:line="240" w:lineRule="auto" w:after="0"/>
              <w:jc w:val="center"/>
            </w:pPr>
            <w:r/>
            <w:r>
              <w:rPr>
                <w:b w:val="0"/>
                <w:i w:val="0"/>
                <w:sz w:val="17"/>
              </w:rPr>
              <w:t>69.34 ± 16.67</w:t>
            </w:r>
          </w:p>
        </w:tc>
        <w:tc>
          <w:tcPr>
            <w:tcW w:type="dxa" w:w="1417"/>
          </w:tcPr>
          <w:p>
            <w:pPr>
              <w:spacing w:line="240" w:lineRule="auto" w:after="0"/>
              <w:jc w:val="center"/>
            </w:pPr>
            <w:r/>
            <w:r>
              <w:rPr>
                <w:b w:val="0"/>
                <w:i w:val="0"/>
                <w:sz w:val="17"/>
              </w:rPr>
              <w:t>67.49 ± 13.65</w:t>
            </w:r>
          </w:p>
        </w:tc>
        <w:tc>
          <w:tcPr>
            <w:tcW w:type="dxa" w:w="1417"/>
          </w:tcPr>
          <w:p>
            <w:pPr>
              <w:spacing w:line="240" w:lineRule="auto" w:after="0"/>
              <w:jc w:val="center"/>
            </w:pPr>
            <w:r/>
            <w:r>
              <w:rPr>
                <w:b w:val="0"/>
                <w:i w:val="0"/>
                <w:sz w:val="17"/>
              </w:rPr>
              <w:t>64.94 ± 13.14</w:t>
            </w:r>
          </w:p>
        </w:tc>
        <w:tc>
          <w:tcPr>
            <w:tcW w:type="dxa" w:w="737"/>
          </w:tcPr>
          <w:p>
            <w:pPr>
              <w:spacing w:line="240" w:lineRule="auto" w:after="0"/>
              <w:jc w:val="center"/>
            </w:pPr>
            <w:r/>
            <w:r>
              <w:rPr>
                <w:b w:val="0"/>
                <w:i w:val="0"/>
                <w:sz w:val="17"/>
              </w:rPr>
              <w:t>.389</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96.44 ± 5.74</w:t>
            </w:r>
          </w:p>
        </w:tc>
        <w:tc>
          <w:tcPr>
            <w:tcW w:type="dxa" w:w="1417"/>
          </w:tcPr>
          <w:p>
            <w:pPr>
              <w:spacing w:line="240" w:lineRule="auto" w:after="0"/>
              <w:jc w:val="center"/>
            </w:pPr>
            <w:r/>
            <w:r>
              <w:rPr>
                <w:b w:val="0"/>
                <w:i w:val="0"/>
                <w:sz w:val="17"/>
              </w:rPr>
              <w:t>95.17 ± 6.13</w:t>
            </w:r>
          </w:p>
        </w:tc>
        <w:tc>
          <w:tcPr>
            <w:tcW w:type="dxa" w:w="1417"/>
          </w:tcPr>
          <w:p>
            <w:pPr>
              <w:spacing w:line="240" w:lineRule="auto" w:after="0"/>
              <w:jc w:val="center"/>
            </w:pPr>
            <w:r/>
            <w:r>
              <w:rPr>
                <w:b w:val="0"/>
                <w:i w:val="0"/>
                <w:sz w:val="17"/>
              </w:rPr>
              <w:t>97.51 ± 4.80</w:t>
            </w:r>
          </w:p>
        </w:tc>
        <w:tc>
          <w:tcPr>
            <w:tcW w:type="dxa" w:w="1417"/>
          </w:tcPr>
          <w:p>
            <w:pPr>
              <w:spacing w:line="240" w:lineRule="auto" w:after="0"/>
              <w:jc w:val="center"/>
            </w:pPr>
            <w:r/>
            <w:r>
              <w:rPr>
                <w:b w:val="0"/>
                <w:i w:val="0"/>
                <w:sz w:val="17"/>
              </w:rPr>
              <w:t>96.41 ± 6.68</w:t>
            </w:r>
          </w:p>
        </w:tc>
        <w:tc>
          <w:tcPr>
            <w:tcW w:type="dxa" w:w="737"/>
          </w:tcPr>
          <w:p>
            <w:pPr>
              <w:spacing w:line="240" w:lineRule="auto" w:after="0"/>
              <w:jc w:val="center"/>
            </w:pPr>
            <w:r/>
            <w:r>
              <w:rPr>
                <w:b w:val="0"/>
                <w:i w:val="0"/>
                <w:sz w:val="17"/>
              </w:rPr>
              <w:t>.354</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28.83 ± 14.82</w:t>
            </w:r>
          </w:p>
        </w:tc>
        <w:tc>
          <w:tcPr>
            <w:tcW w:type="dxa" w:w="1417"/>
          </w:tcPr>
          <w:p>
            <w:pPr>
              <w:spacing w:line="240" w:lineRule="auto" w:after="0"/>
              <w:jc w:val="center"/>
            </w:pPr>
            <w:r/>
            <w:r>
              <w:rPr>
                <w:b w:val="0"/>
                <w:i w:val="0"/>
                <w:sz w:val="17"/>
              </w:rPr>
              <w:t>25.83 ± 17.14</w:t>
            </w:r>
          </w:p>
        </w:tc>
        <w:tc>
          <w:tcPr>
            <w:tcW w:type="dxa" w:w="1417"/>
          </w:tcPr>
          <w:p>
            <w:pPr>
              <w:spacing w:line="240" w:lineRule="auto" w:after="0"/>
              <w:jc w:val="center"/>
            </w:pPr>
            <w:r/>
            <w:r>
              <w:rPr>
                <w:b w:val="0"/>
                <w:i w:val="0"/>
                <w:sz w:val="17"/>
              </w:rPr>
              <w:t>30.03 ± 12.35</w:t>
            </w:r>
          </w:p>
        </w:tc>
        <w:tc>
          <w:tcPr>
            <w:tcW w:type="dxa" w:w="1417"/>
          </w:tcPr>
          <w:p>
            <w:pPr>
              <w:spacing w:line="240" w:lineRule="auto" w:after="0"/>
              <w:jc w:val="center"/>
            </w:pPr>
            <w:r/>
            <w:r>
              <w:rPr>
                <w:b w:val="0"/>
                <w:i w:val="0"/>
                <w:sz w:val="17"/>
              </w:rPr>
              <w:t>31.47 ± 15.24</w:t>
            </w:r>
          </w:p>
        </w:tc>
        <w:tc>
          <w:tcPr>
            <w:tcW w:type="dxa" w:w="737"/>
          </w:tcPr>
          <w:p>
            <w:pPr>
              <w:spacing w:line="240" w:lineRule="auto" w:after="0"/>
              <w:jc w:val="center"/>
            </w:pPr>
            <w:r/>
            <w:r>
              <w:rPr>
                <w:b w:val="0"/>
                <w:i w:val="0"/>
                <w:sz w:val="17"/>
              </w:rPr>
              <w:t>.241</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Tegner score</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6.27 ± 1.63</w:t>
            </w:r>
          </w:p>
        </w:tc>
        <w:tc>
          <w:tcPr>
            <w:tcW w:type="dxa" w:w="1417"/>
          </w:tcPr>
          <w:p>
            <w:pPr>
              <w:spacing w:line="240" w:lineRule="auto" w:after="0"/>
              <w:jc w:val="center"/>
            </w:pPr>
            <w:r/>
            <w:r>
              <w:rPr>
                <w:b w:val="0"/>
                <w:i w:val="0"/>
                <w:sz w:val="17"/>
              </w:rPr>
              <w:t>5.97 ± 1.95</w:t>
            </w:r>
          </w:p>
        </w:tc>
        <w:tc>
          <w:tcPr>
            <w:tcW w:type="dxa" w:w="1417"/>
          </w:tcPr>
          <w:p>
            <w:pPr>
              <w:spacing w:line="240" w:lineRule="auto" w:after="0"/>
              <w:jc w:val="center"/>
            </w:pPr>
            <w:r/>
            <w:r>
              <w:rPr>
                <w:b w:val="0"/>
                <w:i w:val="0"/>
                <w:sz w:val="17"/>
              </w:rPr>
              <w:t>6.17 ± 1.40</w:t>
            </w:r>
          </w:p>
        </w:tc>
        <w:tc>
          <w:tcPr>
            <w:tcW w:type="dxa" w:w="1417"/>
          </w:tcPr>
          <w:p>
            <w:pPr>
              <w:spacing w:line="240" w:lineRule="auto" w:after="0"/>
              <w:jc w:val="center"/>
            </w:pPr>
            <w:r/>
            <w:r>
              <w:rPr>
                <w:b w:val="0"/>
                <w:i w:val="0"/>
                <w:sz w:val="17"/>
              </w:rPr>
              <w:t>7.00 ± 1.27</w:t>
            </w:r>
          </w:p>
        </w:tc>
        <w:tc>
          <w:tcPr>
            <w:tcW w:type="dxa" w:w="737"/>
          </w:tcPr>
          <w:p>
            <w:pPr>
              <w:spacing w:line="240" w:lineRule="auto" w:after="0"/>
              <w:jc w:val="center"/>
            </w:pPr>
            <w:r/>
            <w:r>
              <w:rPr>
                <w:b w:val="0"/>
                <w:i w:val="0"/>
                <w:sz w:val="17"/>
              </w:rPr>
              <w:t>.097</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6.56 ± 1.43</w:t>
            </w:r>
          </w:p>
        </w:tc>
        <w:tc>
          <w:tcPr>
            <w:tcW w:type="dxa" w:w="1417"/>
          </w:tcPr>
          <w:p>
            <w:pPr>
              <w:spacing w:line="240" w:lineRule="auto" w:after="0"/>
              <w:jc w:val="center"/>
            </w:pPr>
            <w:r/>
            <w:r>
              <w:rPr>
                <w:b w:val="0"/>
                <w:i w:val="0"/>
                <w:sz w:val="17"/>
              </w:rPr>
              <w:t>6.21 ± 1.66</w:t>
            </w:r>
          </w:p>
        </w:tc>
        <w:tc>
          <w:tcPr>
            <w:tcW w:type="dxa" w:w="1417"/>
          </w:tcPr>
          <w:p>
            <w:pPr>
              <w:spacing w:line="240" w:lineRule="auto" w:after="0"/>
              <w:jc w:val="center"/>
            </w:pPr>
            <w:r/>
            <w:r>
              <w:rPr>
                <w:b w:val="0"/>
                <w:i w:val="0"/>
                <w:sz w:val="17"/>
              </w:rPr>
              <w:t>6.57 ± 1.20</w:t>
            </w:r>
          </w:p>
        </w:tc>
        <w:tc>
          <w:tcPr>
            <w:tcW w:type="dxa" w:w="1417"/>
          </w:tcPr>
          <w:p>
            <w:pPr>
              <w:spacing w:line="240" w:lineRule="auto" w:after="0"/>
              <w:jc w:val="center"/>
            </w:pPr>
            <w:r/>
            <w:r>
              <w:rPr>
                <w:b w:val="0"/>
                <w:i w:val="0"/>
                <w:sz w:val="17"/>
              </w:rPr>
              <w:t>7.12 ± 1.36</w:t>
            </w:r>
          </w:p>
        </w:tc>
        <w:tc>
          <w:tcPr>
            <w:tcW w:type="dxa" w:w="737"/>
          </w:tcPr>
          <w:p>
            <w:pPr>
              <w:spacing w:line="240" w:lineRule="auto" w:after="0"/>
              <w:jc w:val="center"/>
            </w:pPr>
            <w:r/>
            <w:r>
              <w:rPr>
                <w:b w:val="0"/>
                <w:i w:val="0"/>
                <w:sz w:val="17"/>
              </w:rPr>
              <w:t>.152</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0.28 ± 0.87</w:t>
            </w:r>
          </w:p>
        </w:tc>
        <w:tc>
          <w:tcPr>
            <w:tcW w:type="dxa" w:w="1417"/>
          </w:tcPr>
          <w:p>
            <w:pPr>
              <w:spacing w:line="240" w:lineRule="auto" w:after="0"/>
              <w:jc w:val="center"/>
            </w:pPr>
            <w:r/>
            <w:r>
              <w:rPr>
                <w:b w:val="0"/>
                <w:i w:val="0"/>
                <w:sz w:val="17"/>
              </w:rPr>
              <w:t>0.24 ± 0.99</w:t>
            </w:r>
          </w:p>
        </w:tc>
        <w:tc>
          <w:tcPr>
            <w:tcW w:type="dxa" w:w="1417"/>
          </w:tcPr>
          <w:p>
            <w:pPr>
              <w:spacing w:line="240" w:lineRule="auto" w:after="0"/>
              <w:jc w:val="center"/>
            </w:pPr>
            <w:r/>
            <w:r>
              <w:rPr>
                <w:b w:val="0"/>
                <w:i w:val="0"/>
                <w:sz w:val="17"/>
              </w:rPr>
              <w:t>0.40 ± 0.77</w:t>
            </w:r>
          </w:p>
        </w:tc>
        <w:tc>
          <w:tcPr>
            <w:tcW w:type="dxa" w:w="1417"/>
          </w:tcPr>
          <w:p>
            <w:pPr>
              <w:spacing w:line="240" w:lineRule="auto" w:after="0"/>
              <w:jc w:val="center"/>
            </w:pPr>
            <w:r/>
            <w:r>
              <w:rPr>
                <w:b w:val="0"/>
                <w:i w:val="0"/>
                <w:sz w:val="17"/>
              </w:rPr>
              <w:t>0.12 ± 0.86</w:t>
            </w:r>
          </w:p>
        </w:tc>
        <w:tc>
          <w:tcPr>
            <w:tcW w:type="dxa" w:w="737"/>
          </w:tcPr>
          <w:p>
            <w:pPr>
              <w:spacing w:line="240" w:lineRule="auto" w:after="0"/>
              <w:jc w:val="center"/>
            </w:pPr>
            <w:r/>
            <w:r>
              <w:rPr>
                <w:b w:val="0"/>
                <w:i w:val="0"/>
                <w:sz w:val="17"/>
              </w:rPr>
              <w:t>.469</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.005</w:t>
            </w:r>
          </w:p>
        </w:tc>
        <w:tc>
          <w:tcPr>
            <w:tcW w:type="dxa" w:w="1417"/>
          </w:tcPr>
          <w:p>
            <w:pPr>
              <w:spacing w:line="240" w:lineRule="auto" w:after="0"/>
              <w:jc w:val="center"/>
            </w:pPr>
            <w:r/>
            <w:r>
              <w:rPr>
                <w:b w:val="0"/>
                <w:i w:val="0"/>
                <w:sz w:val="17"/>
              </w:rPr>
              <w:t>.205</w:t>
            </w:r>
          </w:p>
        </w:tc>
        <w:tc>
          <w:tcPr>
            <w:tcW w:type="dxa" w:w="1417"/>
          </w:tcPr>
          <w:p>
            <w:pPr>
              <w:spacing w:line="240" w:lineRule="auto" w:after="0"/>
              <w:jc w:val="center"/>
            </w:pPr>
            <w:r/>
            <w:r>
              <w:rPr>
                <w:b w:val="0"/>
                <w:i w:val="0"/>
                <w:sz w:val="17"/>
              </w:rPr>
              <w:t>.005</w:t>
            </w:r>
          </w:p>
        </w:tc>
        <w:tc>
          <w:tcPr>
            <w:tcW w:type="dxa" w:w="1417"/>
          </w:tcPr>
          <w:p>
            <w:pPr>
              <w:spacing w:line="240" w:lineRule="auto" w:after="0"/>
              <w:jc w:val="center"/>
            </w:pPr>
            <w:r/>
            <w:r>
              <w:rPr>
                <w:b w:val="0"/>
                <w:i w:val="0"/>
                <w:sz w:val="17"/>
              </w:rPr>
              <w:t>.589</w:t>
            </w:r>
          </w:p>
        </w:tc>
        <w:tc>
          <w:tcPr>
            <w:tcW w:type="dxa" w:w="737"/>
          </w:tcPr>
          <w:p>
            <w:pPr>
              <w:spacing w:line="240" w:lineRule="auto" w:after="0"/>
              <w:jc w:val="center"/>
            </w:pPr>
            <w:r/>
          </w:p>
        </w:tc>
      </w:tr>
      <w:tr>
        <w:tc>
          <w:tcPr>
            <w:tcW w:type="dxa" w:w="2381"/>
          </w:tcPr>
          <w:p>
            <w:pPr>
              <w:spacing w:line="240" w:lineRule="auto" w:after="0"/>
            </w:pPr>
            <w:r/>
            <w:r>
              <w:rPr>
                <w:b w:val="0"/>
                <w:i w:val="0"/>
                <w:sz w:val="17"/>
              </w:rPr>
              <w:t>Tegner improved/maintained/decreased, n</w:t>
            </w:r>
          </w:p>
        </w:tc>
        <w:tc>
          <w:tcPr>
            <w:tcW w:type="dxa" w:w="1417"/>
          </w:tcPr>
          <w:p>
            <w:pPr>
              <w:spacing w:line="240" w:lineRule="auto" w:after="0"/>
              <w:jc w:val="center"/>
            </w:pPr>
            <w:r/>
            <w:r>
              <w:rPr>
                <w:b w:val="0"/>
                <w:i w:val="0"/>
                <w:sz w:val="17"/>
              </w:rPr>
              <w:t>26/45/10</w:t>
            </w:r>
          </w:p>
        </w:tc>
        <w:tc>
          <w:tcPr>
            <w:tcW w:type="dxa" w:w="1417"/>
          </w:tcPr>
          <w:p>
            <w:pPr>
              <w:spacing w:line="240" w:lineRule="auto" w:after="0"/>
              <w:jc w:val="center"/>
            </w:pPr>
            <w:r/>
            <w:r>
              <w:rPr>
                <w:b w:val="0"/>
                <w:i w:val="0"/>
                <w:sz w:val="17"/>
              </w:rPr>
              <w:t>9/14/6</w:t>
            </w:r>
          </w:p>
        </w:tc>
        <w:tc>
          <w:tcPr>
            <w:tcW w:type="dxa" w:w="1417"/>
          </w:tcPr>
          <w:p>
            <w:pPr>
              <w:spacing w:line="240" w:lineRule="auto" w:after="0"/>
              <w:jc w:val="center"/>
            </w:pPr>
            <w:r/>
            <w:r>
              <w:rPr>
                <w:b w:val="0"/>
                <w:i w:val="0"/>
                <w:sz w:val="17"/>
              </w:rPr>
              <w:t>13/20/2</w:t>
            </w:r>
          </w:p>
        </w:tc>
        <w:tc>
          <w:tcPr>
            <w:tcW w:type="dxa" w:w="1417"/>
          </w:tcPr>
          <w:p>
            <w:pPr>
              <w:spacing w:line="240" w:lineRule="auto" w:after="0"/>
              <w:jc w:val="center"/>
            </w:pPr>
            <w:r/>
            <w:r>
              <w:rPr>
                <w:b w:val="0"/>
                <w:i w:val="0"/>
                <w:sz w:val="17"/>
              </w:rPr>
              <w:t>4/11/2</w:t>
            </w:r>
          </w:p>
        </w:tc>
        <w:tc>
          <w:tcPr>
            <w:tcW w:type="dxa" w:w="737"/>
          </w:tcPr>
          <w:p>
            <w:pPr>
              <w:spacing w:line="240" w:lineRule="auto" w:after="0"/>
              <w:jc w:val="center"/>
            </w:pPr>
            <w:r/>
            <w:r>
              <w:rPr>
                <w:b w:val="0"/>
                <w:i w:val="0"/>
                <w:sz w:val="17"/>
              </w:rPr>
              <w:t>.391</w:t>
            </w:r>
          </w:p>
        </w:tc>
      </w:tr>
      <w:tr>
        <w:tc>
          <w:tcPr>
            <w:tcW w:type="dxa" w:w="2381"/>
          </w:tcPr>
          <w:p>
            <w:pPr>
              <w:spacing w:line="240" w:lineRule="auto" w:after="0"/>
            </w:pPr>
            <w:r/>
            <w:r>
              <w:rPr>
                <w:b w:val="0"/>
                <w:i w:val="0"/>
                <w:sz w:val="17"/>
              </w:rPr>
              <w:t>Tegner maintained or improved, n (%)</w:t>
            </w:r>
          </w:p>
        </w:tc>
        <w:tc>
          <w:tcPr>
            <w:tcW w:type="dxa" w:w="1417"/>
          </w:tcPr>
          <w:p>
            <w:pPr>
              <w:spacing w:line="240" w:lineRule="auto" w:after="0"/>
              <w:jc w:val="center"/>
            </w:pPr>
            <w:r/>
            <w:r>
              <w:rPr>
                <w:b w:val="0"/>
                <w:i w:val="0"/>
                <w:sz w:val="17"/>
              </w:rPr>
              <w:t>71 (87.7)</w:t>
            </w:r>
          </w:p>
        </w:tc>
        <w:tc>
          <w:tcPr>
            <w:tcW w:type="dxa" w:w="1417"/>
          </w:tcPr>
          <w:p>
            <w:pPr>
              <w:spacing w:line="240" w:lineRule="auto" w:after="0"/>
              <w:jc w:val="center"/>
            </w:pPr>
            <w:r/>
            <w:r>
              <w:rPr>
                <w:b w:val="0"/>
                <w:i w:val="0"/>
                <w:sz w:val="17"/>
              </w:rPr>
              <w:t>23 (79.3)</w:t>
            </w:r>
          </w:p>
        </w:tc>
        <w:tc>
          <w:tcPr>
            <w:tcW w:type="dxa" w:w="1417"/>
          </w:tcPr>
          <w:p>
            <w:pPr>
              <w:spacing w:line="240" w:lineRule="auto" w:after="0"/>
              <w:jc w:val="center"/>
            </w:pPr>
            <w:r/>
            <w:r>
              <w:rPr>
                <w:b w:val="0"/>
                <w:i w:val="0"/>
                <w:sz w:val="17"/>
              </w:rPr>
              <w:t>33 (94.3)</w:t>
            </w:r>
          </w:p>
        </w:tc>
        <w:tc>
          <w:tcPr>
            <w:tcW w:type="dxa" w:w="1417"/>
          </w:tcPr>
          <w:p>
            <w:pPr>
              <w:spacing w:line="240" w:lineRule="auto" w:after="0"/>
              <w:jc w:val="center"/>
            </w:pPr>
            <w:r/>
            <w:r>
              <w:rPr>
                <w:b w:val="0"/>
                <w:i w:val="0"/>
                <w:sz w:val="17"/>
              </w:rPr>
              <w:t>15 (88.2)</w:t>
            </w:r>
          </w:p>
        </w:tc>
        <w:tc>
          <w:tcPr>
            <w:tcW w:type="dxa" w:w="737"/>
          </w:tcPr>
          <w:p>
            <w:pPr>
              <w:spacing w:line="240" w:lineRule="auto" w:after="0"/>
              <w:jc w:val="center"/>
            </w:pPr>
            <w:r/>
            <w:r>
              <w:rPr>
                <w:b w:val="0"/>
                <w:i w:val="0"/>
                <w:sz w:val="17"/>
              </w:rPr>
              <w:t>.193</w:t>
            </w:r>
          </w:p>
        </w:tc>
      </w:tr>
    </w:tbl>
    <w:p>
      <w:pPr>
        <w:spacing w:after="240" w:line="240" w:lineRule="auto"/>
      </w:pPr>
      <w:r>
        <w:rPr>
          <w:b w:val="0"/>
          <w:i w:val="0"/>
          <w:sz w:val="17"/>
        </w:rPr>
        <w:t>Values are mean ± SD unless otherwise indicated. Between-group P values from the Kruskal-Wallis test (chi-square test for Tegner categories); pre vs final P values from the Wilcoxon signed-rank test. Change = final − preoperative.</w:t>
      </w:r>
    </w:p>
    <w:p>
      <w:pPr>
        <w:spacing w:after="60" w:line="240" w:lineRule="auto"/>
      </w:pPr>
      <w:r>
        <w:rPr>
          <w:b/>
          <w:i w:val="0"/>
          <w:sz w:val="20"/>
        </w:rPr>
        <w:t>Table 3. Patient-reported outcomes at final follow-up</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Variable</w:t>
            </w:r>
          </w:p>
        </w:tc>
        <w:tc>
          <w:tcPr>
            <w:tcW w:type="dxa" w:w="1417"/>
          </w:tcPr>
          <w:p>
            <w:pPr>
              <w:spacing w:line="240" w:lineRule="auto" w:after="0"/>
              <w:jc w:val="center"/>
            </w:pPr>
            <w:r/>
            <w:r>
              <w:rPr>
                <w:b/>
                <w:i w:val="0"/>
                <w:sz w:val="17"/>
              </w:rPr>
              <w:t>Total (n = 81)</w:t>
            </w:r>
          </w:p>
        </w:tc>
        <w:tc>
          <w:tcPr>
            <w:tcW w:type="dxa" w:w="1417"/>
          </w:tcPr>
          <w:p>
            <w:pPr>
              <w:spacing w:line="240" w:lineRule="auto" w:after="0"/>
              <w:jc w:val="center"/>
            </w:pPr>
            <w:r/>
            <w:r>
              <w:rPr>
                <w:b/>
                <w:i w:val="0"/>
                <w:sz w:val="17"/>
              </w:rPr>
              <w:t>Anatomic (n = 29)</w:t>
            </w:r>
          </w:p>
        </w:tc>
        <w:tc>
          <w:tcPr>
            <w:tcW w:type="dxa" w:w="1417"/>
          </w:tcPr>
          <w:p>
            <w:pPr>
              <w:spacing w:line="240" w:lineRule="auto" w:after="0"/>
              <w:jc w:val="center"/>
            </w:pPr>
            <w:r/>
            <w:r>
              <w:rPr>
                <w:b/>
                <w:i w:val="0"/>
                <w:sz w:val="17"/>
              </w:rPr>
              <w:t>Subanatomic (n = 35)</w:t>
            </w:r>
          </w:p>
        </w:tc>
        <w:tc>
          <w:tcPr>
            <w:tcW w:type="dxa" w:w="1417"/>
          </w:tcPr>
          <w:p>
            <w:pPr>
              <w:spacing w:line="240" w:lineRule="auto" w:after="0"/>
              <w:jc w:val="center"/>
            </w:pPr>
            <w:r/>
            <w:r>
              <w:rPr>
                <w:b/>
                <w:i w:val="0"/>
                <w:sz w:val="17"/>
              </w:rPr>
              <w:t>Nonanatomic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FFI</w:t>
            </w:r>
          </w:p>
        </w:tc>
        <w:tc>
          <w:tcPr>
            <w:tcW w:type="dxa" w:w="1417"/>
          </w:tcPr>
          <w:p>
            <w:pPr>
              <w:spacing w:line="240" w:lineRule="auto" w:after="0"/>
              <w:jc w:val="center"/>
            </w:pPr>
            <w:r/>
            <w:r>
              <w:rPr>
                <w:b w:val="0"/>
                <w:i w:val="0"/>
                <w:sz w:val="17"/>
              </w:rPr>
              <w:t>2.95 ± 4.17</w:t>
            </w:r>
          </w:p>
        </w:tc>
        <w:tc>
          <w:tcPr>
            <w:tcW w:type="dxa" w:w="1417"/>
          </w:tcPr>
          <w:p>
            <w:pPr>
              <w:spacing w:line="240" w:lineRule="auto" w:after="0"/>
              <w:jc w:val="center"/>
            </w:pPr>
            <w:r/>
            <w:r>
              <w:rPr>
                <w:b w:val="0"/>
                <w:i w:val="0"/>
                <w:sz w:val="17"/>
              </w:rPr>
              <w:t>3.72 ± 4.16</w:t>
            </w:r>
          </w:p>
        </w:tc>
        <w:tc>
          <w:tcPr>
            <w:tcW w:type="dxa" w:w="1417"/>
          </w:tcPr>
          <w:p>
            <w:pPr>
              <w:spacing w:line="240" w:lineRule="auto" w:after="0"/>
              <w:jc w:val="center"/>
            </w:pPr>
            <w:r/>
            <w:r>
              <w:rPr>
                <w:b w:val="0"/>
                <w:i w:val="0"/>
                <w:sz w:val="17"/>
              </w:rPr>
              <w:t>2.06 ± 3.57</w:t>
            </w:r>
          </w:p>
        </w:tc>
        <w:tc>
          <w:tcPr>
            <w:tcW w:type="dxa" w:w="1417"/>
          </w:tcPr>
          <w:p>
            <w:pPr>
              <w:spacing w:line="240" w:lineRule="auto" w:after="0"/>
              <w:jc w:val="center"/>
            </w:pPr>
            <w:r/>
            <w:r>
              <w:rPr>
                <w:b w:val="0"/>
                <w:i w:val="0"/>
                <w:sz w:val="17"/>
              </w:rPr>
              <w:t>3.47 ± 5.12</w:t>
            </w:r>
          </w:p>
        </w:tc>
        <w:tc>
          <w:tcPr>
            <w:tcW w:type="dxa" w:w="737"/>
          </w:tcPr>
          <w:p>
            <w:pPr>
              <w:spacing w:line="240" w:lineRule="auto" w:after="0"/>
              <w:jc w:val="center"/>
            </w:pPr>
            <w:r/>
            <w:r>
              <w:rPr>
                <w:b w:val="0"/>
                <w:i w:val="0"/>
                <w:sz w:val="17"/>
              </w:rPr>
              <w:t>.041</w:t>
            </w:r>
          </w:p>
        </w:tc>
      </w:tr>
      <w:tr>
        <w:tc>
          <w:tcPr>
            <w:tcW w:type="dxa" w:w="2381"/>
          </w:tcPr>
          <w:p>
            <w:pPr>
              <w:spacing w:line="240" w:lineRule="auto" w:after="0"/>
            </w:pPr>
            <w:r/>
            <w:r>
              <w:rPr>
                <w:b w:val="0"/>
                <w:i w:val="0"/>
                <w:sz w:val="17"/>
              </w:rPr>
              <w:t>FAOS, mean of 5 subscales</w:t>
            </w:r>
          </w:p>
        </w:tc>
        <w:tc>
          <w:tcPr>
            <w:tcW w:type="dxa" w:w="1417"/>
          </w:tcPr>
          <w:p>
            <w:pPr>
              <w:spacing w:line="240" w:lineRule="auto" w:after="0"/>
              <w:jc w:val="center"/>
            </w:pPr>
            <w:r/>
            <w:r>
              <w:rPr>
                <w:b w:val="0"/>
                <w:i w:val="0"/>
                <w:sz w:val="17"/>
              </w:rPr>
              <w:t>95.81 ± 5.00</w:t>
            </w:r>
          </w:p>
        </w:tc>
        <w:tc>
          <w:tcPr>
            <w:tcW w:type="dxa" w:w="1417"/>
          </w:tcPr>
          <w:p>
            <w:pPr>
              <w:spacing w:line="240" w:lineRule="auto" w:after="0"/>
              <w:jc w:val="center"/>
            </w:pPr>
            <w:r/>
            <w:r>
              <w:rPr>
                <w:b w:val="0"/>
                <w:i w:val="0"/>
                <w:sz w:val="17"/>
              </w:rPr>
              <w:t>94.75 ± 5.66</w:t>
            </w:r>
          </w:p>
        </w:tc>
        <w:tc>
          <w:tcPr>
            <w:tcW w:type="dxa" w:w="1417"/>
          </w:tcPr>
          <w:p>
            <w:pPr>
              <w:spacing w:line="240" w:lineRule="auto" w:after="0"/>
              <w:jc w:val="center"/>
            </w:pPr>
            <w:r/>
            <w:r>
              <w:rPr>
                <w:b w:val="0"/>
                <w:i w:val="0"/>
                <w:sz w:val="17"/>
              </w:rPr>
              <w:t>97.19 ± 2.97</w:t>
            </w:r>
          </w:p>
        </w:tc>
        <w:tc>
          <w:tcPr>
            <w:tcW w:type="dxa" w:w="1417"/>
          </w:tcPr>
          <w:p>
            <w:pPr>
              <w:spacing w:line="240" w:lineRule="auto" w:after="0"/>
              <w:jc w:val="center"/>
            </w:pPr>
            <w:r/>
            <w:r>
              <w:rPr>
                <w:b w:val="0"/>
                <w:i w:val="0"/>
                <w:sz w:val="17"/>
              </w:rPr>
              <w:t>94.78 ± 6.53</w:t>
            </w:r>
          </w:p>
        </w:tc>
        <w:tc>
          <w:tcPr>
            <w:tcW w:type="dxa" w:w="737"/>
          </w:tcPr>
          <w:p>
            <w:pPr>
              <w:spacing w:line="240" w:lineRule="auto" w:after="0"/>
              <w:jc w:val="center"/>
            </w:pPr>
            <w:r/>
            <w:r>
              <w:rPr>
                <w:b w:val="0"/>
                <w:i w:val="0"/>
                <w:sz w:val="17"/>
              </w:rPr>
              <w:t>.183</w:t>
            </w:r>
          </w:p>
        </w:tc>
      </w:tr>
      <w:tr>
        <w:tc>
          <w:tcPr>
            <w:tcW w:type="dxa" w:w="2381"/>
          </w:tcPr>
          <w:p>
            <w:pPr>
              <w:spacing w:line="240" w:lineRule="auto" w:after="0"/>
            </w:pPr>
            <w:r/>
            <w:r>
              <w:rPr>
                <w:b w:val="0"/>
                <w:i w:val="0"/>
                <w:sz w:val="17"/>
              </w:rPr>
              <w:t xml:space="preserve">  Pain</w:t>
            </w:r>
          </w:p>
        </w:tc>
        <w:tc>
          <w:tcPr>
            <w:tcW w:type="dxa" w:w="1417"/>
          </w:tcPr>
          <w:p>
            <w:pPr>
              <w:spacing w:line="240" w:lineRule="auto" w:after="0"/>
              <w:jc w:val="center"/>
            </w:pPr>
            <w:r/>
            <w:r>
              <w:rPr>
                <w:b w:val="0"/>
                <w:i w:val="0"/>
                <w:sz w:val="17"/>
              </w:rPr>
              <w:t>97.36 ± 5.57</w:t>
            </w:r>
          </w:p>
        </w:tc>
        <w:tc>
          <w:tcPr>
            <w:tcW w:type="dxa" w:w="1417"/>
          </w:tcPr>
          <w:p>
            <w:pPr>
              <w:spacing w:line="240" w:lineRule="auto" w:after="0"/>
              <w:jc w:val="center"/>
            </w:pPr>
            <w:r/>
            <w:r>
              <w:rPr>
                <w:b w:val="0"/>
                <w:i w:val="0"/>
                <w:sz w:val="17"/>
              </w:rPr>
              <w:t>97.32 ± 3.25</w:t>
            </w:r>
          </w:p>
        </w:tc>
        <w:tc>
          <w:tcPr>
            <w:tcW w:type="dxa" w:w="1417"/>
          </w:tcPr>
          <w:p>
            <w:pPr>
              <w:spacing w:line="240" w:lineRule="auto" w:after="0"/>
              <w:jc w:val="center"/>
            </w:pPr>
            <w:r/>
            <w:r>
              <w:rPr>
                <w:b w:val="0"/>
                <w:i w:val="0"/>
                <w:sz w:val="17"/>
              </w:rPr>
              <w:t>98.57 ± 3.19</w:t>
            </w:r>
          </w:p>
        </w:tc>
        <w:tc>
          <w:tcPr>
            <w:tcW w:type="dxa" w:w="1417"/>
          </w:tcPr>
          <w:p>
            <w:pPr>
              <w:spacing w:line="240" w:lineRule="auto" w:after="0"/>
              <w:jc w:val="center"/>
            </w:pPr>
            <w:r/>
            <w:r>
              <w:rPr>
                <w:b w:val="0"/>
                <w:i w:val="0"/>
                <w:sz w:val="17"/>
              </w:rPr>
              <w:t>94.93 ± 10.22</w:t>
            </w:r>
          </w:p>
        </w:tc>
        <w:tc>
          <w:tcPr>
            <w:tcW w:type="dxa" w:w="737"/>
          </w:tcPr>
          <w:p>
            <w:pPr>
              <w:spacing w:line="240" w:lineRule="auto" w:after="0"/>
              <w:jc w:val="center"/>
            </w:pPr>
            <w:r/>
            <w:r>
              <w:rPr>
                <w:b w:val="0"/>
                <w:i w:val="0"/>
                <w:sz w:val="17"/>
              </w:rPr>
              <w:t>.169</w:t>
            </w:r>
          </w:p>
        </w:tc>
      </w:tr>
      <w:tr>
        <w:tc>
          <w:tcPr>
            <w:tcW w:type="dxa" w:w="2381"/>
          </w:tcPr>
          <w:p>
            <w:pPr>
              <w:spacing w:line="240" w:lineRule="auto" w:after="0"/>
            </w:pPr>
            <w:r/>
            <w:r>
              <w:rPr>
                <w:b w:val="0"/>
                <w:i w:val="0"/>
                <w:sz w:val="17"/>
              </w:rPr>
              <w:t xml:space="preserve">  Symptoms</w:t>
            </w:r>
          </w:p>
        </w:tc>
        <w:tc>
          <w:tcPr>
            <w:tcW w:type="dxa" w:w="1417"/>
          </w:tcPr>
          <w:p>
            <w:pPr>
              <w:spacing w:line="240" w:lineRule="auto" w:after="0"/>
              <w:jc w:val="center"/>
            </w:pPr>
            <w:r/>
            <w:r>
              <w:rPr>
                <w:b w:val="0"/>
                <w:i w:val="0"/>
                <w:sz w:val="17"/>
              </w:rPr>
              <w:t>96.83 ± 5.11</w:t>
            </w:r>
          </w:p>
        </w:tc>
        <w:tc>
          <w:tcPr>
            <w:tcW w:type="dxa" w:w="1417"/>
          </w:tcPr>
          <w:p>
            <w:pPr>
              <w:spacing w:line="240" w:lineRule="auto" w:after="0"/>
              <w:jc w:val="center"/>
            </w:pPr>
            <w:r/>
            <w:r>
              <w:rPr>
                <w:b w:val="0"/>
                <w:i w:val="0"/>
                <w:sz w:val="17"/>
              </w:rPr>
              <w:t>95.94 ± 5.37</w:t>
            </w:r>
          </w:p>
        </w:tc>
        <w:tc>
          <w:tcPr>
            <w:tcW w:type="dxa" w:w="1417"/>
          </w:tcPr>
          <w:p>
            <w:pPr>
              <w:spacing w:line="240" w:lineRule="auto" w:after="0"/>
              <w:jc w:val="center"/>
            </w:pPr>
            <w:r/>
            <w:r>
              <w:rPr>
                <w:b w:val="0"/>
                <w:i w:val="0"/>
                <w:sz w:val="17"/>
              </w:rPr>
              <w:t>97.55 ± 4.14</w:t>
            </w:r>
          </w:p>
        </w:tc>
        <w:tc>
          <w:tcPr>
            <w:tcW w:type="dxa" w:w="1417"/>
          </w:tcPr>
          <w:p>
            <w:pPr>
              <w:spacing w:line="240" w:lineRule="auto" w:after="0"/>
              <w:jc w:val="center"/>
            </w:pPr>
            <w:r/>
            <w:r>
              <w:rPr>
                <w:b w:val="0"/>
                <w:i w:val="0"/>
                <w:sz w:val="17"/>
              </w:rPr>
              <w:t>96.85 ± 6.42</w:t>
            </w:r>
          </w:p>
        </w:tc>
        <w:tc>
          <w:tcPr>
            <w:tcW w:type="dxa" w:w="737"/>
          </w:tcPr>
          <w:p>
            <w:pPr>
              <w:spacing w:line="240" w:lineRule="auto" w:after="0"/>
              <w:jc w:val="center"/>
            </w:pPr>
            <w:r/>
            <w:r>
              <w:rPr>
                <w:b w:val="0"/>
                <w:i w:val="0"/>
                <w:sz w:val="17"/>
              </w:rPr>
              <w:t>.559</w:t>
            </w:r>
          </w:p>
        </w:tc>
      </w:tr>
      <w:tr>
        <w:tc>
          <w:tcPr>
            <w:tcW w:type="dxa" w:w="2381"/>
          </w:tcPr>
          <w:p>
            <w:pPr>
              <w:spacing w:line="240" w:lineRule="auto" w:after="0"/>
            </w:pPr>
            <w:r/>
            <w:r>
              <w:rPr>
                <w:b/>
                <w:i w:val="0"/>
                <w:sz w:val="17"/>
              </w:rPr>
              <w:t xml:space="preserve">  ADL</w:t>
            </w:r>
          </w:p>
        </w:tc>
        <w:tc>
          <w:tcPr>
            <w:tcW w:type="dxa" w:w="1417"/>
          </w:tcPr>
          <w:p>
            <w:pPr>
              <w:spacing w:line="240" w:lineRule="auto" w:after="0"/>
              <w:jc w:val="center"/>
            </w:pPr>
            <w:r/>
            <w:r>
              <w:rPr>
                <w:b w:val="0"/>
                <w:i w:val="0"/>
                <w:sz w:val="17"/>
              </w:rPr>
              <w:t>98.43 ± 2.93</w:t>
            </w:r>
          </w:p>
        </w:tc>
        <w:tc>
          <w:tcPr>
            <w:tcW w:type="dxa" w:w="1417"/>
          </w:tcPr>
          <w:p>
            <w:pPr>
              <w:spacing w:line="240" w:lineRule="auto" w:after="0"/>
              <w:jc w:val="center"/>
            </w:pPr>
            <w:r/>
            <w:r>
              <w:rPr>
                <w:b w:val="0"/>
                <w:i w:val="0"/>
                <w:sz w:val="17"/>
              </w:rPr>
              <w:t>98.00 ± 3.10</w:t>
            </w:r>
          </w:p>
        </w:tc>
        <w:tc>
          <w:tcPr>
            <w:tcW w:type="dxa" w:w="1417"/>
          </w:tcPr>
          <w:p>
            <w:pPr>
              <w:spacing w:line="240" w:lineRule="auto" w:after="0"/>
              <w:jc w:val="center"/>
            </w:pPr>
            <w:r/>
            <w:r>
              <w:rPr>
                <w:b w:val="0"/>
                <w:i w:val="0"/>
                <w:sz w:val="17"/>
              </w:rPr>
              <w:t>98.86 ± 2.32</w:t>
            </w:r>
          </w:p>
        </w:tc>
        <w:tc>
          <w:tcPr>
            <w:tcW w:type="dxa" w:w="1417"/>
          </w:tcPr>
          <w:p>
            <w:pPr>
              <w:spacing w:line="240" w:lineRule="auto" w:after="0"/>
              <w:jc w:val="center"/>
            </w:pPr>
            <w:r/>
            <w:r>
              <w:rPr>
                <w:b w:val="0"/>
                <w:i w:val="0"/>
                <w:sz w:val="17"/>
              </w:rPr>
              <w:t>98.25 ± 3.75</w:t>
            </w:r>
          </w:p>
        </w:tc>
        <w:tc>
          <w:tcPr>
            <w:tcW w:type="dxa" w:w="737"/>
          </w:tcPr>
          <w:p>
            <w:pPr>
              <w:spacing w:line="240" w:lineRule="auto" w:after="0"/>
              <w:jc w:val="center"/>
            </w:pPr>
            <w:r/>
            <w:r>
              <w:rPr>
                <w:b w:val="0"/>
                <w:i w:val="0"/>
                <w:sz w:val="17"/>
              </w:rPr>
              <w:t>.626</w:t>
            </w:r>
          </w:p>
        </w:tc>
      </w:tr>
      <w:tr>
        <w:tc>
          <w:tcPr>
            <w:tcW w:type="dxa" w:w="2381"/>
          </w:tcPr>
          <w:p>
            <w:pPr>
              <w:spacing w:line="240" w:lineRule="auto" w:after="0"/>
            </w:pPr>
            <w:r/>
            <w:r>
              <w:rPr>
                <w:b w:val="0"/>
                <w:i w:val="0"/>
                <w:sz w:val="17"/>
              </w:rPr>
              <w:t xml:space="preserve">  Sport/Recreation</w:t>
            </w:r>
          </w:p>
        </w:tc>
        <w:tc>
          <w:tcPr>
            <w:tcW w:type="dxa" w:w="1417"/>
          </w:tcPr>
          <w:p>
            <w:pPr>
              <w:spacing w:line="240" w:lineRule="auto" w:after="0"/>
              <w:jc w:val="center"/>
            </w:pPr>
            <w:r/>
            <w:r>
              <w:rPr>
                <w:b w:val="0"/>
                <w:i w:val="0"/>
                <w:sz w:val="17"/>
              </w:rPr>
              <w:t>93.56 ± 9.65</w:t>
            </w:r>
          </w:p>
        </w:tc>
        <w:tc>
          <w:tcPr>
            <w:tcW w:type="dxa" w:w="1417"/>
          </w:tcPr>
          <w:p>
            <w:pPr>
              <w:spacing w:line="240" w:lineRule="auto" w:after="0"/>
              <w:jc w:val="center"/>
            </w:pPr>
            <w:r/>
            <w:r>
              <w:rPr>
                <w:b w:val="0"/>
                <w:i w:val="0"/>
                <w:sz w:val="17"/>
              </w:rPr>
              <w:t>90.71 ± 12.15</w:t>
            </w:r>
          </w:p>
        </w:tc>
        <w:tc>
          <w:tcPr>
            <w:tcW w:type="dxa" w:w="1417"/>
          </w:tcPr>
          <w:p>
            <w:pPr>
              <w:spacing w:line="240" w:lineRule="auto" w:after="0"/>
              <w:jc w:val="center"/>
            </w:pPr>
            <w:r/>
            <w:r>
              <w:rPr>
                <w:b w:val="0"/>
                <w:i w:val="0"/>
                <w:sz w:val="17"/>
              </w:rPr>
              <w:t>96.14 ± 5.57</w:t>
            </w:r>
          </w:p>
        </w:tc>
        <w:tc>
          <w:tcPr>
            <w:tcW w:type="dxa" w:w="1417"/>
          </w:tcPr>
          <w:p>
            <w:pPr>
              <w:spacing w:line="240" w:lineRule="auto" w:after="0"/>
              <w:jc w:val="center"/>
            </w:pPr>
            <w:r/>
            <w:r>
              <w:rPr>
                <w:b w:val="0"/>
                <w:i w:val="0"/>
                <w:sz w:val="17"/>
              </w:rPr>
              <w:t>92.94 ± 10.76</w:t>
            </w:r>
          </w:p>
        </w:tc>
        <w:tc>
          <w:tcPr>
            <w:tcW w:type="dxa" w:w="737"/>
          </w:tcPr>
          <w:p>
            <w:pPr>
              <w:spacing w:line="240" w:lineRule="auto" w:after="0"/>
              <w:jc w:val="center"/>
            </w:pPr>
            <w:r/>
            <w:r>
              <w:rPr>
                <w:b w:val="0"/>
                <w:i w:val="0"/>
                <w:sz w:val="17"/>
              </w:rPr>
              <w:t>.308</w:t>
            </w:r>
          </w:p>
        </w:tc>
      </w:tr>
      <w:tr>
        <w:tc>
          <w:tcPr>
            <w:tcW w:type="dxa" w:w="2381"/>
          </w:tcPr>
          <w:p>
            <w:pPr>
              <w:spacing w:line="240" w:lineRule="auto" w:after="0"/>
            </w:pPr>
            <w:r/>
            <w:r>
              <w:rPr>
                <w:b w:val="0"/>
                <w:i w:val="0"/>
                <w:sz w:val="17"/>
              </w:rPr>
              <w:t xml:space="preserve">  Quality of life</w:t>
            </w:r>
          </w:p>
        </w:tc>
        <w:tc>
          <w:tcPr>
            <w:tcW w:type="dxa" w:w="1417"/>
          </w:tcPr>
          <w:p>
            <w:pPr>
              <w:spacing w:line="240" w:lineRule="auto" w:after="0"/>
              <w:jc w:val="center"/>
            </w:pPr>
            <w:r/>
            <w:r>
              <w:rPr>
                <w:b w:val="0"/>
                <w:i w:val="0"/>
                <w:sz w:val="17"/>
              </w:rPr>
              <w:t>92.81 ± 11.21</w:t>
            </w:r>
          </w:p>
        </w:tc>
        <w:tc>
          <w:tcPr>
            <w:tcW w:type="dxa" w:w="1417"/>
          </w:tcPr>
          <w:p>
            <w:pPr>
              <w:spacing w:line="240" w:lineRule="auto" w:after="0"/>
              <w:jc w:val="center"/>
            </w:pPr>
            <w:r/>
            <w:r>
              <w:rPr>
                <w:b w:val="0"/>
                <w:i w:val="0"/>
                <w:sz w:val="17"/>
              </w:rPr>
              <w:t>91.29 ± 12.07</w:t>
            </w:r>
          </w:p>
        </w:tc>
        <w:tc>
          <w:tcPr>
            <w:tcW w:type="dxa" w:w="1417"/>
          </w:tcPr>
          <w:p>
            <w:pPr>
              <w:spacing w:line="240" w:lineRule="auto" w:after="0"/>
              <w:jc w:val="center"/>
            </w:pPr>
            <w:r/>
            <w:r>
              <w:rPr>
                <w:b w:val="0"/>
                <w:i w:val="0"/>
                <w:sz w:val="17"/>
              </w:rPr>
              <w:t>94.82 ± 10.34</w:t>
            </w:r>
          </w:p>
        </w:tc>
        <w:tc>
          <w:tcPr>
            <w:tcW w:type="dxa" w:w="1417"/>
          </w:tcPr>
          <w:p>
            <w:pPr>
              <w:spacing w:line="240" w:lineRule="auto" w:after="0"/>
              <w:jc w:val="center"/>
            </w:pPr>
            <w:r/>
            <w:r>
              <w:rPr>
                <w:b w:val="0"/>
                <w:i w:val="0"/>
                <w:sz w:val="17"/>
              </w:rPr>
              <w:t>91.18 ± 11.49</w:t>
            </w:r>
          </w:p>
        </w:tc>
        <w:tc>
          <w:tcPr>
            <w:tcW w:type="dxa" w:w="737"/>
          </w:tcPr>
          <w:p>
            <w:pPr>
              <w:spacing w:line="240" w:lineRule="auto" w:after="0"/>
              <w:jc w:val="center"/>
            </w:pPr>
            <w:r/>
            <w:r>
              <w:rPr>
                <w:b w:val="0"/>
                <w:i w:val="0"/>
                <w:sz w:val="17"/>
              </w:rPr>
              <w:t>.241</w:t>
            </w:r>
          </w:p>
        </w:tc>
      </w:tr>
      <w:tr>
        <w:tc>
          <w:tcPr>
            <w:tcW w:type="dxa" w:w="2381"/>
          </w:tcPr>
          <w:p>
            <w:pPr>
              <w:spacing w:line="240" w:lineRule="auto" w:after="0"/>
            </w:pPr>
            <w:r/>
            <w:r>
              <w:rPr>
                <w:b/>
                <w:i w:val="0"/>
                <w:sz w:val="17"/>
              </w:rPr>
              <w:t>FAAM ADL</w:t>
            </w:r>
          </w:p>
        </w:tc>
        <w:tc>
          <w:tcPr>
            <w:tcW w:type="dxa" w:w="1417"/>
          </w:tcPr>
          <w:p>
            <w:pPr>
              <w:spacing w:line="240" w:lineRule="auto" w:after="0"/>
              <w:jc w:val="center"/>
            </w:pPr>
            <w:r/>
            <w:r>
              <w:rPr>
                <w:b w:val="0"/>
                <w:i w:val="0"/>
                <w:sz w:val="17"/>
              </w:rPr>
              <w:t>97.52 ± 3.26</w:t>
            </w:r>
          </w:p>
        </w:tc>
        <w:tc>
          <w:tcPr>
            <w:tcW w:type="dxa" w:w="1417"/>
          </w:tcPr>
          <w:p>
            <w:pPr>
              <w:spacing w:line="240" w:lineRule="auto" w:after="0"/>
              <w:jc w:val="center"/>
            </w:pPr>
            <w:r/>
            <w:r>
              <w:rPr>
                <w:b w:val="0"/>
                <w:i w:val="0"/>
                <w:sz w:val="17"/>
              </w:rPr>
              <w:t>96.87 ± 3.42</w:t>
            </w:r>
          </w:p>
        </w:tc>
        <w:tc>
          <w:tcPr>
            <w:tcW w:type="dxa" w:w="1417"/>
          </w:tcPr>
          <w:p>
            <w:pPr>
              <w:spacing w:line="240" w:lineRule="auto" w:after="0"/>
              <w:jc w:val="center"/>
            </w:pPr>
            <w:r/>
            <w:r>
              <w:rPr>
                <w:b w:val="0"/>
                <w:i w:val="0"/>
                <w:sz w:val="17"/>
              </w:rPr>
              <w:t>97.85 ± 3.20</w:t>
            </w:r>
          </w:p>
        </w:tc>
        <w:tc>
          <w:tcPr>
            <w:tcW w:type="dxa" w:w="1417"/>
          </w:tcPr>
          <w:p>
            <w:pPr>
              <w:spacing w:line="240" w:lineRule="auto" w:after="0"/>
              <w:jc w:val="center"/>
            </w:pPr>
            <w:r/>
            <w:r>
              <w:rPr>
                <w:b w:val="0"/>
                <w:i w:val="0"/>
                <w:sz w:val="17"/>
              </w:rPr>
              <w:t>97.93 ± 3.14</w:t>
            </w:r>
          </w:p>
        </w:tc>
        <w:tc>
          <w:tcPr>
            <w:tcW w:type="dxa" w:w="737"/>
          </w:tcPr>
          <w:p>
            <w:pPr>
              <w:spacing w:line="240" w:lineRule="auto" w:after="0"/>
              <w:jc w:val="center"/>
            </w:pPr>
            <w:r/>
            <w:r>
              <w:rPr>
                <w:b w:val="0"/>
                <w:i w:val="0"/>
                <w:sz w:val="17"/>
              </w:rPr>
              <w:t>.207</w:t>
            </w:r>
          </w:p>
        </w:tc>
      </w:tr>
      <w:tr>
        <w:tc>
          <w:tcPr>
            <w:tcW w:type="dxa" w:w="2381"/>
          </w:tcPr>
          <w:p>
            <w:pPr>
              <w:spacing w:line="240" w:lineRule="auto" w:after="0"/>
            </w:pPr>
            <w:r/>
            <w:r>
              <w:rPr>
                <w:b w:val="0"/>
                <w:i w:val="0"/>
                <w:sz w:val="17"/>
              </w:rPr>
              <w:t>FAAM Sports</w:t>
            </w:r>
          </w:p>
        </w:tc>
        <w:tc>
          <w:tcPr>
            <w:tcW w:type="dxa" w:w="1417"/>
          </w:tcPr>
          <w:p>
            <w:pPr>
              <w:spacing w:line="240" w:lineRule="auto" w:after="0"/>
              <w:jc w:val="center"/>
            </w:pPr>
            <w:r/>
            <w:r>
              <w:rPr>
                <w:b w:val="0"/>
                <w:i w:val="0"/>
                <w:sz w:val="17"/>
              </w:rPr>
              <w:t>93.67 ± 9.32</w:t>
            </w:r>
          </w:p>
        </w:tc>
        <w:tc>
          <w:tcPr>
            <w:tcW w:type="dxa" w:w="1417"/>
          </w:tcPr>
          <w:p>
            <w:pPr>
              <w:spacing w:line="240" w:lineRule="auto" w:after="0"/>
              <w:jc w:val="center"/>
            </w:pPr>
            <w:r/>
            <w:r>
              <w:rPr>
                <w:b w:val="0"/>
                <w:i w:val="0"/>
                <w:sz w:val="17"/>
              </w:rPr>
              <w:t>90.80 ± 12.81</w:t>
            </w:r>
          </w:p>
        </w:tc>
        <w:tc>
          <w:tcPr>
            <w:tcW w:type="dxa" w:w="1417"/>
          </w:tcPr>
          <w:p>
            <w:pPr>
              <w:spacing w:line="240" w:lineRule="auto" w:after="0"/>
              <w:jc w:val="center"/>
            </w:pPr>
            <w:r/>
            <w:r>
              <w:rPr>
                <w:b w:val="0"/>
                <w:i w:val="0"/>
                <w:sz w:val="17"/>
              </w:rPr>
              <w:t>95.80 ± 4.91</w:t>
            </w:r>
          </w:p>
        </w:tc>
        <w:tc>
          <w:tcPr>
            <w:tcW w:type="dxa" w:w="1417"/>
          </w:tcPr>
          <w:p>
            <w:pPr>
              <w:spacing w:line="240" w:lineRule="auto" w:after="0"/>
              <w:jc w:val="center"/>
            </w:pPr>
            <w:r/>
            <w:r>
              <w:rPr>
                <w:b w:val="0"/>
                <w:i w:val="0"/>
                <w:sz w:val="17"/>
              </w:rPr>
              <w:t>94.16 ± 8.41</w:t>
            </w:r>
          </w:p>
        </w:tc>
        <w:tc>
          <w:tcPr>
            <w:tcW w:type="dxa" w:w="737"/>
          </w:tcPr>
          <w:p>
            <w:pPr>
              <w:spacing w:line="240" w:lineRule="auto" w:after="0"/>
              <w:jc w:val="center"/>
            </w:pPr>
            <w:r/>
            <w:r>
              <w:rPr>
                <w:b w:val="0"/>
                <w:i w:val="0"/>
                <w:sz w:val="17"/>
              </w:rPr>
              <w:t>.320</w:t>
            </w:r>
          </w:p>
        </w:tc>
      </w:tr>
      <w:tr>
        <w:tc>
          <w:tcPr>
            <w:tcW w:type="dxa" w:w="2381"/>
          </w:tcPr>
          <w:p>
            <w:pPr>
              <w:spacing w:line="240" w:lineRule="auto" w:after="0"/>
            </w:pPr>
            <w:r/>
            <w:r>
              <w:rPr>
                <w:b w:val="0"/>
                <w:i w:val="0"/>
                <w:sz w:val="17"/>
              </w:rPr>
              <w:t>EQ-5D-5L (sum of levels)</w:t>
            </w:r>
          </w:p>
        </w:tc>
        <w:tc>
          <w:tcPr>
            <w:tcW w:type="dxa" w:w="1417"/>
          </w:tcPr>
          <w:p>
            <w:pPr>
              <w:spacing w:line="240" w:lineRule="auto" w:after="0"/>
              <w:jc w:val="center"/>
            </w:pPr>
            <w:r/>
            <w:r>
              <w:rPr>
                <w:b w:val="0"/>
                <w:i w:val="0"/>
                <w:sz w:val="17"/>
              </w:rPr>
              <w:t>5.46 ± 0.95</w:t>
            </w:r>
          </w:p>
        </w:tc>
        <w:tc>
          <w:tcPr>
            <w:tcW w:type="dxa" w:w="1417"/>
          </w:tcPr>
          <w:p>
            <w:pPr>
              <w:spacing w:line="240" w:lineRule="auto" w:after="0"/>
              <w:jc w:val="center"/>
            </w:pPr>
            <w:r/>
            <w:r>
              <w:rPr>
                <w:b w:val="0"/>
                <w:i w:val="0"/>
                <w:sz w:val="17"/>
              </w:rPr>
              <w:t>5.69 ± 1.28</w:t>
            </w:r>
          </w:p>
        </w:tc>
        <w:tc>
          <w:tcPr>
            <w:tcW w:type="dxa" w:w="1417"/>
          </w:tcPr>
          <w:p>
            <w:pPr>
              <w:spacing w:line="240" w:lineRule="auto" w:after="0"/>
              <w:jc w:val="center"/>
            </w:pPr>
            <w:r/>
            <w:r>
              <w:rPr>
                <w:b w:val="0"/>
                <w:i w:val="0"/>
                <w:sz w:val="17"/>
              </w:rPr>
              <w:t>5.23 ± 0.49</w:t>
            </w:r>
          </w:p>
        </w:tc>
        <w:tc>
          <w:tcPr>
            <w:tcW w:type="dxa" w:w="1417"/>
          </w:tcPr>
          <w:p>
            <w:pPr>
              <w:spacing w:line="240" w:lineRule="auto" w:after="0"/>
              <w:jc w:val="center"/>
            </w:pPr>
            <w:r/>
            <w:r>
              <w:rPr>
                <w:b w:val="0"/>
                <w:i w:val="0"/>
                <w:sz w:val="17"/>
              </w:rPr>
              <w:t>5.53 ± 0.94</w:t>
            </w:r>
          </w:p>
        </w:tc>
        <w:tc>
          <w:tcPr>
            <w:tcW w:type="dxa" w:w="737"/>
          </w:tcPr>
          <w:p>
            <w:pPr>
              <w:spacing w:line="240" w:lineRule="auto" w:after="0"/>
              <w:jc w:val="center"/>
            </w:pPr>
            <w:r/>
            <w:r>
              <w:rPr>
                <w:b w:val="0"/>
                <w:i w:val="0"/>
                <w:sz w:val="17"/>
              </w:rPr>
              <w:t>.284</w:t>
            </w:r>
          </w:p>
        </w:tc>
      </w:tr>
    </w:tbl>
    <w:p>
      <w:pPr>
        <w:spacing w:after="240" w:line="240" w:lineRule="auto"/>
      </w:pPr>
      <w:r>
        <w:rPr>
          <w:b w:val="0"/>
          <w:i w:val="0"/>
          <w:sz w:val="17"/>
        </w:rPr>
        <w:t xml:space="preserve">Values are mean ± SD. P values from the Kruskal-Wallis test. Post hoc Mann-Whitney U test for FFI: anatomic vs subanatomic, P = .011; anatomic vs nonanatomic, P = .373; subanatomic vs nonanatomic, P = .298 (significance level P &lt; .017). FAOS subscales were missing for one ankle in the anatomic group (n = 28). Lower FFI and EQ-5D-5L sum scores indicate better status. ADL, activities of daily living; FAAM, Foot and Ankle Ability Measure; FAOS, Foot and Ankle Outcome Score; FFI, Foot Function Index. </w:t>
      </w:r>
      <w:r>
        <w:rPr>
          <w:b w:val="0"/>
          <w:i w:val="0"/>
          <w:sz w:val="17"/>
          <w:highlight w:val="cyan"/>
        </w:rPr>
        <w:t>[FFI scale (0-100?) and EQ-5D-5L scoring to confirm]</w:t>
      </w:r>
    </w:p>
    <w:p>
      <w:pPr>
        <w:spacing w:after="60" w:line="240" w:lineRule="auto"/>
      </w:pPr>
      <w:r>
        <w:rPr>
          <w:b/>
          <w:i w:val="0"/>
          <w:sz w:val="20"/>
        </w:rPr>
        <w:t>Table 4. Stress radiographic outcomes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Variable</w:t>
            </w:r>
          </w:p>
        </w:tc>
        <w:tc>
          <w:tcPr>
            <w:tcW w:type="dxa" w:w="1417"/>
          </w:tcPr>
          <w:p>
            <w:pPr>
              <w:spacing w:line="240" w:lineRule="auto" w:after="0"/>
              <w:jc w:val="center"/>
            </w:pPr>
            <w:r/>
            <w:r>
              <w:rPr>
                <w:b/>
                <w:i w:val="0"/>
                <w:sz w:val="17"/>
              </w:rPr>
              <w:t>Total (n = 72)</w:t>
            </w:r>
          </w:p>
        </w:tc>
        <w:tc>
          <w:tcPr>
            <w:tcW w:type="dxa" w:w="1417"/>
          </w:tcPr>
          <w:p>
            <w:pPr>
              <w:spacing w:line="240" w:lineRule="auto" w:after="0"/>
              <w:jc w:val="center"/>
            </w:pPr>
            <w:r/>
            <w:r>
              <w:rPr>
                <w:b/>
                <w:i w:val="0"/>
                <w:sz w:val="17"/>
              </w:rPr>
              <w:t>Anatomic (n = 27)</w:t>
            </w:r>
          </w:p>
        </w:tc>
        <w:tc>
          <w:tcPr>
            <w:tcW w:type="dxa" w:w="1417"/>
          </w:tcPr>
          <w:p>
            <w:pPr>
              <w:spacing w:line="240" w:lineRule="auto" w:after="0"/>
              <w:jc w:val="center"/>
            </w:pPr>
            <w:r/>
            <w:r>
              <w:rPr>
                <w:b/>
                <w:i w:val="0"/>
                <w:sz w:val="17"/>
              </w:rPr>
              <w:t>Subanatomic (n = 33)</w:t>
            </w:r>
          </w:p>
        </w:tc>
        <w:tc>
          <w:tcPr>
            <w:tcW w:type="dxa" w:w="1417"/>
          </w:tcPr>
          <w:p>
            <w:pPr>
              <w:spacing w:line="240" w:lineRule="auto" w:after="0"/>
              <w:jc w:val="center"/>
            </w:pPr>
            <w:r/>
            <w:r>
              <w:rPr>
                <w:b/>
                <w:i w:val="0"/>
                <w:sz w:val="17"/>
              </w:rPr>
              <w:t>Nonanatomic (n = 12)</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Talar tilt, °</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9.33 ± 4.56</w:t>
            </w:r>
          </w:p>
        </w:tc>
        <w:tc>
          <w:tcPr>
            <w:tcW w:type="dxa" w:w="1417"/>
          </w:tcPr>
          <w:p>
            <w:pPr>
              <w:spacing w:line="240" w:lineRule="auto" w:after="0"/>
              <w:jc w:val="center"/>
            </w:pPr>
            <w:r/>
            <w:r>
              <w:rPr>
                <w:b w:val="0"/>
                <w:i w:val="0"/>
                <w:sz w:val="17"/>
              </w:rPr>
              <w:t>10.70 ± 4.67</w:t>
            </w:r>
          </w:p>
        </w:tc>
        <w:tc>
          <w:tcPr>
            <w:tcW w:type="dxa" w:w="1417"/>
          </w:tcPr>
          <w:p>
            <w:pPr>
              <w:spacing w:line="240" w:lineRule="auto" w:after="0"/>
              <w:jc w:val="center"/>
            </w:pPr>
            <w:r/>
            <w:r>
              <w:rPr>
                <w:b w:val="0"/>
                <w:i w:val="0"/>
                <w:sz w:val="17"/>
              </w:rPr>
              <w:t>8.18 ± 3.92</w:t>
            </w:r>
          </w:p>
        </w:tc>
        <w:tc>
          <w:tcPr>
            <w:tcW w:type="dxa" w:w="1417"/>
          </w:tcPr>
          <w:p>
            <w:pPr>
              <w:spacing w:line="240" w:lineRule="auto" w:after="0"/>
              <w:jc w:val="center"/>
            </w:pPr>
            <w:r/>
            <w:r>
              <w:rPr>
                <w:b w:val="0"/>
                <w:i w:val="0"/>
                <w:sz w:val="17"/>
              </w:rPr>
              <w:t>9.42 ± 5.44</w:t>
            </w:r>
          </w:p>
        </w:tc>
        <w:tc>
          <w:tcPr>
            <w:tcW w:type="dxa" w:w="737"/>
          </w:tcPr>
          <w:p>
            <w:pPr>
              <w:spacing w:line="240" w:lineRule="auto" w:after="0"/>
              <w:jc w:val="center"/>
            </w:pPr>
            <w:r/>
            <w:r>
              <w:rPr>
                <w:b w:val="0"/>
                <w:i w:val="0"/>
                <w:sz w:val="17"/>
              </w:rPr>
              <w:t>.183</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6.51 ± 3.62</w:t>
            </w:r>
          </w:p>
        </w:tc>
        <w:tc>
          <w:tcPr>
            <w:tcW w:type="dxa" w:w="1417"/>
          </w:tcPr>
          <w:p>
            <w:pPr>
              <w:spacing w:line="240" w:lineRule="auto" w:after="0"/>
              <w:jc w:val="center"/>
            </w:pPr>
            <w:r/>
            <w:r>
              <w:rPr>
                <w:b w:val="0"/>
                <w:i w:val="0"/>
                <w:sz w:val="17"/>
              </w:rPr>
              <w:t>7.00 ± 3.78</w:t>
            </w:r>
          </w:p>
        </w:tc>
        <w:tc>
          <w:tcPr>
            <w:tcW w:type="dxa" w:w="1417"/>
          </w:tcPr>
          <w:p>
            <w:pPr>
              <w:spacing w:line="240" w:lineRule="auto" w:after="0"/>
              <w:jc w:val="center"/>
            </w:pPr>
            <w:r/>
            <w:r>
              <w:rPr>
                <w:b w:val="0"/>
                <w:i w:val="0"/>
                <w:sz w:val="17"/>
              </w:rPr>
              <w:t>5.90 ± 3.06</w:t>
            </w:r>
          </w:p>
        </w:tc>
        <w:tc>
          <w:tcPr>
            <w:tcW w:type="dxa" w:w="1417"/>
          </w:tcPr>
          <w:p>
            <w:pPr>
              <w:spacing w:line="240" w:lineRule="auto" w:after="0"/>
              <w:jc w:val="center"/>
            </w:pPr>
            <w:r/>
            <w:r>
              <w:rPr>
                <w:b w:val="0"/>
                <w:i w:val="0"/>
                <w:sz w:val="17"/>
              </w:rPr>
              <w:t>7.09 ± 4.65</w:t>
            </w:r>
          </w:p>
        </w:tc>
        <w:tc>
          <w:tcPr>
            <w:tcW w:type="dxa" w:w="737"/>
          </w:tcPr>
          <w:p>
            <w:pPr>
              <w:spacing w:line="240" w:lineRule="auto" w:after="0"/>
              <w:jc w:val="center"/>
            </w:pPr>
            <w:r/>
            <w:r>
              <w:rPr>
                <w:b w:val="0"/>
                <w:i w:val="0"/>
                <w:sz w:val="17"/>
              </w:rPr>
              <w:t>.642</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-2.82 ± 2.76</w:t>
            </w:r>
          </w:p>
        </w:tc>
        <w:tc>
          <w:tcPr>
            <w:tcW w:type="dxa" w:w="1417"/>
          </w:tcPr>
          <w:p>
            <w:pPr>
              <w:spacing w:line="240" w:lineRule="auto" w:after="0"/>
              <w:jc w:val="center"/>
            </w:pPr>
            <w:r/>
            <w:r>
              <w:rPr>
                <w:b w:val="0"/>
                <w:i w:val="0"/>
                <w:sz w:val="17"/>
              </w:rPr>
              <w:t>-3.70 ± 2.82</w:t>
            </w:r>
          </w:p>
        </w:tc>
        <w:tc>
          <w:tcPr>
            <w:tcW w:type="dxa" w:w="1417"/>
          </w:tcPr>
          <w:p>
            <w:pPr>
              <w:spacing w:line="240" w:lineRule="auto" w:after="0"/>
              <w:jc w:val="center"/>
            </w:pPr>
            <w:r/>
            <w:r>
              <w:rPr>
                <w:b w:val="0"/>
                <w:i w:val="0"/>
                <w:sz w:val="17"/>
              </w:rPr>
              <w:t>-2.28 ± 2.59</w:t>
            </w:r>
          </w:p>
        </w:tc>
        <w:tc>
          <w:tcPr>
            <w:tcW w:type="dxa" w:w="1417"/>
          </w:tcPr>
          <w:p>
            <w:pPr>
              <w:spacing w:line="240" w:lineRule="auto" w:after="0"/>
              <w:jc w:val="center"/>
            </w:pPr>
            <w:r/>
            <w:r>
              <w:rPr>
                <w:b w:val="0"/>
                <w:i w:val="0"/>
                <w:sz w:val="17"/>
              </w:rPr>
              <w:t>-2.33 ± 2.79</w:t>
            </w:r>
          </w:p>
        </w:tc>
        <w:tc>
          <w:tcPr>
            <w:tcW w:type="dxa" w:w="737"/>
          </w:tcPr>
          <w:p>
            <w:pPr>
              <w:spacing w:line="240" w:lineRule="auto" w:after="0"/>
              <w:jc w:val="center"/>
            </w:pPr>
            <w:r/>
            <w:r>
              <w:rPr>
                <w:b w:val="0"/>
                <w:i w:val="0"/>
                <w:sz w:val="17"/>
              </w:rPr>
              <w:t>.112</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.021</w:t>
            </w:r>
          </w:p>
        </w:tc>
        <w:tc>
          <w:tcPr>
            <w:tcW w:type="dxa" w:w="737"/>
          </w:tcPr>
          <w:p>
            <w:pPr>
              <w:spacing w:line="240" w:lineRule="auto" w:after="0"/>
              <w:jc w:val="center"/>
            </w:pPr>
            <w:r/>
          </w:p>
        </w:tc>
      </w:tr>
      <w:tr>
        <w:tc>
          <w:tcPr>
            <w:tcW w:type="dxa" w:w="2381"/>
          </w:tcPr>
          <w:p>
            <w:pPr>
              <w:spacing w:line="240" w:lineRule="auto" w:after="0"/>
            </w:pPr>
            <w:r/>
            <w:r>
              <w:rPr>
                <w:b/>
                <w:i w:val="0"/>
                <w:sz w:val="17"/>
              </w:rPr>
              <w:t>Anterior translation, mm</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6.01 ± 1.91</w:t>
            </w:r>
          </w:p>
        </w:tc>
        <w:tc>
          <w:tcPr>
            <w:tcW w:type="dxa" w:w="1417"/>
          </w:tcPr>
          <w:p>
            <w:pPr>
              <w:spacing w:line="240" w:lineRule="auto" w:after="0"/>
              <w:jc w:val="center"/>
            </w:pPr>
            <w:r/>
            <w:r>
              <w:rPr>
                <w:b w:val="0"/>
                <w:i w:val="0"/>
                <w:sz w:val="17"/>
              </w:rPr>
              <w:t>6.27 ± 1.90</w:t>
            </w:r>
          </w:p>
        </w:tc>
        <w:tc>
          <w:tcPr>
            <w:tcW w:type="dxa" w:w="1417"/>
          </w:tcPr>
          <w:p>
            <w:pPr>
              <w:spacing w:line="240" w:lineRule="auto" w:after="0"/>
              <w:jc w:val="center"/>
            </w:pPr>
            <w:r/>
            <w:r>
              <w:rPr>
                <w:b w:val="0"/>
                <w:i w:val="0"/>
                <w:sz w:val="17"/>
              </w:rPr>
              <w:t>5.93 ± 2.03</w:t>
            </w:r>
          </w:p>
        </w:tc>
        <w:tc>
          <w:tcPr>
            <w:tcW w:type="dxa" w:w="1417"/>
          </w:tcPr>
          <w:p>
            <w:pPr>
              <w:spacing w:line="240" w:lineRule="auto" w:after="0"/>
              <w:jc w:val="center"/>
            </w:pPr>
            <w:r/>
            <w:r>
              <w:rPr>
                <w:b w:val="0"/>
                <w:i w:val="0"/>
                <w:sz w:val="17"/>
              </w:rPr>
              <w:t>5.67 ± 1.61</w:t>
            </w:r>
          </w:p>
        </w:tc>
        <w:tc>
          <w:tcPr>
            <w:tcW w:type="dxa" w:w="737"/>
          </w:tcPr>
          <w:p>
            <w:pPr>
              <w:spacing w:line="240" w:lineRule="auto" w:after="0"/>
              <w:jc w:val="center"/>
            </w:pPr>
            <w:r/>
            <w:r>
              <w:rPr>
                <w:b w:val="0"/>
                <w:i w:val="0"/>
                <w:sz w:val="17"/>
              </w:rPr>
              <w:t>.690</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4.94 ± 1.37</w:t>
            </w:r>
          </w:p>
        </w:tc>
        <w:tc>
          <w:tcPr>
            <w:tcW w:type="dxa" w:w="1417"/>
          </w:tcPr>
          <w:p>
            <w:pPr>
              <w:spacing w:line="240" w:lineRule="auto" w:after="0"/>
              <w:jc w:val="center"/>
            </w:pPr>
            <w:r/>
            <w:r>
              <w:rPr>
                <w:b w:val="0"/>
                <w:i w:val="0"/>
                <w:sz w:val="17"/>
              </w:rPr>
              <w:t>4.98 ± 1.10</w:t>
            </w:r>
          </w:p>
        </w:tc>
        <w:tc>
          <w:tcPr>
            <w:tcW w:type="dxa" w:w="1417"/>
          </w:tcPr>
          <w:p>
            <w:pPr>
              <w:spacing w:line="240" w:lineRule="auto" w:after="0"/>
              <w:jc w:val="center"/>
            </w:pPr>
            <w:r/>
            <w:r>
              <w:rPr>
                <w:b w:val="0"/>
                <w:i w:val="0"/>
                <w:sz w:val="17"/>
              </w:rPr>
              <w:t>4.67 ± 1.39</w:t>
            </w:r>
          </w:p>
        </w:tc>
        <w:tc>
          <w:tcPr>
            <w:tcW w:type="dxa" w:w="1417"/>
          </w:tcPr>
          <w:p>
            <w:pPr>
              <w:spacing w:line="240" w:lineRule="auto" w:after="0"/>
              <w:jc w:val="center"/>
            </w:pPr>
            <w:r/>
            <w:r>
              <w:rPr>
                <w:b w:val="0"/>
                <w:i w:val="0"/>
                <w:sz w:val="17"/>
              </w:rPr>
              <w:t>5.58 ± 1.70</w:t>
            </w:r>
          </w:p>
        </w:tc>
        <w:tc>
          <w:tcPr>
            <w:tcW w:type="dxa" w:w="737"/>
          </w:tcPr>
          <w:p>
            <w:pPr>
              <w:spacing w:line="240" w:lineRule="auto" w:after="0"/>
              <w:jc w:val="center"/>
            </w:pPr>
            <w:r/>
            <w:r>
              <w:rPr>
                <w:b w:val="0"/>
                <w:i w:val="0"/>
                <w:sz w:val="17"/>
              </w:rPr>
              <w:t>.168</w:t>
            </w:r>
          </w:p>
        </w:tc>
      </w:tr>
      <w:tr>
        <w:tc>
          <w:tcPr>
            <w:tcW w:type="dxa" w:w="2381"/>
          </w:tcPr>
          <w:p>
            <w:pPr>
              <w:spacing w:line="240" w:lineRule="auto" w:after="0"/>
            </w:pPr>
            <w:r/>
            <w:r>
              <w:rPr>
                <w:b w:val="0"/>
                <w:i w:val="0"/>
                <w:sz w:val="17"/>
              </w:rPr>
              <w:t xml:space="preserve">  Change</w:t>
            </w:r>
          </w:p>
        </w:tc>
        <w:tc>
          <w:tcPr>
            <w:tcW w:type="dxa" w:w="1417"/>
          </w:tcPr>
          <w:p>
            <w:pPr>
              <w:spacing w:line="240" w:lineRule="auto" w:after="0"/>
              <w:jc w:val="center"/>
            </w:pPr>
            <w:r/>
            <w:r>
              <w:rPr>
                <w:b w:val="0"/>
                <w:i w:val="0"/>
                <w:sz w:val="17"/>
              </w:rPr>
              <w:t>-1.08 ± 1.88</w:t>
            </w:r>
          </w:p>
        </w:tc>
        <w:tc>
          <w:tcPr>
            <w:tcW w:type="dxa" w:w="1417"/>
          </w:tcPr>
          <w:p>
            <w:pPr>
              <w:spacing w:line="240" w:lineRule="auto" w:after="0"/>
              <w:jc w:val="center"/>
            </w:pPr>
            <w:r/>
            <w:r>
              <w:rPr>
                <w:b w:val="0"/>
                <w:i w:val="0"/>
                <w:sz w:val="17"/>
              </w:rPr>
              <w:t>-1.29 ± 2.00</w:t>
            </w:r>
          </w:p>
        </w:tc>
        <w:tc>
          <w:tcPr>
            <w:tcW w:type="dxa" w:w="1417"/>
          </w:tcPr>
          <w:p>
            <w:pPr>
              <w:spacing w:line="240" w:lineRule="auto" w:after="0"/>
              <w:jc w:val="center"/>
            </w:pPr>
            <w:r/>
            <w:r>
              <w:rPr>
                <w:b w:val="0"/>
                <w:i w:val="0"/>
                <w:sz w:val="17"/>
              </w:rPr>
              <w:t>-1.26 ± 1.64</w:t>
            </w:r>
          </w:p>
        </w:tc>
        <w:tc>
          <w:tcPr>
            <w:tcW w:type="dxa" w:w="1417"/>
          </w:tcPr>
          <w:p>
            <w:pPr>
              <w:spacing w:line="240" w:lineRule="auto" w:after="0"/>
              <w:jc w:val="center"/>
            </w:pPr>
            <w:r/>
            <w:r>
              <w:rPr>
                <w:b w:val="0"/>
                <w:i w:val="0"/>
                <w:sz w:val="17"/>
              </w:rPr>
              <w:t>-0.09 ± 2.07</w:t>
            </w:r>
          </w:p>
        </w:tc>
        <w:tc>
          <w:tcPr>
            <w:tcW w:type="dxa" w:w="737"/>
          </w:tcPr>
          <w:p>
            <w:pPr>
              <w:spacing w:line="240" w:lineRule="auto" w:after="0"/>
              <w:jc w:val="center"/>
            </w:pPr>
            <w:r/>
            <w:r>
              <w:rPr>
                <w:b w:val="0"/>
                <w:i w:val="0"/>
                <w:sz w:val="17"/>
              </w:rPr>
              <w:t>.202</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.850</w:t>
            </w:r>
          </w:p>
        </w:tc>
        <w:tc>
          <w:tcPr>
            <w:tcW w:type="dxa" w:w="737"/>
          </w:tcPr>
          <w:p>
            <w:pPr>
              <w:spacing w:line="240" w:lineRule="auto" w:after="0"/>
              <w:jc w:val="center"/>
            </w:pPr>
            <w:r/>
          </w:p>
        </w:tc>
      </w:tr>
      <w:tr>
        <w:tc>
          <w:tcPr>
            <w:tcW w:type="dxa" w:w="2381"/>
          </w:tcPr>
          <w:p>
            <w:pPr>
              <w:spacing w:line="240" w:lineRule="auto" w:after="0"/>
            </w:pPr>
            <w:r/>
            <w:r>
              <w:rPr>
                <w:b/>
                <w:i w:val="0"/>
                <w:sz w:val="17"/>
              </w:rPr>
              <w:t>SSD talar tilt, °</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4.14 ± 4.78</w:t>
            </w:r>
          </w:p>
        </w:tc>
        <w:tc>
          <w:tcPr>
            <w:tcW w:type="dxa" w:w="1417"/>
          </w:tcPr>
          <w:p>
            <w:pPr>
              <w:spacing w:line="240" w:lineRule="auto" w:after="0"/>
              <w:jc w:val="center"/>
            </w:pPr>
            <w:r/>
            <w:r>
              <w:rPr>
                <w:b w:val="0"/>
                <w:i w:val="0"/>
                <w:sz w:val="17"/>
              </w:rPr>
              <w:t>5.13 ± 5.09</w:t>
            </w:r>
          </w:p>
        </w:tc>
        <w:tc>
          <w:tcPr>
            <w:tcW w:type="dxa" w:w="1417"/>
          </w:tcPr>
          <w:p>
            <w:pPr>
              <w:spacing w:line="240" w:lineRule="auto" w:after="0"/>
              <w:jc w:val="center"/>
            </w:pPr>
            <w:r/>
            <w:r>
              <w:rPr>
                <w:b w:val="0"/>
                <w:i w:val="0"/>
                <w:sz w:val="17"/>
              </w:rPr>
              <w:t>3.33 ± 4.57</w:t>
            </w:r>
          </w:p>
        </w:tc>
        <w:tc>
          <w:tcPr>
            <w:tcW w:type="dxa" w:w="1417"/>
          </w:tcPr>
          <w:p>
            <w:pPr>
              <w:spacing w:line="240" w:lineRule="auto" w:after="0"/>
              <w:jc w:val="center"/>
            </w:pPr>
            <w:r/>
            <w:r>
              <w:rPr>
                <w:b w:val="0"/>
                <w:i w:val="0"/>
                <w:sz w:val="17"/>
              </w:rPr>
              <w:t>4.23 ± 4.62</w:t>
            </w:r>
          </w:p>
        </w:tc>
        <w:tc>
          <w:tcPr>
            <w:tcW w:type="dxa" w:w="737"/>
          </w:tcPr>
          <w:p>
            <w:pPr>
              <w:spacing w:line="240" w:lineRule="auto" w:after="0"/>
              <w:jc w:val="center"/>
            </w:pPr>
            <w:r/>
            <w:r>
              <w:rPr>
                <w:b w:val="0"/>
                <w:i w:val="0"/>
                <w:sz w:val="17"/>
              </w:rPr>
              <w:t>.476</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1.48 ± 3.24</w:t>
            </w:r>
          </w:p>
        </w:tc>
        <w:tc>
          <w:tcPr>
            <w:tcW w:type="dxa" w:w="1417"/>
          </w:tcPr>
          <w:p>
            <w:pPr>
              <w:spacing w:line="240" w:lineRule="auto" w:after="0"/>
              <w:jc w:val="center"/>
            </w:pPr>
            <w:r/>
            <w:r>
              <w:rPr>
                <w:b w:val="0"/>
                <w:i w:val="0"/>
                <w:sz w:val="17"/>
              </w:rPr>
              <w:t>1.78 ± 2.78</w:t>
            </w:r>
          </w:p>
        </w:tc>
        <w:tc>
          <w:tcPr>
            <w:tcW w:type="dxa" w:w="1417"/>
          </w:tcPr>
          <w:p>
            <w:pPr>
              <w:spacing w:line="240" w:lineRule="auto" w:after="0"/>
              <w:jc w:val="center"/>
            </w:pPr>
            <w:r/>
            <w:r>
              <w:rPr>
                <w:b w:val="0"/>
                <w:i w:val="0"/>
                <w:sz w:val="17"/>
              </w:rPr>
              <w:t>1.46 ± 3.19</w:t>
            </w:r>
          </w:p>
        </w:tc>
        <w:tc>
          <w:tcPr>
            <w:tcW w:type="dxa" w:w="1417"/>
          </w:tcPr>
          <w:p>
            <w:pPr>
              <w:spacing w:line="240" w:lineRule="auto" w:after="0"/>
              <w:jc w:val="center"/>
            </w:pPr>
            <w:r/>
            <w:r>
              <w:rPr>
                <w:b w:val="0"/>
                <w:i w:val="0"/>
                <w:sz w:val="17"/>
              </w:rPr>
              <w:t>0.90 ± 4.36</w:t>
            </w:r>
          </w:p>
        </w:tc>
        <w:tc>
          <w:tcPr>
            <w:tcW w:type="dxa" w:w="737"/>
          </w:tcPr>
          <w:p>
            <w:pPr>
              <w:spacing w:line="240" w:lineRule="auto" w:after="0"/>
              <w:jc w:val="center"/>
            </w:pPr>
            <w:r/>
            <w:r>
              <w:rPr>
                <w:b w:val="0"/>
                <w:i w:val="0"/>
                <w:sz w:val="17"/>
              </w:rPr>
              <w:t>.158</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.005</w:t>
            </w:r>
          </w:p>
        </w:tc>
        <w:tc>
          <w:tcPr>
            <w:tcW w:type="dxa" w:w="737"/>
          </w:tcPr>
          <w:p>
            <w:pPr>
              <w:spacing w:line="240" w:lineRule="auto" w:after="0"/>
              <w:jc w:val="center"/>
            </w:pPr>
            <w:r/>
          </w:p>
        </w:tc>
      </w:tr>
      <w:tr>
        <w:tc>
          <w:tcPr>
            <w:tcW w:type="dxa" w:w="2381"/>
          </w:tcPr>
          <w:p>
            <w:pPr>
              <w:spacing w:line="240" w:lineRule="auto" w:after="0"/>
            </w:pPr>
            <w:r/>
            <w:r>
              <w:rPr>
                <w:b/>
                <w:i w:val="0"/>
                <w:sz w:val="17"/>
              </w:rPr>
              <w:t>SSD anterior translation, mm</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Preoperative</w:t>
            </w:r>
          </w:p>
        </w:tc>
        <w:tc>
          <w:tcPr>
            <w:tcW w:type="dxa" w:w="1417"/>
          </w:tcPr>
          <w:p>
            <w:pPr>
              <w:spacing w:line="240" w:lineRule="auto" w:after="0"/>
              <w:jc w:val="center"/>
            </w:pPr>
            <w:r/>
            <w:r>
              <w:rPr>
                <w:b w:val="0"/>
                <w:i w:val="0"/>
                <w:sz w:val="17"/>
              </w:rPr>
              <w:t>0.52 ± 1.62</w:t>
            </w:r>
          </w:p>
        </w:tc>
        <w:tc>
          <w:tcPr>
            <w:tcW w:type="dxa" w:w="1417"/>
          </w:tcPr>
          <w:p>
            <w:pPr>
              <w:spacing w:line="240" w:lineRule="auto" w:after="0"/>
              <w:jc w:val="center"/>
            </w:pPr>
            <w:r/>
            <w:r>
              <w:rPr>
                <w:b w:val="0"/>
                <w:i w:val="0"/>
                <w:sz w:val="17"/>
              </w:rPr>
              <w:t>0.56 ± 1.61</w:t>
            </w:r>
          </w:p>
        </w:tc>
        <w:tc>
          <w:tcPr>
            <w:tcW w:type="dxa" w:w="1417"/>
          </w:tcPr>
          <w:p>
            <w:pPr>
              <w:spacing w:line="240" w:lineRule="auto" w:after="0"/>
              <w:jc w:val="center"/>
            </w:pPr>
            <w:r/>
            <w:r>
              <w:rPr>
                <w:b w:val="0"/>
                <w:i w:val="0"/>
                <w:sz w:val="17"/>
              </w:rPr>
              <w:t>0.38 ± 1.68</w:t>
            </w:r>
          </w:p>
        </w:tc>
        <w:tc>
          <w:tcPr>
            <w:tcW w:type="dxa" w:w="1417"/>
          </w:tcPr>
          <w:p>
            <w:pPr>
              <w:spacing w:line="240" w:lineRule="auto" w:after="0"/>
              <w:jc w:val="center"/>
            </w:pPr>
            <w:r/>
            <w:r>
              <w:rPr>
                <w:b w:val="0"/>
                <w:i w:val="0"/>
                <w:sz w:val="17"/>
              </w:rPr>
              <w:t>0.82 ± 1.54</w:t>
            </w:r>
          </w:p>
        </w:tc>
        <w:tc>
          <w:tcPr>
            <w:tcW w:type="dxa" w:w="737"/>
          </w:tcPr>
          <w:p>
            <w:pPr>
              <w:spacing w:line="240" w:lineRule="auto" w:after="0"/>
              <w:jc w:val="center"/>
            </w:pPr>
            <w:r/>
            <w:r>
              <w:rPr>
                <w:b w:val="0"/>
                <w:i w:val="0"/>
                <w:sz w:val="17"/>
              </w:rPr>
              <w:t>.674</w:t>
            </w:r>
          </w:p>
        </w:tc>
      </w:tr>
      <w:tr>
        <w:tc>
          <w:tcPr>
            <w:tcW w:type="dxa" w:w="2381"/>
          </w:tcPr>
          <w:p>
            <w:pPr>
              <w:spacing w:line="240" w:lineRule="auto" w:after="0"/>
            </w:pPr>
            <w:r/>
            <w:r>
              <w:rPr>
                <w:b w:val="0"/>
                <w:i w:val="0"/>
                <w:sz w:val="17"/>
              </w:rPr>
              <w:t xml:space="preserve">  Final follow-up</w:t>
            </w:r>
          </w:p>
        </w:tc>
        <w:tc>
          <w:tcPr>
            <w:tcW w:type="dxa" w:w="1417"/>
          </w:tcPr>
          <w:p>
            <w:pPr>
              <w:spacing w:line="240" w:lineRule="auto" w:after="0"/>
              <w:jc w:val="center"/>
            </w:pPr>
            <w:r/>
            <w:r>
              <w:rPr>
                <w:b w:val="0"/>
                <w:i w:val="0"/>
                <w:sz w:val="17"/>
              </w:rPr>
              <w:t>-0.02 ± 1.28</w:t>
            </w:r>
          </w:p>
        </w:tc>
        <w:tc>
          <w:tcPr>
            <w:tcW w:type="dxa" w:w="1417"/>
          </w:tcPr>
          <w:p>
            <w:pPr>
              <w:spacing w:line="240" w:lineRule="auto" w:after="0"/>
              <w:jc w:val="center"/>
            </w:pPr>
            <w:r/>
            <w:r>
              <w:rPr>
                <w:b w:val="0"/>
                <w:i w:val="0"/>
                <w:sz w:val="17"/>
              </w:rPr>
              <w:t>-0.39 ± 1.17</w:t>
            </w:r>
          </w:p>
        </w:tc>
        <w:tc>
          <w:tcPr>
            <w:tcW w:type="dxa" w:w="1417"/>
          </w:tcPr>
          <w:p>
            <w:pPr>
              <w:spacing w:line="240" w:lineRule="auto" w:after="0"/>
              <w:jc w:val="center"/>
            </w:pPr>
            <w:r/>
            <w:r>
              <w:rPr>
                <w:b w:val="0"/>
                <w:i w:val="0"/>
                <w:sz w:val="17"/>
              </w:rPr>
              <w:t>0.12 ± 1.36</w:t>
            </w:r>
          </w:p>
        </w:tc>
        <w:tc>
          <w:tcPr>
            <w:tcW w:type="dxa" w:w="1417"/>
          </w:tcPr>
          <w:p>
            <w:pPr>
              <w:spacing w:line="240" w:lineRule="auto" w:after="0"/>
              <w:jc w:val="center"/>
            </w:pPr>
            <w:r/>
            <w:r>
              <w:rPr>
                <w:b w:val="0"/>
                <w:i w:val="0"/>
                <w:sz w:val="17"/>
              </w:rPr>
              <w:t>0.42 ± 1.15</w:t>
            </w:r>
          </w:p>
        </w:tc>
        <w:tc>
          <w:tcPr>
            <w:tcW w:type="dxa" w:w="737"/>
          </w:tcPr>
          <w:p>
            <w:pPr>
              <w:spacing w:line="240" w:lineRule="auto" w:after="0"/>
              <w:jc w:val="center"/>
            </w:pPr>
            <w:r/>
            <w:r>
              <w:rPr>
                <w:b w:val="0"/>
                <w:i w:val="0"/>
                <w:sz w:val="17"/>
              </w:rPr>
              <w:t>.226</w:t>
            </w:r>
          </w:p>
        </w:tc>
      </w:tr>
      <w:tr>
        <w:tc>
          <w:tcPr>
            <w:tcW w:type="dxa" w:w="2381"/>
          </w:tcPr>
          <w:p>
            <w:pPr>
              <w:spacing w:line="240" w:lineRule="auto" w:after="0"/>
            </w:pPr>
            <w:r/>
            <w:r>
              <w:rPr>
                <w:b w:val="0"/>
                <w:i w:val="0"/>
                <w:sz w:val="17"/>
              </w:rPr>
              <w:t xml:space="preserve">  P (pre vs final)</w:t>
            </w:r>
          </w:p>
        </w:tc>
        <w:tc>
          <w:tcPr>
            <w:tcW w:type="dxa" w:w="1417"/>
          </w:tcPr>
          <w:p>
            <w:pPr>
              <w:spacing w:line="240" w:lineRule="auto" w:after="0"/>
              <w:jc w:val="center"/>
            </w:pPr>
            <w:r/>
            <w:r>
              <w:rPr>
                <w:b w:val="0"/>
                <w:i w:val="0"/>
                <w:sz w:val="17"/>
              </w:rPr>
              <w:t>.010</w:t>
            </w:r>
          </w:p>
        </w:tc>
        <w:tc>
          <w:tcPr>
            <w:tcW w:type="dxa" w:w="1417"/>
          </w:tcPr>
          <w:p>
            <w:pPr>
              <w:spacing w:line="240" w:lineRule="auto" w:after="0"/>
              <w:jc w:val="center"/>
            </w:pPr>
            <w:r/>
            <w:r>
              <w:rPr>
                <w:b w:val="0"/>
                <w:i w:val="0"/>
                <w:sz w:val="17"/>
              </w:rPr>
              <w:t>.013</w:t>
            </w:r>
          </w:p>
        </w:tc>
        <w:tc>
          <w:tcPr>
            <w:tcW w:type="dxa" w:w="1417"/>
          </w:tcPr>
          <w:p>
            <w:pPr>
              <w:spacing w:line="240" w:lineRule="auto" w:after="0"/>
              <w:jc w:val="center"/>
            </w:pPr>
            <w:r/>
            <w:r>
              <w:rPr>
                <w:b w:val="0"/>
                <w:i w:val="0"/>
                <w:sz w:val="17"/>
              </w:rPr>
              <w:t>.313</w:t>
            </w:r>
          </w:p>
        </w:tc>
        <w:tc>
          <w:tcPr>
            <w:tcW w:type="dxa" w:w="1417"/>
          </w:tcPr>
          <w:p>
            <w:pPr>
              <w:spacing w:line="240" w:lineRule="auto" w:after="0"/>
              <w:jc w:val="center"/>
            </w:pPr>
            <w:r/>
            <w:r>
              <w:rPr>
                <w:b w:val="0"/>
                <w:i w:val="0"/>
                <w:sz w:val="17"/>
              </w:rPr>
              <w:t>.519</w:t>
            </w:r>
          </w:p>
        </w:tc>
        <w:tc>
          <w:tcPr>
            <w:tcW w:type="dxa" w:w="737"/>
          </w:tcPr>
          <w:p>
            <w:pPr>
              <w:spacing w:line="240" w:lineRule="auto" w:after="0"/>
              <w:jc w:val="center"/>
            </w:pPr>
            <w:r/>
          </w:p>
        </w:tc>
      </w:tr>
    </w:tbl>
    <w:p>
      <w:pPr>
        <w:spacing w:after="240" w:line="240" w:lineRule="auto"/>
      </w:pPr>
      <w:r>
        <w:rPr>
          <w:b w:val="0"/>
          <w:i w:val="0"/>
          <w:sz w:val="17"/>
        </w:rPr>
        <w:t>Values are mean ± SD. Only ankles with final stress radiographs were included (n = 72). Side-to-side difference (SSD) = operated − contralateral; SSD rows include only ankles with contralateral final radiographs (n = 71; anatomic 26, subanatomic 33, nonanatomic 12). Between-group P values from the Kruskal-Wallis test; pre vs final P values from the Wilcoxon signed-rank test.</w:t>
      </w:r>
    </w:p>
    <w:p>
      <w:pPr>
        <w:spacing w:after="60" w:line="240" w:lineRule="auto"/>
      </w:pPr>
      <w:r>
        <w:rPr>
          <w:b/>
          <w:i w:val="0"/>
          <w:sz w:val="20"/>
        </w:rPr>
        <w:t>Table 5. Correlation between the anchor position ratio (continuous) and outcomes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85"/>
          </w:tcPr>
          <w:p>
            <w:pPr>
              <w:spacing w:line="240" w:lineRule="auto" w:after="0"/>
            </w:pPr>
            <w:r/>
            <w:r>
              <w:rPr>
                <w:b/>
                <w:i w:val="0"/>
                <w:sz w:val="17"/>
              </w:rPr>
              <w:t>Outcome</w:t>
            </w:r>
          </w:p>
        </w:tc>
        <w:tc>
          <w:tcPr>
            <w:tcW w:type="dxa" w:w="850"/>
          </w:tcPr>
          <w:p>
            <w:pPr>
              <w:spacing w:line="240" w:lineRule="auto" w:after="0"/>
              <w:jc w:val="center"/>
            </w:pPr>
            <w:r/>
            <w:r>
              <w:rPr>
                <w:b/>
                <w:i w:val="0"/>
                <w:sz w:val="17"/>
              </w:rPr>
              <w:t>n</w:t>
            </w:r>
          </w:p>
        </w:tc>
        <w:tc>
          <w:tcPr>
            <w:tcW w:type="dxa" w:w="1417"/>
          </w:tcPr>
          <w:p>
            <w:pPr>
              <w:spacing w:line="240" w:lineRule="auto" w:after="0"/>
              <w:jc w:val="center"/>
            </w:pPr>
            <w:r/>
            <w:r>
              <w:rPr>
                <w:b/>
                <w:i w:val="0"/>
                <w:sz w:val="17"/>
              </w:rPr>
              <w:t>Spearman ρ</w:t>
            </w:r>
          </w:p>
        </w:tc>
        <w:tc>
          <w:tcPr>
            <w:tcW w:type="dxa" w:w="1134"/>
          </w:tcPr>
          <w:p>
            <w:pPr>
              <w:spacing w:line="240" w:lineRule="auto" w:after="0"/>
              <w:jc w:val="center"/>
            </w:pPr>
            <w:r/>
            <w:r>
              <w:rPr>
                <w:b/>
                <w:i w:val="0"/>
                <w:sz w:val="17"/>
              </w:rPr>
              <w:t>P</w:t>
            </w:r>
          </w:p>
        </w:tc>
      </w:tr>
      <w:tr>
        <w:tc>
          <w:tcPr>
            <w:tcW w:type="dxa" w:w="3685"/>
          </w:tcPr>
          <w:p>
            <w:pPr>
              <w:spacing w:line="240" w:lineRule="auto" w:after="0"/>
            </w:pPr>
            <w:r/>
            <w:r>
              <w:rPr>
                <w:b w:val="0"/>
                <w:i w:val="0"/>
                <w:sz w:val="17"/>
              </w:rPr>
              <w:t>Final VAS</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-0.01</w:t>
            </w:r>
          </w:p>
        </w:tc>
        <w:tc>
          <w:tcPr>
            <w:tcW w:type="dxa" w:w="1134"/>
          </w:tcPr>
          <w:p>
            <w:pPr>
              <w:spacing w:line="240" w:lineRule="auto" w:after="0"/>
              <w:jc w:val="center"/>
            </w:pPr>
            <w:r/>
            <w:r>
              <w:rPr>
                <w:b w:val="0"/>
                <w:i w:val="0"/>
                <w:sz w:val="17"/>
              </w:rPr>
              <w:t>.926</w:t>
            </w:r>
          </w:p>
        </w:tc>
      </w:tr>
      <w:tr>
        <w:tc>
          <w:tcPr>
            <w:tcW w:type="dxa" w:w="3685"/>
          </w:tcPr>
          <w:p>
            <w:pPr>
              <w:spacing w:line="240" w:lineRule="auto" w:after="0"/>
            </w:pPr>
            <w:r/>
            <w:r>
              <w:rPr>
                <w:b w:val="0"/>
                <w:i w:val="0"/>
                <w:sz w:val="17"/>
              </w:rPr>
              <w:t>Final KP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0.11</w:t>
            </w:r>
          </w:p>
        </w:tc>
        <w:tc>
          <w:tcPr>
            <w:tcW w:type="dxa" w:w="1134"/>
          </w:tcPr>
          <w:p>
            <w:pPr>
              <w:spacing w:line="240" w:lineRule="auto" w:after="0"/>
              <w:jc w:val="center"/>
            </w:pPr>
            <w:r/>
            <w:r>
              <w:rPr>
                <w:b w:val="0"/>
                <w:i w:val="0"/>
                <w:sz w:val="17"/>
              </w:rPr>
              <w:t>.335</w:t>
            </w:r>
          </w:p>
        </w:tc>
      </w:tr>
      <w:tr>
        <w:tc>
          <w:tcPr>
            <w:tcW w:type="dxa" w:w="3685"/>
          </w:tcPr>
          <w:p>
            <w:pPr>
              <w:spacing w:line="240" w:lineRule="auto" w:after="0"/>
            </w:pPr>
            <w:r/>
            <w:r>
              <w:rPr>
                <w:b w:val="0"/>
                <w:i w:val="0"/>
                <w:sz w:val="17"/>
              </w:rPr>
              <w:t>Final AOFAS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0.10</w:t>
            </w:r>
          </w:p>
        </w:tc>
        <w:tc>
          <w:tcPr>
            <w:tcW w:type="dxa" w:w="1134"/>
          </w:tcPr>
          <w:p>
            <w:pPr>
              <w:spacing w:line="240" w:lineRule="auto" w:after="0"/>
              <w:jc w:val="center"/>
            </w:pPr>
            <w:r/>
            <w:r>
              <w:rPr>
                <w:b w:val="0"/>
                <w:i w:val="0"/>
                <w:sz w:val="17"/>
              </w:rPr>
              <w:t>.399</w:t>
            </w:r>
          </w:p>
        </w:tc>
      </w:tr>
      <w:tr>
        <w:tc>
          <w:tcPr>
            <w:tcW w:type="dxa" w:w="3685"/>
          </w:tcPr>
          <w:p>
            <w:pPr>
              <w:spacing w:line="240" w:lineRule="auto" w:after="0"/>
            </w:pPr>
            <w:r/>
            <w:r>
              <w:rPr>
                <w:b w:val="0"/>
                <w:i w:val="0"/>
                <w:sz w:val="17"/>
              </w:rPr>
              <w:t>Final Tegner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0.18</w:t>
            </w:r>
          </w:p>
        </w:tc>
        <w:tc>
          <w:tcPr>
            <w:tcW w:type="dxa" w:w="1134"/>
          </w:tcPr>
          <w:p>
            <w:pPr>
              <w:spacing w:line="240" w:lineRule="auto" w:after="0"/>
              <w:jc w:val="center"/>
            </w:pPr>
            <w:r/>
            <w:r>
              <w:rPr>
                <w:b w:val="0"/>
                <w:i w:val="0"/>
                <w:sz w:val="17"/>
              </w:rPr>
              <w:t>.099</w:t>
            </w:r>
          </w:p>
        </w:tc>
      </w:tr>
      <w:tr>
        <w:tc>
          <w:tcPr>
            <w:tcW w:type="dxa" w:w="3685"/>
          </w:tcPr>
          <w:p>
            <w:pPr>
              <w:spacing w:line="240" w:lineRule="auto" w:after="0"/>
            </w:pPr>
            <w:r/>
            <w:r>
              <w:rPr>
                <w:b w:val="0"/>
                <w:i w:val="0"/>
                <w:sz w:val="17"/>
              </w:rPr>
              <w:t>Change in VAS</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-0.18</w:t>
            </w:r>
          </w:p>
        </w:tc>
        <w:tc>
          <w:tcPr>
            <w:tcW w:type="dxa" w:w="1134"/>
          </w:tcPr>
          <w:p>
            <w:pPr>
              <w:spacing w:line="240" w:lineRule="auto" w:after="0"/>
              <w:jc w:val="center"/>
            </w:pPr>
            <w:r/>
            <w:r>
              <w:rPr>
                <w:b w:val="0"/>
                <w:i w:val="0"/>
                <w:sz w:val="17"/>
              </w:rPr>
              <w:t>.106</w:t>
            </w:r>
          </w:p>
        </w:tc>
      </w:tr>
      <w:tr>
        <w:tc>
          <w:tcPr>
            <w:tcW w:type="dxa" w:w="3685"/>
          </w:tcPr>
          <w:p>
            <w:pPr>
              <w:spacing w:line="240" w:lineRule="auto" w:after="0"/>
            </w:pPr>
            <w:r/>
            <w:r>
              <w:rPr>
                <w:b w:val="0"/>
                <w:i w:val="0"/>
                <w:sz w:val="17"/>
              </w:rPr>
              <w:t>Change in KP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-0.02</w:t>
            </w:r>
          </w:p>
        </w:tc>
        <w:tc>
          <w:tcPr>
            <w:tcW w:type="dxa" w:w="1134"/>
          </w:tcPr>
          <w:p>
            <w:pPr>
              <w:spacing w:line="240" w:lineRule="auto" w:after="0"/>
              <w:jc w:val="center"/>
            </w:pPr>
            <w:r/>
            <w:r>
              <w:rPr>
                <w:b w:val="0"/>
                <w:i w:val="0"/>
                <w:sz w:val="17"/>
              </w:rPr>
              <w:t>.869</w:t>
            </w:r>
          </w:p>
        </w:tc>
      </w:tr>
      <w:tr>
        <w:tc>
          <w:tcPr>
            <w:tcW w:type="dxa" w:w="3685"/>
          </w:tcPr>
          <w:p>
            <w:pPr>
              <w:spacing w:line="240" w:lineRule="auto" w:after="0"/>
            </w:pPr>
            <w:r/>
            <w:r>
              <w:rPr>
                <w:b w:val="0"/>
                <w:i w:val="0"/>
                <w:sz w:val="17"/>
              </w:rPr>
              <w:t>Change in AOFAS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0.23</w:t>
            </w:r>
          </w:p>
        </w:tc>
        <w:tc>
          <w:tcPr>
            <w:tcW w:type="dxa" w:w="1134"/>
          </w:tcPr>
          <w:p>
            <w:pPr>
              <w:spacing w:line="240" w:lineRule="auto" w:after="0"/>
              <w:jc w:val="center"/>
            </w:pPr>
            <w:r/>
            <w:r>
              <w:rPr>
                <w:b w:val="0"/>
                <w:i w:val="0"/>
                <w:sz w:val="17"/>
              </w:rPr>
              <w:t>.037</w:t>
            </w:r>
          </w:p>
        </w:tc>
      </w:tr>
      <w:tr>
        <w:tc>
          <w:tcPr>
            <w:tcW w:type="dxa" w:w="3685"/>
          </w:tcPr>
          <w:p>
            <w:pPr>
              <w:spacing w:line="240" w:lineRule="auto" w:after="0"/>
            </w:pPr>
            <w:r/>
            <w:r>
              <w:rPr>
                <w:b w:val="0"/>
                <w:i w:val="0"/>
                <w:sz w:val="17"/>
              </w:rPr>
              <w:t>Change in Tegner score</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-0.03</w:t>
            </w:r>
          </w:p>
        </w:tc>
        <w:tc>
          <w:tcPr>
            <w:tcW w:type="dxa" w:w="1134"/>
          </w:tcPr>
          <w:p>
            <w:pPr>
              <w:spacing w:line="240" w:lineRule="auto" w:after="0"/>
              <w:jc w:val="center"/>
            </w:pPr>
            <w:r/>
            <w:r>
              <w:rPr>
                <w:b w:val="0"/>
                <w:i w:val="0"/>
                <w:sz w:val="17"/>
              </w:rPr>
              <w:t>.819</w:t>
            </w:r>
          </w:p>
        </w:tc>
      </w:tr>
      <w:tr>
        <w:tc>
          <w:tcPr>
            <w:tcW w:type="dxa" w:w="3685"/>
          </w:tcPr>
          <w:p>
            <w:pPr>
              <w:spacing w:line="240" w:lineRule="auto" w:after="0"/>
            </w:pPr>
            <w:r/>
            <w:r>
              <w:rPr>
                <w:b/>
                <w:i w:val="0"/>
                <w:sz w:val="17"/>
              </w:rPr>
              <w:t>FFI</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-0.14</w:t>
            </w:r>
          </w:p>
        </w:tc>
        <w:tc>
          <w:tcPr>
            <w:tcW w:type="dxa" w:w="1134"/>
          </w:tcPr>
          <w:p>
            <w:pPr>
              <w:spacing w:line="240" w:lineRule="auto" w:after="0"/>
              <w:jc w:val="center"/>
            </w:pPr>
            <w:r/>
            <w:r>
              <w:rPr>
                <w:b w:val="0"/>
                <w:i w:val="0"/>
                <w:sz w:val="17"/>
              </w:rPr>
              <w:t>.217</w:t>
            </w:r>
          </w:p>
        </w:tc>
      </w:tr>
      <w:tr>
        <w:tc>
          <w:tcPr>
            <w:tcW w:type="dxa" w:w="3685"/>
          </w:tcPr>
          <w:p>
            <w:pPr>
              <w:spacing w:line="240" w:lineRule="auto" w:after="0"/>
            </w:pPr>
            <w:r/>
            <w:r>
              <w:rPr>
                <w:b w:val="0"/>
                <w:i w:val="0"/>
                <w:sz w:val="17"/>
              </w:rPr>
              <w:t>FAOS (mean)</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0.08</w:t>
            </w:r>
          </w:p>
        </w:tc>
        <w:tc>
          <w:tcPr>
            <w:tcW w:type="dxa" w:w="1134"/>
          </w:tcPr>
          <w:p>
            <w:pPr>
              <w:spacing w:line="240" w:lineRule="auto" w:after="0"/>
              <w:jc w:val="center"/>
            </w:pPr>
            <w:r/>
            <w:r>
              <w:rPr>
                <w:b w:val="0"/>
                <w:i w:val="0"/>
                <w:sz w:val="17"/>
              </w:rPr>
              <w:t>.471</w:t>
            </w:r>
          </w:p>
        </w:tc>
      </w:tr>
      <w:tr>
        <w:tc>
          <w:tcPr>
            <w:tcW w:type="dxa" w:w="3685"/>
          </w:tcPr>
          <w:p>
            <w:pPr>
              <w:spacing w:line="240" w:lineRule="auto" w:after="0"/>
            </w:pPr>
            <w:r/>
            <w:r>
              <w:rPr>
                <w:b/>
                <w:i w:val="0"/>
                <w:sz w:val="17"/>
              </w:rPr>
              <w:t>FAAM ADL</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0.19</w:t>
            </w:r>
          </w:p>
        </w:tc>
        <w:tc>
          <w:tcPr>
            <w:tcW w:type="dxa" w:w="1134"/>
          </w:tcPr>
          <w:p>
            <w:pPr>
              <w:spacing w:line="240" w:lineRule="auto" w:after="0"/>
              <w:jc w:val="center"/>
            </w:pPr>
            <w:r/>
            <w:r>
              <w:rPr>
                <w:b w:val="0"/>
                <w:i w:val="0"/>
                <w:sz w:val="17"/>
              </w:rPr>
              <w:t>.094</w:t>
            </w:r>
          </w:p>
        </w:tc>
      </w:tr>
      <w:tr>
        <w:tc>
          <w:tcPr>
            <w:tcW w:type="dxa" w:w="3685"/>
          </w:tcPr>
          <w:p>
            <w:pPr>
              <w:spacing w:line="240" w:lineRule="auto" w:after="0"/>
            </w:pPr>
            <w:r/>
            <w:r>
              <w:rPr>
                <w:b w:val="0"/>
                <w:i w:val="0"/>
                <w:sz w:val="17"/>
              </w:rPr>
              <w:t>FAAM Sports</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0.15</w:t>
            </w:r>
          </w:p>
        </w:tc>
        <w:tc>
          <w:tcPr>
            <w:tcW w:type="dxa" w:w="1134"/>
          </w:tcPr>
          <w:p>
            <w:pPr>
              <w:spacing w:line="240" w:lineRule="auto" w:after="0"/>
              <w:jc w:val="center"/>
            </w:pPr>
            <w:r/>
            <w:r>
              <w:rPr>
                <w:b w:val="0"/>
                <w:i w:val="0"/>
                <w:sz w:val="17"/>
              </w:rPr>
              <w:t>.180</w:t>
            </w:r>
          </w:p>
        </w:tc>
      </w:tr>
      <w:tr>
        <w:tc>
          <w:tcPr>
            <w:tcW w:type="dxa" w:w="3685"/>
          </w:tcPr>
          <w:p>
            <w:pPr>
              <w:spacing w:line="240" w:lineRule="auto" w:after="0"/>
            </w:pPr>
            <w:r/>
            <w:r>
              <w:rPr>
                <w:b/>
                <w:i w:val="0"/>
                <w:sz w:val="17"/>
              </w:rPr>
              <w:t>EQ-5D-5L</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-0.01</w:t>
            </w:r>
          </w:p>
        </w:tc>
        <w:tc>
          <w:tcPr>
            <w:tcW w:type="dxa" w:w="1134"/>
          </w:tcPr>
          <w:p>
            <w:pPr>
              <w:spacing w:line="240" w:lineRule="auto" w:after="0"/>
              <w:jc w:val="center"/>
            </w:pPr>
            <w:r/>
            <w:r>
              <w:rPr>
                <w:b w:val="0"/>
                <w:i w:val="0"/>
                <w:sz w:val="17"/>
              </w:rPr>
              <w:t>.919</w:t>
            </w:r>
          </w:p>
        </w:tc>
      </w:tr>
      <w:tr>
        <w:tc>
          <w:tcPr>
            <w:tcW w:type="dxa" w:w="3685"/>
          </w:tcPr>
          <w:p>
            <w:pPr>
              <w:spacing w:line="240" w:lineRule="auto" w:after="0"/>
            </w:pPr>
            <w:r/>
            <w:r>
              <w:rPr>
                <w:b w:val="0"/>
                <w:i w:val="0"/>
                <w:sz w:val="17"/>
              </w:rPr>
              <w:t>Final talar tilt</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-0.08</w:t>
            </w:r>
          </w:p>
        </w:tc>
        <w:tc>
          <w:tcPr>
            <w:tcW w:type="dxa" w:w="1134"/>
          </w:tcPr>
          <w:p>
            <w:pPr>
              <w:spacing w:line="240" w:lineRule="auto" w:after="0"/>
              <w:jc w:val="center"/>
            </w:pPr>
            <w:r/>
            <w:r>
              <w:rPr>
                <w:b w:val="0"/>
                <w:i w:val="0"/>
                <w:sz w:val="17"/>
              </w:rPr>
              <w:t>.525</w:t>
            </w:r>
          </w:p>
        </w:tc>
      </w:tr>
      <w:tr>
        <w:tc>
          <w:tcPr>
            <w:tcW w:type="dxa" w:w="3685"/>
          </w:tcPr>
          <w:p>
            <w:pPr>
              <w:spacing w:line="240" w:lineRule="auto" w:after="0"/>
            </w:pPr>
            <w:r/>
            <w:r>
              <w:rPr>
                <w:b w:val="0"/>
                <w:i w:val="0"/>
                <w:sz w:val="17"/>
              </w:rPr>
              <w:t>Final anterior translation</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0.00</w:t>
            </w:r>
          </w:p>
        </w:tc>
        <w:tc>
          <w:tcPr>
            <w:tcW w:type="dxa" w:w="1134"/>
          </w:tcPr>
          <w:p>
            <w:pPr>
              <w:spacing w:line="240" w:lineRule="auto" w:after="0"/>
              <w:jc w:val="center"/>
            </w:pPr>
            <w:r/>
            <w:r>
              <w:rPr>
                <w:b w:val="0"/>
                <w:i w:val="0"/>
                <w:sz w:val="17"/>
              </w:rPr>
              <w:t>.969</w:t>
            </w:r>
          </w:p>
        </w:tc>
      </w:tr>
      <w:tr>
        <w:tc>
          <w:tcPr>
            <w:tcW w:type="dxa" w:w="3685"/>
          </w:tcPr>
          <w:p>
            <w:pPr>
              <w:spacing w:line="240" w:lineRule="auto" w:after="0"/>
            </w:pPr>
            <w:r/>
            <w:r>
              <w:rPr>
                <w:b w:val="0"/>
                <w:i w:val="0"/>
                <w:sz w:val="17"/>
              </w:rPr>
              <w:t>Change in talar tilt</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0.25</w:t>
            </w:r>
          </w:p>
        </w:tc>
        <w:tc>
          <w:tcPr>
            <w:tcW w:type="dxa" w:w="1134"/>
          </w:tcPr>
          <w:p>
            <w:pPr>
              <w:spacing w:line="240" w:lineRule="auto" w:after="0"/>
              <w:jc w:val="center"/>
            </w:pPr>
            <w:r/>
            <w:r>
              <w:rPr>
                <w:b w:val="0"/>
                <w:i w:val="0"/>
                <w:sz w:val="17"/>
              </w:rPr>
              <w:t>.033</w:t>
            </w:r>
          </w:p>
        </w:tc>
      </w:tr>
      <w:tr>
        <w:tc>
          <w:tcPr>
            <w:tcW w:type="dxa" w:w="3685"/>
          </w:tcPr>
          <w:p>
            <w:pPr>
              <w:spacing w:line="240" w:lineRule="auto" w:after="0"/>
            </w:pPr>
            <w:r/>
            <w:r>
              <w:rPr>
                <w:b w:val="0"/>
                <w:i w:val="0"/>
                <w:sz w:val="17"/>
              </w:rPr>
              <w:t>Change in anterior translation</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0.16</w:t>
            </w:r>
          </w:p>
        </w:tc>
        <w:tc>
          <w:tcPr>
            <w:tcW w:type="dxa" w:w="1134"/>
          </w:tcPr>
          <w:p>
            <w:pPr>
              <w:spacing w:line="240" w:lineRule="auto" w:after="0"/>
              <w:jc w:val="center"/>
            </w:pPr>
            <w:r/>
            <w:r>
              <w:rPr>
                <w:b w:val="0"/>
                <w:i w:val="0"/>
                <w:sz w:val="17"/>
              </w:rPr>
              <w:t>.185</w:t>
            </w:r>
          </w:p>
        </w:tc>
      </w:tr>
      <w:tr>
        <w:tc>
          <w:tcPr>
            <w:tcW w:type="dxa" w:w="3685"/>
          </w:tcPr>
          <w:p>
            <w:pPr>
              <w:spacing w:line="240" w:lineRule="auto" w:after="0"/>
            </w:pPr>
            <w:r/>
            <w:r>
              <w:rPr>
                <w:b w:val="0"/>
                <w:i w:val="0"/>
                <w:sz w:val="17"/>
              </w:rPr>
              <w:t>Final SSD talar tilt</w:t>
            </w:r>
          </w:p>
        </w:tc>
        <w:tc>
          <w:tcPr>
            <w:tcW w:type="dxa" w:w="850"/>
          </w:tcPr>
          <w:p>
            <w:pPr>
              <w:spacing w:line="240" w:lineRule="auto" w:after="0"/>
              <w:jc w:val="center"/>
            </w:pPr>
            <w:r/>
            <w:r>
              <w:rPr>
                <w:b w:val="0"/>
                <w:i w:val="0"/>
                <w:sz w:val="17"/>
              </w:rPr>
              <w:t>71</w:t>
            </w:r>
          </w:p>
        </w:tc>
        <w:tc>
          <w:tcPr>
            <w:tcW w:type="dxa" w:w="1417"/>
          </w:tcPr>
          <w:p>
            <w:pPr>
              <w:spacing w:line="240" w:lineRule="auto" w:after="0"/>
              <w:jc w:val="center"/>
            </w:pPr>
            <w:r/>
            <w:r>
              <w:rPr>
                <w:b w:val="0"/>
                <w:i w:val="0"/>
                <w:sz w:val="17"/>
              </w:rPr>
              <w:t>-0.25</w:t>
            </w:r>
          </w:p>
        </w:tc>
        <w:tc>
          <w:tcPr>
            <w:tcW w:type="dxa" w:w="1134"/>
          </w:tcPr>
          <w:p>
            <w:pPr>
              <w:spacing w:line="240" w:lineRule="auto" w:after="0"/>
              <w:jc w:val="center"/>
            </w:pPr>
            <w:r/>
            <w:r>
              <w:rPr>
                <w:b w:val="0"/>
                <w:i w:val="0"/>
                <w:sz w:val="17"/>
              </w:rPr>
              <w:t>.032</w:t>
            </w:r>
          </w:p>
        </w:tc>
      </w:tr>
      <w:tr>
        <w:tc>
          <w:tcPr>
            <w:tcW w:type="dxa" w:w="3685"/>
          </w:tcPr>
          <w:p>
            <w:pPr>
              <w:spacing w:line="240" w:lineRule="auto" w:after="0"/>
            </w:pPr>
            <w:r/>
            <w:r>
              <w:rPr>
                <w:b w:val="0"/>
                <w:i w:val="0"/>
                <w:sz w:val="17"/>
              </w:rPr>
              <w:t>Final SSD anterior translation</w:t>
            </w:r>
          </w:p>
        </w:tc>
        <w:tc>
          <w:tcPr>
            <w:tcW w:type="dxa" w:w="850"/>
          </w:tcPr>
          <w:p>
            <w:pPr>
              <w:spacing w:line="240" w:lineRule="auto" w:after="0"/>
              <w:jc w:val="center"/>
            </w:pPr>
            <w:r/>
            <w:r>
              <w:rPr>
                <w:b w:val="0"/>
                <w:i w:val="0"/>
                <w:sz w:val="17"/>
              </w:rPr>
              <w:t>71</w:t>
            </w:r>
          </w:p>
        </w:tc>
        <w:tc>
          <w:tcPr>
            <w:tcW w:type="dxa" w:w="1417"/>
          </w:tcPr>
          <w:p>
            <w:pPr>
              <w:spacing w:line="240" w:lineRule="auto" w:after="0"/>
              <w:jc w:val="center"/>
            </w:pPr>
            <w:r/>
            <w:r>
              <w:rPr>
                <w:b w:val="0"/>
                <w:i w:val="0"/>
                <w:sz w:val="17"/>
              </w:rPr>
              <w:t>0.15</w:t>
            </w:r>
          </w:p>
        </w:tc>
        <w:tc>
          <w:tcPr>
            <w:tcW w:type="dxa" w:w="1134"/>
          </w:tcPr>
          <w:p>
            <w:pPr>
              <w:spacing w:line="240" w:lineRule="auto" w:after="0"/>
              <w:jc w:val="center"/>
            </w:pPr>
            <w:r/>
            <w:r>
              <w:rPr>
                <w:b w:val="0"/>
                <w:i w:val="0"/>
                <w:sz w:val="17"/>
              </w:rPr>
              <w:t>.219</w:t>
            </w:r>
          </w:p>
        </w:tc>
      </w:tr>
    </w:tbl>
    <w:p>
      <w:pPr>
        <w:spacing w:after="240" w:line="240" w:lineRule="auto"/>
      </w:pPr>
      <w:r>
        <w:rPr>
          <w:b w:val="0"/>
          <w:i w:val="0"/>
          <w:sz w:val="17"/>
        </w:rPr>
        <w:t>A higher ratio indicates a more proximal (nonanatomic) anchor position. P values are not adjusted for multiple comparisons.</w:t>
      </w:r>
    </w:p>
    <w:p>
      <w:pPr>
        <w:pStyle w:val="Heading1"/>
      </w:pPr>
      <w:r>
        <w:t>Figure Legends</w:t>
      </w:r>
    </w:p>
    <w:p>
      <w:r>
        <w:rPr>
          <w:b/>
          <w:i w:val="0"/>
        </w:rPr>
        <w:t>Figure 1.</w:t>
      </w:r>
      <w:r>
        <w:rPr>
          <w:b w:val="0"/>
          <w:i w:val="0"/>
        </w:rPr>
        <w:t xml:space="preserve"> Flow diagram of patient selection. </w:t>
      </w:r>
      <w:r>
        <w:rPr>
          <w:b w:val="0"/>
          <w:i w:val="0"/>
          <w:highlight w:val="yellow"/>
        </w:rPr>
        <w:t>[to be drawn after exclusion numbers are provided]</w:t>
      </w:r>
    </w:p>
    <w:p>
      <w:r>
        <w:rPr>
          <w:b/>
          <w:i w:val="0"/>
        </w:rPr>
        <w:t>Figure 2.</w:t>
      </w:r>
      <w:r>
        <w:rPr>
          <w:b w:val="0"/>
          <w:i w:val="0"/>
        </w:rPr>
        <w:t xml:space="preserve"> Measurement of the fibular anchor position on 3D CT. (A) The FAT, FOT, and anchor center are identified. (B) On the true lateral view of the reconstructed distal fibula, the ratio of the distance between the anchor center and the FOT to the distance between the FAT and the FOT is calculated. Anatomic, &lt;25%; subanatomic, 25% to &lt;50%; nonanatomic, ≥50%. </w:t>
      </w:r>
      <w:r>
        <w:rPr>
          <w:b w:val="0"/>
          <w:i w:val="0"/>
          <w:highlight w:val="yellow"/>
        </w:rPr>
        <w:t>[representative images needed]</w:t>
      </w:r>
    </w:p>
    <w:p>
      <w:r>
        <w:rPr>
          <w:b/>
          <w:i w:val="0"/>
        </w:rPr>
        <w:t>Figure 3.</w:t>
      </w:r>
      <w:r>
        <w:rPr>
          <w:b w:val="0"/>
          <w:i w:val="0"/>
        </w:rPr>
        <w:t xml:space="preserve"> </w:t>
      </w:r>
      <w:r>
        <w:rPr>
          <w:b w:val="0"/>
          <w:i w:val="0"/>
          <w:highlight w:val="yellow"/>
        </w:rPr>
        <w:t>[optional: representative 3D CT images of the 3 groups, or scatter plot of anchor ratio vs final outcome]</w:t>
      </w:r>
    </w:p>
    <w:p>
      <w:r>
        <w:br w:type="page"/>
      </w:r>
    </w:p>
    <w:p>
      <w:pPr>
        <w:pStyle w:val="Heading1"/>
      </w:pPr>
      <w:r>
        <w:t>References</w:t>
      </w:r>
    </w:p>
    <w:p>
      <w:pPr>
        <w:spacing w:line="276" w:lineRule="auto"/>
        <w:ind w:left="454" w:hanging="454"/>
      </w:pPr>
      <w:r>
        <w:rPr>
          <w:sz w:val="20"/>
        </w:rPr>
        <w:t>1. Broström L. Sprained ankles: V. Treatment and prognosis in recent ligament ruptures. Acta Chir Scand. 1966;132:537-550.</w:t>
      </w:r>
    </w:p>
    <w:p>
      <w:pPr>
        <w:spacing w:line="276" w:lineRule="auto"/>
        <w:ind w:left="454" w:hanging="454"/>
      </w:pPr>
      <w:r>
        <w:rPr>
          <w:sz w:val="20"/>
        </w:rPr>
        <w:t>2. Lee SH, Yang JH, Kim I. Nonanatomic all-inside arthroscopic anterior talofibular ligament repair with a high-position anchor versus anatomic repair: an analysis based on 3D CT. Am J Sports Med. 2022;50(8):2134-2144. doi:10.1177/03635465221097119</w:t>
      </w:r>
    </w:p>
    <w:p>
      <w:pPr>
        <w:spacing w:line="276" w:lineRule="auto"/>
        <w:ind w:left="454" w:hanging="454"/>
      </w:pPr>
      <w:r>
        <w:rPr>
          <w:sz w:val="20"/>
          <w:highlight w:val="yellow"/>
        </w:rPr>
        <w:t>3. Gould N, Seligson D, Gassman J. Early and late repair of lateral ligament of the ankle. Foot Ankle. 1980;1(2):84-89.</w:t>
      </w:r>
      <w:r>
        <w:rPr>
          <w:i/>
          <w:sz w:val="16"/>
        </w:rPr>
        <w:t xml:space="preserve">  [not verified against original — please provide PDF]</w:t>
      </w:r>
    </w:p>
    <w:p>
      <w:pPr>
        <w:spacing w:line="276" w:lineRule="auto"/>
        <w:ind w:left="454" w:hanging="454"/>
      </w:pPr>
      <w:r>
        <w:rPr>
          <w:sz w:val="20"/>
        </w:rPr>
        <w:t>4. Matsui K, Takao M, Miyamoto W, Innami K, Matsushita T. Arthroscopic Broström repair with Gould augmentation via an accessory anterolateral port for lateral instability of the ankle. Arch Orthop Trauma Surg. 2014;134:1461-1467.</w:t>
      </w:r>
    </w:p>
    <w:p>
      <w:pPr>
        <w:spacing w:line="276" w:lineRule="auto"/>
        <w:ind w:left="454" w:hanging="454"/>
      </w:pPr>
      <w:r>
        <w:rPr>
          <w:sz w:val="20"/>
        </w:rPr>
        <w:t>5. Vega J, Golanó P, Pellegrino A, Rabat E, Peña F. All-inside arthroscopic lateral collateral ligament repair for ankle instability with a knotless suture anchor technique. Foot Ankle Int. 2013;34:1701-1709.</w:t>
      </w:r>
    </w:p>
    <w:p>
      <w:pPr>
        <w:spacing w:line="276" w:lineRule="auto"/>
        <w:ind w:left="454" w:hanging="454"/>
      </w:pPr>
      <w:r>
        <w:rPr>
          <w:sz w:val="20"/>
        </w:rPr>
        <w:t>6. Takao M, Matsui K, Stone JW, et al. Arthroscopic anterior talofibular ligament repair for lateral instability of the ankle. Knee Surg Sports Traumatol Arthrosc. 2016;24:1003-1006.</w:t>
      </w:r>
    </w:p>
    <w:p>
      <w:pPr>
        <w:spacing w:line="276" w:lineRule="auto"/>
        <w:ind w:left="454" w:hanging="454"/>
      </w:pPr>
      <w:r>
        <w:rPr>
          <w:sz w:val="20"/>
        </w:rPr>
        <w:t>7. Matsui K, Takao M, Miyamoto W, Matsushita T. Early recovery after arthroscopic repair compared to open repair of the anterior talofibular ligament for lateral instability of the ankle. Arch Orthop Trauma Surg. 2016;136:93-100.</w:t>
      </w:r>
    </w:p>
    <w:p>
      <w:pPr>
        <w:spacing w:line="276" w:lineRule="auto"/>
        <w:ind w:left="454" w:hanging="454"/>
      </w:pPr>
      <w:r>
        <w:rPr>
          <w:sz w:val="20"/>
        </w:rPr>
        <w:t>8. Vega J, Malagelada F, Dalmau-Pastor M. Arthroscopic all-inside ATFL and CFL repair is feasible and provides excellent results in patients with chronic ankle instability. Knee Surg Sports Traumatol Arthrosc. 2020;28:116-123.</w:t>
      </w:r>
    </w:p>
    <w:p>
      <w:pPr>
        <w:spacing w:line="276" w:lineRule="auto"/>
        <w:ind w:left="454" w:hanging="454"/>
      </w:pPr>
      <w:r>
        <w:rPr>
          <w:sz w:val="20"/>
        </w:rPr>
        <w:t>9. Drakos MC, Behrens SB, Paller D, Murphy C, DiGiovanni CW. Biomechanical comparison of an open vs arthroscopic approach for lateral ankle instability. Foot Ankle Int. 2014;35:809-815.</w:t>
      </w:r>
    </w:p>
    <w:p>
      <w:pPr>
        <w:spacing w:line="276" w:lineRule="auto"/>
        <w:ind w:left="454" w:hanging="454"/>
      </w:pPr>
      <w:r>
        <w:rPr>
          <w:sz w:val="20"/>
        </w:rPr>
        <w:t>10. Krips R, van Dijk CN, Halasi T, et al. Anatomical reconstruction versus tenodesis for the treatment of chronic anterolateral instability of the ankle joint: a 2- to 10-year follow-up, multicenter study. Knee Surg Sports Traumatol Arthrosc. 2000;8:173-179.</w:t>
      </w:r>
    </w:p>
    <w:p>
      <w:pPr>
        <w:spacing w:line="276" w:lineRule="auto"/>
        <w:ind w:left="454" w:hanging="454"/>
      </w:pPr>
      <w:r>
        <w:rPr>
          <w:sz w:val="20"/>
        </w:rPr>
        <w:t>11. Shoji H, Teramoto A, Sakakibara Y, et al. Kinematics and laxity of the ankle joint in anatomic and nonanatomic anterior talofibular ligament repair: a biomechanical cadaveric study. Am J Sports Med. 2019;47:667-673.</w:t>
      </w:r>
    </w:p>
    <w:p>
      <w:pPr>
        <w:spacing w:line="276" w:lineRule="auto"/>
        <w:ind w:left="454" w:hanging="454"/>
      </w:pPr>
      <w:r>
        <w:rPr>
          <w:sz w:val="20"/>
        </w:rPr>
        <w:t>12. Caputo AM, Lee JY, Spritzer CE, et al. In vivo kinematics of the tibiotalar joint after lateral ankle instability. Am J Sports Med. 2009;37:2241-2248.</w:t>
      </w:r>
    </w:p>
    <w:p>
      <w:pPr>
        <w:spacing w:line="276" w:lineRule="auto"/>
        <w:ind w:left="454" w:hanging="454"/>
      </w:pPr>
      <w:r>
        <w:rPr>
          <w:sz w:val="20"/>
        </w:rPr>
        <w:t>13. Teramoto A, Shoji H, Sakakibara Y, Suzuki T, Watanabe K, Yamashita T. The distal margin of the lateral malleolus visible under ankle arthroscopy (articular tip) from the anteromedial portal, is separate from the ATFL attachment site of the fibula: a cadaver study. J Orthop Sci. 2018;23:565-569.</w:t>
      </w:r>
    </w:p>
    <w:p>
      <w:pPr>
        <w:spacing w:line="276" w:lineRule="auto"/>
        <w:ind w:left="454" w:hanging="454"/>
      </w:pPr>
      <w:r>
        <w:rPr>
          <w:sz w:val="20"/>
        </w:rPr>
        <w:t>14. Thès A, Klouche S, Ferrand M, Hardy P, Bauer T. Assessment of the feasibility of arthroscopic visualization of the lateral ligament of the ankle: a cadaveric study. Knee Surg Sports Traumatol Arthrosc. 2016;24:985-990.</w:t>
      </w:r>
    </w:p>
    <w:p>
      <w:pPr>
        <w:spacing w:line="276" w:lineRule="auto"/>
        <w:ind w:left="454" w:hanging="454"/>
      </w:pPr>
      <w:r>
        <w:rPr>
          <w:sz w:val="20"/>
        </w:rPr>
        <w:t>15. Matsui K, Oliva XM, Takao M, et al. Bony landmarks available for minimally invasive lateral ankle stabilization surgery: a cadaveric anatomical study. Knee Surg Sports Traumatol Arthrosc. 2017;25:1916-1924.</w:t>
      </w:r>
    </w:p>
    <w:p>
      <w:pPr>
        <w:spacing w:line="276" w:lineRule="auto"/>
        <w:ind w:left="454" w:hanging="454"/>
      </w:pPr>
      <w:r>
        <w:rPr>
          <w:sz w:val="20"/>
        </w:rPr>
        <w:t>16. Nakasa T, Ikuta Y, Ota Y, et al. Safe angles of ATFL and CFL anchor insertion into anatomical attachment of fibula in a lateral ankle ligament repair. J Orthop Sci. 2021;26:156-161. doi:10.1016/j.jos.2020.02.011</w:t>
      </w:r>
    </w:p>
    <w:p>
      <w:pPr>
        <w:spacing w:line="276" w:lineRule="auto"/>
        <w:ind w:left="454" w:hanging="454"/>
      </w:pPr>
      <w:r>
        <w:rPr>
          <w:sz w:val="20"/>
        </w:rPr>
        <w:t>17. Lee SH, Yang JH. All-inside arthroscopic anatomic anterior talofibular ligament repair for anterolateral ankle instability using a knotless suture anchor, allowing for tension adjustment. Arthrosc Tech. 2021;10:e925-e929. doi:10.1016/j.eats.2020.11.013</w:t>
      </w:r>
    </w:p>
    <w:p>
      <w:pPr>
        <w:spacing w:line="276" w:lineRule="auto"/>
        <w:ind w:left="454" w:hanging="454"/>
      </w:pPr>
      <w:r>
        <w:rPr>
          <w:sz w:val="20"/>
        </w:rPr>
        <w:t>18. Burks RT, Morgan J. Anatomy of the lateral ankle ligaments. Am J Sports Med. 1994;22:72-77.</w:t>
      </w:r>
    </w:p>
    <w:p>
      <w:pPr>
        <w:spacing w:line="276" w:lineRule="auto"/>
        <w:ind w:left="454" w:hanging="454"/>
      </w:pPr>
      <w:r>
        <w:rPr>
          <w:sz w:val="20"/>
        </w:rPr>
        <w:t>19. Kakegawa A, Mori Y, Tsuchiya A, Sumitomo N, Fukushima N, Moriizumi T. Independent attachment of lateral ankle ligaments: anterior talofibular and calcaneofibular ligaments—a cadaveric study. J Foot Ankle Surg. 2019;58:717-722.</w:t>
      </w:r>
    </w:p>
    <w:p>
      <w:pPr>
        <w:spacing w:line="276" w:lineRule="auto"/>
        <w:ind w:left="454" w:hanging="454"/>
      </w:pPr>
      <w:r>
        <w:rPr>
          <w:sz w:val="20"/>
          <w:highlight w:val="yellow"/>
        </w:rPr>
        <w:t>20. Karlsson J, Peterson L. Evaluation of ankle joint function: the use of a scoring scale. Foot. 1991;1(1):15-19.</w:t>
      </w:r>
      <w:r>
        <w:rPr>
          <w:i/>
          <w:sz w:val="16"/>
        </w:rPr>
        <w:t xml:space="preserve">  [not verified against original — please provide PDF]</w:t>
      </w:r>
    </w:p>
    <w:p>
      <w:pPr>
        <w:spacing w:line="276" w:lineRule="auto"/>
        <w:ind w:left="454" w:hanging="454"/>
      </w:pPr>
      <w:r>
        <w:rPr>
          <w:sz w:val="20"/>
          <w:highlight w:val="yellow"/>
        </w:rPr>
        <w:t>21. Kitaoka HB, Alexander IJ, Adelaar RS, Nunley JA, Myerson MS, Sanders M. Clinical rating systems for the ankle-hindfoot, midfoot, hallux, and lesser toes. Foot Ankle Int. 1994;15(7):349-353.</w:t>
      </w:r>
      <w:r>
        <w:rPr>
          <w:i/>
          <w:sz w:val="16"/>
        </w:rPr>
        <w:t xml:space="preserve">  [not verified against original — please provide PDF]</w:t>
      </w:r>
    </w:p>
    <w:p>
      <w:pPr>
        <w:spacing w:line="276" w:lineRule="auto"/>
        <w:ind w:left="454" w:hanging="454"/>
      </w:pPr>
      <w:r>
        <w:rPr>
          <w:sz w:val="20"/>
          <w:highlight w:val="yellow"/>
        </w:rPr>
        <w:t>22. Tegner Y, Lysholm J. Rating systems in the evaluation of knee ligament injuries. Clin Orthop Relat Res. 1985;(198):43-49.</w:t>
      </w:r>
      <w:r>
        <w:rPr>
          <w:i/>
          <w:sz w:val="16"/>
        </w:rPr>
        <w:t xml:space="preserve">  [not verified against original — please provide PDF]</w:t>
      </w:r>
    </w:p>
    <w:p>
      <w:pPr>
        <w:spacing w:line="276" w:lineRule="auto"/>
        <w:ind w:left="454" w:hanging="454"/>
      </w:pPr>
      <w:r>
        <w:rPr>
          <w:sz w:val="20"/>
          <w:highlight w:val="yellow"/>
        </w:rPr>
        <w:t>23. Budiman-Mak E, Conrad KJ, Roach KE. The Foot Function Index: a measure of foot pain and disability. J Clin Epidemiol. 1991;44(6):561-570.</w:t>
      </w:r>
      <w:r>
        <w:rPr>
          <w:i/>
          <w:sz w:val="16"/>
        </w:rPr>
        <w:t xml:space="preserve">  [not verified against original — please provide PDF]</w:t>
      </w:r>
    </w:p>
    <w:p>
      <w:pPr>
        <w:spacing w:line="276" w:lineRule="auto"/>
        <w:ind w:left="454" w:hanging="454"/>
      </w:pPr>
      <w:r>
        <w:rPr>
          <w:sz w:val="20"/>
        </w:rPr>
        <w:t>24. Roos EM, Brandsson S, Karlsson J. Validation of the Foot and Ankle Outcome Score for ankle ligament reconstruction. Foot Ankle Int. 2001;22:788-794.</w:t>
      </w:r>
    </w:p>
    <w:p>
      <w:pPr>
        <w:spacing w:line="276" w:lineRule="auto"/>
        <w:ind w:left="454" w:hanging="454"/>
      </w:pPr>
      <w:r>
        <w:rPr>
          <w:sz w:val="20"/>
          <w:highlight w:val="yellow"/>
        </w:rPr>
        <w:t>25. Martin RL, Irrgang JJ, Burdett RG, Conti SF, Van Swearingen JM. Evidence of validity for the Foot and Ankle Ability Measure (FAAM). Foot Ankle Int. 2005;26(11):968-983.</w:t>
      </w:r>
      <w:r>
        <w:rPr>
          <w:i/>
          <w:sz w:val="16"/>
        </w:rPr>
        <w:t xml:space="preserve">  [not verified against original — please provide PDF]</w:t>
      </w:r>
    </w:p>
    <w:p>
      <w:pPr>
        <w:spacing w:line="276" w:lineRule="auto"/>
        <w:ind w:left="454" w:hanging="454"/>
      </w:pPr>
      <w:r>
        <w:rPr>
          <w:sz w:val="20"/>
          <w:highlight w:val="yellow"/>
        </w:rPr>
        <w:t>26. Herdman M, Gudex C, Lloyd A, et al. Development and preliminary testing of the new five-level version of EQ-5D (EQ-5D-5L). Qual Life Res. 2011;20(10):1727-1736.</w:t>
      </w:r>
      <w:r>
        <w:rPr>
          <w:i/>
          <w:sz w:val="16"/>
        </w:rPr>
        <w:t xml:space="preserve">  [not verified against original — please provide PDF]</w:t>
      </w:r>
    </w:p>
    <w:p>
      <w:pPr>
        <w:spacing w:line="276" w:lineRule="auto"/>
        <w:ind w:left="454" w:hanging="454"/>
      </w:pPr>
      <w:r>
        <w:rPr>
          <w:sz w:val="20"/>
        </w:rPr>
        <w:t>27. Beighton P, Solomon L, Soskolne CL. Articular mobility in an African population. Ann Rheum Dis. 1973;32:413-418.</w:t>
      </w:r>
    </w:p>
    <w:p>
      <w:pPr>
        <w:spacing w:line="276" w:lineRule="auto"/>
        <w:ind w:left="454" w:hanging="454"/>
      </w:pPr>
      <w:r>
        <w:rPr>
          <w:sz w:val="20"/>
        </w:rPr>
        <w:t>28. Lee SH, Cho HG, Yang JH. Additional inferior extensor retinaculum augmentation after all-inside arthroscopic anterior talofibular ligament repair for chronic ankle instability is not necessary. Am J Sports Med. 2021;49:1721-1731.</w:t>
      </w:r>
    </w:p>
    <w:p>
      <w:r>
        <w:br w:type="page"/>
      </w:r>
    </w:p>
    <w:p>
      <w:pPr>
        <w:pStyle w:val="Heading1"/>
      </w:pPr>
      <w:r>
        <w:t>Appendix. 국문 초록 (수정안)</w:t>
      </w:r>
    </w:p>
    <w:p>
      <w:r>
        <w:rPr>
          <w:b/>
          <w:i w:val="0"/>
        </w:rPr>
        <w:t>관절경적 변형 브로스트롬 술식에서 비골 봉합나사 위치에 따른 임상 및 방사선학적 결과</w:t>
      </w:r>
    </w:p>
    <w:p>
      <w:r>
        <w:rPr>
          <w:b w:val="0"/>
          <w:i w:val="0"/>
        </w:rPr>
        <w:t>서론 관절경적 변형 브로스트롬 술식에서 전거비인대의 해부학적 부착부를 고려한 봉합나사 삽입이 중요하다고 알려져 있다. 본 연구에서는 3차원 컴퓨터단층촬영(CT)을 이용하여 비골 봉합나사의 위치를 해부학적, 준해부학적 및 비해부학적으로 분류하고, 이에 따른 임상적 및 방사선학적 결과를 비교하고자 하였다.</w:t>
      </w:r>
    </w:p>
    <w:p>
      <w:r>
        <w:rPr>
          <w:b w:val="0"/>
          <w:i w:val="0"/>
        </w:rPr>
        <w:t>방법 관절경적 변형 브로스트롬 술식을 시행하고 2년 이상 추시한 80명 81예를 대상으로 하였다. 봉합나사 중심에서 비골 은폐 결절(fibular obscure tubercle)까지의 거리를 비골 전방 결절(fibular anterior tubercle)과 비골 은폐 결절 사이 거리로 나눈 비율에 따라 25% 미만 값을 해부학적군(29예), 25% 이상 50% 미만 값을 준해부학적군(35예), 50% 이상 값을 비해부학적군(17예)으로 분류하였다. 시각적 통증 척도(Visual Analogue Scale, VAS), Karlsson-Peterson(KP), AOFAS 점수 및 Tegner 활동점수는 수술 전과 최종 추시 시점을 비교하였고, FFI, FAOS, EQ-5D-5L 및 FAAM은 최종 추시 시점 값을 분석하였다. 방사선학적으로 거골경사각, 전방 전위 및 건측과의 차이를 평가하였다.</w:t>
      </w:r>
    </w:p>
    <w:p>
      <w:r>
        <w:rPr>
          <w:b w:val="0"/>
          <w:i w:val="0"/>
        </w:rPr>
        <w:t xml:space="preserve">결과 VAS는 4.37±1.32점에서 1.69±1.20점으로 감소하였고 (P&lt;.001), KP점수는 51.65±14.11점에서 93.84±8.62점, AOFAS 점수는 67.62±14.62점에서 96.44±5.74점으로 향상되었다 (P&lt;.001). </w:t>
      </w:r>
      <w:r>
        <w:rPr>
          <w:b w:val="0"/>
          <w:i w:val="0"/>
          <w:highlight w:val="cyan"/>
        </w:rPr>
        <w:t>Tegner 활동점수는 6.27±1.63점에서 6.56±1.43점으로 증가하였으며 (P=.005), 71예 (87.7%)에서 유지 또는 향상되었다.</w:t>
      </w:r>
      <w:r>
        <w:rPr>
          <w:b w:val="0"/>
          <w:i w:val="0"/>
        </w:rPr>
        <w:t xml:space="preserve"> VAS, KP, AOFAS 및 Tegner 활동점수의 수술 전후 변화량도 세 군 간 차이가 없었다 (P&gt;.05). </w:t>
      </w:r>
      <w:r>
        <w:rPr>
          <w:b w:val="0"/>
          <w:i w:val="0"/>
          <w:highlight w:val="cyan"/>
        </w:rPr>
        <w:t>FFI는 준해부학적군에서 해부학적군보다 낮았으나 (P=.041), 봉합나사 위치 비율과의 상관관계는 없었다 (ρ=-0.14, P=.217).</w:t>
      </w:r>
      <w:r>
        <w:rPr>
          <w:b w:val="0"/>
          <w:i w:val="0"/>
        </w:rPr>
        <w:t xml:space="preserve"> 최종 거골경사각, 전방 전위, 건측과의 차이 및 수술 전후 방사선학적 변화량도 세 군 간 차이가 없었다 (P&gt;.05).</w:t>
      </w:r>
    </w:p>
    <w:p>
      <w:r>
        <w:rPr>
          <w:b w:val="0"/>
          <w:i w:val="0"/>
        </w:rPr>
        <w:t>결론 비골 봉합나사 위치에 따른 임상적 및 방사선학적 결과의 유의한 차이는 확인되지 않았다. 전체 환자군에서 통증과 기능점수가 유의하게 호전되었으며, 활동 수준은 대부분 유지되거나 향상되었다.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맑은 고딕"/>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맑은 고딕"/>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맑은 고딕"/>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