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pPr>
      <w:r>
        <w:rPr>
          <w:b/>
          <w:i w:val="0"/>
          <w:sz w:val="28"/>
        </w:rPr>
        <w:t>관절경적 변형 브로스트롬 술식 – 비골 봉합나사 위치 연구: 원고 초안 v0.2 (국문)</w:t>
      </w:r>
    </w:p>
    <w:p>
      <w:pPr>
        <w:spacing w:line="240" w:lineRule="auto"/>
      </w:pPr>
      <w:r>
        <w:rPr>
          <w:b w:val="0"/>
          <w:i/>
          <w:sz w:val="18"/>
        </w:rPr>
        <w:t>2026-09-26 작성 · 공동저자 검토용 · 투고본 아님</w:t>
      </w:r>
    </w:p>
    <w:p>
      <w:pPr>
        <w:spacing w:line="240" w:lineRule="auto"/>
      </w:pPr>
      <w:r>
        <w:rPr>
          <w:b/>
          <w:i w:val="0"/>
        </w:rPr>
        <w:t>하이라이트 표시 방법</w:t>
      </w:r>
    </w:p>
    <w:p>
      <w:pPr>
        <w:spacing w:line="240" w:lineRule="auto"/>
      </w:pPr>
      <w:r>
        <w:rPr>
          <w:b w:val="0"/>
          <w:i w:val="0"/>
          <w:sz w:val="20"/>
          <w:highlight w:val="yellow"/>
        </w:rPr>
        <w:t>[노란색 = 저자만 알 수 있는 정보로, 임의로 채우지 않은 부분 (기입 요청)]</w:t>
      </w:r>
    </w:p>
    <w:p>
      <w:pPr>
        <w:spacing w:line="240" w:lineRule="auto"/>
      </w:pPr>
      <w:r>
        <w:rPr>
          <w:b w:val="0"/>
          <w:i w:val="0"/>
          <w:sz w:val="20"/>
          <w:highlight w:val="cyan"/>
        </w:rPr>
        <w:t>청록색 = 학회 초록과 달라진 값이거나, 초안 작성자의 해석으로 확인이 필요한 문장</w:t>
      </w:r>
    </w:p>
    <w:p>
      <w:pPr>
        <w:spacing w:line="240" w:lineRule="auto"/>
      </w:pPr>
      <w:r>
        <w:rPr>
          <w:b w:val="0"/>
          <w:i w:val="0"/>
          <w:sz w:val="20"/>
        </w:rPr>
        <w:t>참고문헌 중 노란색 항목은 원문과 대조하지 않은 문헌입니다(원문 PDF 요청). 나머지는 Lee 등(AJSM 2022)의 참고문헌 목록에서 그대로 옮겼습니다. 표의 모든 수치는 “update ver2.5.xlsx”에서 스크립트로 직접 계산했으며, 손으로 옮겨 적은 값은 없습니다.</w:t>
      </w:r>
    </w:p>
    <w:p>
      <w:pPr>
        <w:spacing w:line="240" w:lineRule="auto"/>
      </w:pPr>
      <w:r>
        <w:rPr>
          <w:b/>
          <w:i w:val="0"/>
          <w:sz w:val="24"/>
        </w:rPr>
        <w:t>저자 확인 요청 사항</w:t>
      </w:r>
    </w:p>
    <w:tbl>
      <w:tblPr>
        <w:tblStyle w:val="TableGrid"/>
        <w:tblW w:type="auto" w:w="0"/>
        <w:jc w:val="center"/>
        <w:tblLook w:firstColumn="1" w:firstRow="1" w:lastColumn="0" w:lastRow="0" w:noHBand="0" w:noVBand="1" w:val="04A0"/>
      </w:tblPr>
      <w:tblGrid>
        <w:gridCol w:w="3024"/>
        <w:gridCol w:w="3024"/>
        <w:gridCol w:w="3024"/>
      </w:tblGrid>
      <w:tr>
        <w:tc>
          <w:tcPr>
            <w:tcW w:type="dxa" w:w="454"/>
          </w:tcPr>
          <w:p>
            <w:pPr>
              <w:spacing w:line="240" w:lineRule="auto" w:after="0"/>
            </w:pPr>
            <w:r/>
            <w:r>
              <w:rPr>
                <w:b/>
                <w:i w:val="0"/>
                <w:sz w:val="17"/>
              </w:rPr>
              <w:t>#</w:t>
            </w:r>
          </w:p>
        </w:tc>
        <w:tc>
          <w:tcPr>
            <w:tcW w:type="dxa" w:w="1814"/>
          </w:tcPr>
          <w:p>
            <w:pPr>
              <w:spacing w:line="240" w:lineRule="auto" w:after="0"/>
              <w:jc w:val="center"/>
            </w:pPr>
            <w:r/>
            <w:r>
              <w:rPr>
                <w:b/>
                <w:i w:val="0"/>
                <w:sz w:val="17"/>
              </w:rPr>
              <w:t>항목</w:t>
            </w:r>
          </w:p>
        </w:tc>
        <w:tc>
          <w:tcPr>
            <w:tcW w:type="dxa" w:w="6803"/>
          </w:tcPr>
          <w:p>
            <w:pPr>
              <w:spacing w:line="240" w:lineRule="auto" w:after="0"/>
              <w:jc w:val="center"/>
            </w:pPr>
            <w:r/>
            <w:r>
              <w:rPr>
                <w:b/>
                <w:i w:val="0"/>
                <w:sz w:val="17"/>
              </w:rPr>
              <w:t>내용</w:t>
            </w:r>
          </w:p>
        </w:tc>
      </w:tr>
      <w:tr>
        <w:tc>
          <w:tcPr>
            <w:tcW w:type="dxa" w:w="454"/>
          </w:tcPr>
          <w:p>
            <w:pPr>
              <w:spacing w:line="240" w:lineRule="auto" w:after="0"/>
            </w:pPr>
            <w:r/>
            <w:r>
              <w:rPr>
                <w:b w:val="0"/>
                <w:i w:val="0"/>
                <w:sz w:val="17"/>
              </w:rPr>
              <w:t>1</w:t>
            </w:r>
          </w:p>
        </w:tc>
        <w:tc>
          <w:tcPr>
            <w:tcW w:type="dxa" w:w="1814"/>
          </w:tcPr>
          <w:p>
            <w:pPr>
              <w:spacing w:line="240" w:lineRule="auto" w:after="0"/>
              <w:jc w:val="center"/>
            </w:pPr>
            <w:r/>
            <w:r>
              <w:rPr>
                <w:b w:val="0"/>
                <w:i w:val="0"/>
                <w:sz w:val="17"/>
              </w:rPr>
              <w:t>대상 (81예)</w:t>
            </w:r>
          </w:p>
        </w:tc>
        <w:tc>
          <w:tcPr>
            <w:tcW w:type="dxa" w:w="6803"/>
          </w:tcPr>
          <w:p>
            <w:pPr>
              <w:spacing w:line="240" w:lineRule="auto" w:after="0"/>
              <w:jc w:val="center"/>
            </w:pPr>
            <w:r/>
            <w:r>
              <w:rPr>
                <w:b w:val="0"/>
                <w:i w:val="0"/>
                <w:sz w:val="17"/>
              </w:rPr>
              <w:t>81예 = Sheet1에서 CT 봉합나사 비율이 있는 증례 중 2025년 이전 수술례(No.1–94 중 CT/설문 결측 13예 제외). 동일 등록번호 환자(No.72, No.80)가 양측 수술 → 80명 81예. 이 정의가 맞는지 확인 부탁드립니다. 전체 수술 환자 수와 제외 사유별 인원(흐름도용)도 필요합니다.</w:t>
            </w:r>
          </w:p>
        </w:tc>
      </w:tr>
      <w:tr>
        <w:tc>
          <w:tcPr>
            <w:tcW w:type="dxa" w:w="454"/>
          </w:tcPr>
          <w:p>
            <w:pPr>
              <w:spacing w:line="240" w:lineRule="auto" w:after="0"/>
            </w:pPr>
            <w:r/>
            <w:r>
              <w:rPr>
                <w:b w:val="0"/>
                <w:i w:val="0"/>
                <w:sz w:val="17"/>
              </w:rPr>
              <w:t>2</w:t>
            </w:r>
          </w:p>
        </w:tc>
        <w:tc>
          <w:tcPr>
            <w:tcW w:type="dxa" w:w="1814"/>
          </w:tcPr>
          <w:p>
            <w:pPr>
              <w:spacing w:line="240" w:lineRule="auto" w:after="0"/>
              <w:jc w:val="center"/>
            </w:pPr>
            <w:r/>
            <w:r>
              <w:rPr>
                <w:b w:val="0"/>
                <w:i w:val="0"/>
                <w:sz w:val="17"/>
              </w:rPr>
              <w:t>최소 2년 추시</w:t>
            </w:r>
          </w:p>
        </w:tc>
        <w:tc>
          <w:tcPr>
            <w:tcW w:type="dxa" w:w="6803"/>
          </w:tcPr>
          <w:p>
            <w:pPr>
              <w:spacing w:line="240" w:lineRule="auto" w:after="0"/>
              <w:jc w:val="center"/>
            </w:pPr>
            <w:r/>
            <w:r>
              <w:rPr>
                <w:b w:val="0"/>
                <w:i w:val="0"/>
                <w:sz w:val="17"/>
              </w:rPr>
              <w:t>No.94(수술일 2024-12-31)는 2026-09-26 기준 약 21개월로 “최소 2년 추시” 조건을 만족하지 않습니다. 최종 설문 시점과 포함 여부를 알려주세요. No.93(2024-09-24)은 정확히 2년입니다.</w:t>
            </w:r>
          </w:p>
        </w:tc>
      </w:tr>
      <w:tr>
        <w:tc>
          <w:tcPr>
            <w:tcW w:type="dxa" w:w="454"/>
          </w:tcPr>
          <w:p>
            <w:pPr>
              <w:spacing w:line="240" w:lineRule="auto" w:after="0"/>
            </w:pPr>
            <w:r/>
            <w:r>
              <w:rPr>
                <w:b w:val="0"/>
                <w:i w:val="0"/>
                <w:sz w:val="17"/>
              </w:rPr>
              <w:t>3</w:t>
            </w:r>
          </w:p>
        </w:tc>
        <w:tc>
          <w:tcPr>
            <w:tcW w:type="dxa" w:w="1814"/>
          </w:tcPr>
          <w:p>
            <w:pPr>
              <w:spacing w:line="240" w:lineRule="auto" w:after="0"/>
              <w:jc w:val="center"/>
            </w:pPr>
            <w:r/>
            <w:r>
              <w:rPr>
                <w:b w:val="0"/>
                <w:i w:val="0"/>
                <w:sz w:val="17"/>
              </w:rPr>
              <w:t>추시 기간</w:t>
            </w:r>
          </w:p>
        </w:tc>
        <w:tc>
          <w:tcPr>
            <w:tcW w:type="dxa" w:w="6803"/>
          </w:tcPr>
          <w:p>
            <w:pPr>
              <w:spacing w:line="240" w:lineRule="auto" w:after="0"/>
              <w:jc w:val="center"/>
            </w:pPr>
            <w:r/>
            <w:r>
              <w:rPr>
                <w:b w:val="0"/>
                <w:i w:val="0"/>
                <w:sz w:val="17"/>
              </w:rPr>
              <w:t>엑셀의 “Last F/U”는 외래 방문일로 보여 최종 설문 시점으로 쓸 수 없습니다. 각 증례의 최종 설문 시행일(또는 평균/범위 추시 기간)과 설문 방법(외래/전화/우편)을 알려주세요.</w:t>
            </w:r>
          </w:p>
        </w:tc>
      </w:tr>
      <w:tr>
        <w:tc>
          <w:tcPr>
            <w:tcW w:type="dxa" w:w="454"/>
          </w:tcPr>
          <w:p>
            <w:pPr>
              <w:spacing w:line="240" w:lineRule="auto" w:after="0"/>
            </w:pPr>
            <w:r/>
            <w:r>
              <w:rPr>
                <w:b w:val="0"/>
                <w:i w:val="0"/>
                <w:sz w:val="17"/>
              </w:rPr>
              <w:t>4</w:t>
            </w:r>
          </w:p>
        </w:tc>
        <w:tc>
          <w:tcPr>
            <w:tcW w:type="dxa" w:w="1814"/>
          </w:tcPr>
          <w:p>
            <w:pPr>
              <w:spacing w:line="240" w:lineRule="auto" w:after="0"/>
              <w:jc w:val="center"/>
            </w:pPr>
            <w:r/>
            <w:r>
              <w:rPr>
                <w:b w:val="0"/>
                <w:i w:val="0"/>
                <w:sz w:val="17"/>
              </w:rPr>
              <w:t>Tegner (변경됨)</w:t>
            </w:r>
          </w:p>
        </w:tc>
        <w:tc>
          <w:tcPr>
            <w:tcW w:type="dxa" w:w="6803"/>
          </w:tcPr>
          <w:p>
            <w:pPr>
              <w:spacing w:line="240" w:lineRule="auto" w:after="0"/>
              <w:jc w:val="center"/>
            </w:pPr>
            <w:r/>
            <w:r>
              <w:rPr>
                <w:b w:val="0"/>
                <w:i w:val="0"/>
                <w:sz w:val="17"/>
              </w:rPr>
              <w:t>현재 데이터: Tegner 6.27 ± 1.63 → 6.56 ± 1.43, Wilcoxon P = .005. 유지/향상 71예 (87.7%): 향상 26, 유지 45, 감소 10. 초록의 “68예 (87.7%)”는 68/81 = 84.0%로 맞지 않아 71/81 = 87.7%가 맞는 것으로 보입니다.</w:t>
            </w:r>
          </w:p>
        </w:tc>
      </w:tr>
      <w:tr>
        <w:tc>
          <w:tcPr>
            <w:tcW w:type="dxa" w:w="454"/>
          </w:tcPr>
          <w:p>
            <w:pPr>
              <w:spacing w:line="240" w:lineRule="auto" w:after="0"/>
            </w:pPr>
            <w:r/>
            <w:r>
              <w:rPr>
                <w:b w:val="0"/>
                <w:i w:val="0"/>
                <w:sz w:val="17"/>
              </w:rPr>
              <w:t>5</w:t>
            </w:r>
          </w:p>
        </w:tc>
        <w:tc>
          <w:tcPr>
            <w:tcW w:type="dxa" w:w="1814"/>
          </w:tcPr>
          <w:p>
            <w:pPr>
              <w:spacing w:line="240" w:lineRule="auto" w:after="0"/>
              <w:jc w:val="center"/>
            </w:pPr>
            <w:r/>
            <w:r>
              <w:rPr>
                <w:b w:val="0"/>
                <w:i w:val="0"/>
                <w:sz w:val="17"/>
              </w:rPr>
              <w:t>FFI 사후분석 (중요)</w:t>
            </w:r>
          </w:p>
        </w:tc>
        <w:tc>
          <w:tcPr>
            <w:tcW w:type="dxa" w:w="6803"/>
          </w:tcPr>
          <w:p>
            <w:pPr>
              <w:spacing w:line="240" w:lineRule="auto" w:after="0"/>
              <w:jc w:val="center"/>
            </w:pPr>
            <w:r/>
            <w:r>
              <w:rPr>
                <w:b w:val="0"/>
                <w:i w:val="0"/>
                <w:sz w:val="17"/>
              </w:rPr>
              <w:t>초록에는 “다중비교 보정 후 유의하지 않음”으로 되어 있으나, 현재 데이터로는 Kruskal–Wallis P = .041, 사후 Mann–Whitney 해부학적군 vs 준해부학적군 P = .011(Bonferroni 기준 P &lt; .017에서도 유의), Dunn–Bonferroni 보정 P = .035로 여전히 유의합니다. 초록에서 사용한 보정 방법을 알려주시면 맞추겠습니다. 본문은 현재 계산값 그대로 기술했습니다.</w:t>
            </w:r>
          </w:p>
        </w:tc>
      </w:tr>
      <w:tr>
        <w:tc>
          <w:tcPr>
            <w:tcW w:type="dxa" w:w="454"/>
          </w:tcPr>
          <w:p>
            <w:pPr>
              <w:spacing w:line="240" w:lineRule="auto" w:after="0"/>
            </w:pPr>
            <w:r/>
            <w:r>
              <w:rPr>
                <w:b w:val="0"/>
                <w:i w:val="0"/>
                <w:sz w:val="17"/>
              </w:rPr>
              <w:t>6</w:t>
            </w:r>
          </w:p>
        </w:tc>
        <w:tc>
          <w:tcPr>
            <w:tcW w:type="dxa" w:w="1814"/>
          </w:tcPr>
          <w:p>
            <w:pPr>
              <w:spacing w:line="240" w:lineRule="auto" w:after="0"/>
              <w:jc w:val="center"/>
            </w:pPr>
            <w:r/>
            <w:r>
              <w:rPr>
                <w:b w:val="0"/>
                <w:i w:val="0"/>
                <w:sz w:val="17"/>
              </w:rPr>
              <w:t>“3차원 CT 분석”의 의미</w:t>
            </w:r>
          </w:p>
        </w:tc>
        <w:tc>
          <w:tcPr>
            <w:tcW w:type="dxa" w:w="6803"/>
          </w:tcPr>
          <w:p>
            <w:pPr>
              <w:spacing w:line="240" w:lineRule="auto" w:after="0"/>
              <w:jc w:val="center"/>
            </w:pPr>
            <w:r/>
            <w:r>
              <w:rPr>
                <w:b w:val="0"/>
                <w:i w:val="0"/>
                <w:sz w:val="17"/>
              </w:rPr>
              <w:t>초록의 “3차원 CT 분석에서는 유의하지 않았다”를 봉합나사 위치 비율(연속변수)과 FFI의 Spearman 상관(ρ = -0.14, P = .217)으로 해석했습니다. 다른 분석이었다면 알려주세요.</w:t>
            </w:r>
          </w:p>
        </w:tc>
      </w:tr>
      <w:tr>
        <w:tc>
          <w:tcPr>
            <w:tcW w:type="dxa" w:w="454"/>
          </w:tcPr>
          <w:p>
            <w:pPr>
              <w:spacing w:line="240" w:lineRule="auto" w:after="0"/>
            </w:pPr>
            <w:r/>
            <w:r>
              <w:rPr>
                <w:b w:val="0"/>
                <w:i w:val="0"/>
                <w:sz w:val="17"/>
              </w:rPr>
              <w:t>7</w:t>
            </w:r>
          </w:p>
        </w:tc>
        <w:tc>
          <w:tcPr>
            <w:tcW w:type="dxa" w:w="1814"/>
          </w:tcPr>
          <w:p>
            <w:pPr>
              <w:spacing w:line="240" w:lineRule="auto" w:after="0"/>
              <w:jc w:val="center"/>
            </w:pPr>
            <w:r/>
            <w:r>
              <w:rPr>
                <w:b w:val="0"/>
                <w:i w:val="0"/>
                <w:sz w:val="17"/>
              </w:rPr>
              <w:t>통계 방법/프로그램</w:t>
            </w:r>
          </w:p>
        </w:tc>
        <w:tc>
          <w:tcPr>
            <w:tcW w:type="dxa" w:w="6803"/>
          </w:tcPr>
          <w:p>
            <w:pPr>
              <w:spacing w:line="240" w:lineRule="auto" w:after="0"/>
              <w:jc w:val="center"/>
            </w:pPr>
            <w:r/>
            <w:r>
              <w:rPr>
                <w:b w:val="0"/>
                <w:i w:val="0"/>
                <w:sz w:val="17"/>
              </w:rPr>
              <w:t>Lee 등과 같은 비모수 방법(Kruskal–Wallis, Wilcoxon 부호순위, 사후 Mann–Whitney U [P &lt; .017], 카이제곱 검정)과 Spearman 상관을 Python(SciPy 1.17)으로 계산했습니다. 초록 수치(VAS/KP/AOFAS)는 정확히 재현되었습니다. 실제 사용 프로그램(SPSS 등)과 검정법, 사전 검정력 분석 여부를 알려주세요.</w:t>
            </w:r>
          </w:p>
        </w:tc>
      </w:tr>
      <w:tr>
        <w:tc>
          <w:tcPr>
            <w:tcW w:type="dxa" w:w="454"/>
          </w:tcPr>
          <w:p>
            <w:pPr>
              <w:spacing w:line="240" w:lineRule="auto" w:after="0"/>
            </w:pPr>
            <w:r/>
            <w:r>
              <w:rPr>
                <w:b w:val="0"/>
                <w:i w:val="0"/>
                <w:sz w:val="17"/>
              </w:rPr>
              <w:t>8</w:t>
            </w:r>
          </w:p>
        </w:tc>
        <w:tc>
          <w:tcPr>
            <w:tcW w:type="dxa" w:w="1814"/>
          </w:tcPr>
          <w:p>
            <w:pPr>
              <w:spacing w:line="240" w:lineRule="auto" w:after="0"/>
              <w:jc w:val="center"/>
            </w:pPr>
            <w:r/>
            <w:r>
              <w:rPr>
                <w:b w:val="0"/>
                <w:i w:val="0"/>
                <w:sz w:val="17"/>
              </w:rPr>
              <w:t>수술 방법</w:t>
            </w:r>
          </w:p>
        </w:tc>
        <w:tc>
          <w:tcPr>
            <w:tcW w:type="dxa" w:w="6803"/>
          </w:tcPr>
          <w:p>
            <w:pPr>
              <w:spacing w:line="240" w:lineRule="auto" w:after="0"/>
              <w:jc w:val="center"/>
            </w:pPr>
            <w:r/>
            <w:r>
              <w:rPr>
                <w:b w:val="0"/>
                <w:i w:val="0"/>
                <w:sz w:val="17"/>
              </w:rPr>
              <w:t>마취/체위, 삽입구, 관절경, 봉합나사 종류·크기·개수(엑셀 메모에 “Arthrex anchor”, “IER reinforce” 언급), 전거비인대 봉합 방법, 하신전지대 보강 여부(전례 시행?), 종비인대 처치, 동반 술식, 집도의 수(단일 술자?).</w:t>
            </w:r>
          </w:p>
        </w:tc>
      </w:tr>
      <w:tr>
        <w:tc>
          <w:tcPr>
            <w:tcW w:type="dxa" w:w="454"/>
          </w:tcPr>
          <w:p>
            <w:pPr>
              <w:spacing w:line="240" w:lineRule="auto" w:after="0"/>
            </w:pPr>
            <w:r/>
            <w:r>
              <w:rPr>
                <w:b w:val="0"/>
                <w:i w:val="0"/>
                <w:sz w:val="17"/>
              </w:rPr>
              <w:t>9</w:t>
            </w:r>
          </w:p>
        </w:tc>
        <w:tc>
          <w:tcPr>
            <w:tcW w:type="dxa" w:w="1814"/>
          </w:tcPr>
          <w:p>
            <w:pPr>
              <w:spacing w:line="240" w:lineRule="auto" w:after="0"/>
              <w:jc w:val="center"/>
            </w:pPr>
            <w:r/>
            <w:r>
              <w:rPr>
                <w:b w:val="0"/>
                <w:i w:val="0"/>
                <w:sz w:val="17"/>
              </w:rPr>
              <w:t>재활</w:t>
            </w:r>
          </w:p>
        </w:tc>
        <w:tc>
          <w:tcPr>
            <w:tcW w:type="dxa" w:w="6803"/>
          </w:tcPr>
          <w:p>
            <w:pPr>
              <w:spacing w:line="240" w:lineRule="auto" w:after="0"/>
              <w:jc w:val="center"/>
            </w:pPr>
            <w:r/>
            <w:r>
              <w:rPr>
                <w:b w:val="0"/>
                <w:i w:val="0"/>
                <w:sz w:val="17"/>
              </w:rPr>
              <w:t>술후 고정 기간, 체중부하 시작 시점, 운동 복귀 시점 등.</w:t>
            </w:r>
          </w:p>
        </w:tc>
      </w:tr>
      <w:tr>
        <w:tc>
          <w:tcPr>
            <w:tcW w:type="dxa" w:w="454"/>
          </w:tcPr>
          <w:p>
            <w:pPr>
              <w:spacing w:line="240" w:lineRule="auto" w:after="0"/>
            </w:pPr>
            <w:r/>
            <w:r>
              <w:rPr>
                <w:b w:val="0"/>
                <w:i w:val="0"/>
                <w:sz w:val="17"/>
              </w:rPr>
              <w:t>10</w:t>
            </w:r>
          </w:p>
        </w:tc>
        <w:tc>
          <w:tcPr>
            <w:tcW w:type="dxa" w:w="1814"/>
          </w:tcPr>
          <w:p>
            <w:pPr>
              <w:spacing w:line="240" w:lineRule="auto" w:after="0"/>
              <w:jc w:val="center"/>
            </w:pPr>
            <w:r/>
            <w:r>
              <w:rPr>
                <w:b w:val="0"/>
                <w:i w:val="0"/>
                <w:sz w:val="17"/>
              </w:rPr>
              <w:t>CT 측정</w:t>
            </w:r>
          </w:p>
        </w:tc>
        <w:tc>
          <w:tcPr>
            <w:tcW w:type="dxa" w:w="6803"/>
          </w:tcPr>
          <w:p>
            <w:pPr>
              <w:spacing w:line="240" w:lineRule="auto" w:after="0"/>
              <w:jc w:val="center"/>
            </w:pPr>
            <w:r/>
            <w:r>
              <w:rPr>
                <w:b w:val="0"/>
                <w:i w:val="0"/>
                <w:sz w:val="17"/>
              </w:rPr>
              <w:t>CT 촬영 시점(술후 며칠), 장비, 3차원 재구성 프로그램, 측정자(인원, 맹검 여부), 측정 신뢰도(ICC/kappa).</w:t>
            </w:r>
          </w:p>
        </w:tc>
      </w:tr>
      <w:tr>
        <w:tc>
          <w:tcPr>
            <w:tcW w:type="dxa" w:w="454"/>
          </w:tcPr>
          <w:p>
            <w:pPr>
              <w:spacing w:line="240" w:lineRule="auto" w:after="0"/>
            </w:pPr>
            <w:r/>
            <w:r>
              <w:rPr>
                <w:b w:val="0"/>
                <w:i w:val="0"/>
                <w:sz w:val="17"/>
              </w:rPr>
              <w:t>11</w:t>
            </w:r>
          </w:p>
        </w:tc>
        <w:tc>
          <w:tcPr>
            <w:tcW w:type="dxa" w:w="1814"/>
          </w:tcPr>
          <w:p>
            <w:pPr>
              <w:spacing w:line="240" w:lineRule="auto" w:after="0"/>
              <w:jc w:val="center"/>
            </w:pPr>
            <w:r/>
            <w:r>
              <w:rPr>
                <w:b w:val="0"/>
                <w:i w:val="0"/>
                <w:sz w:val="17"/>
              </w:rPr>
              <w:t>스트레스 방사선</w:t>
            </w:r>
          </w:p>
        </w:tc>
        <w:tc>
          <w:tcPr>
            <w:tcW w:type="dxa" w:w="6803"/>
          </w:tcPr>
          <w:p>
            <w:pPr>
              <w:spacing w:line="240" w:lineRule="auto" w:after="0"/>
              <w:jc w:val="center"/>
            </w:pPr>
            <w:r/>
            <w:r>
              <w:rPr>
                <w:b w:val="0"/>
                <w:i w:val="0"/>
                <w:sz w:val="17"/>
              </w:rPr>
              <w:t>장비(Telos 등)·하중(N)·측정 방법, 촬영 시점. 참고: 술전 전방 전위가 건측과 거의 차이가 없습니다(평균 0.52 mm). 최종 스트레스 사진이 없는 9예(각 군 2/2/5)가 있습니다.</w:t>
            </w:r>
          </w:p>
        </w:tc>
      </w:tr>
      <w:tr>
        <w:tc>
          <w:tcPr>
            <w:tcW w:type="dxa" w:w="454"/>
          </w:tcPr>
          <w:p>
            <w:pPr>
              <w:spacing w:line="240" w:lineRule="auto" w:after="0"/>
            </w:pPr>
            <w:r/>
            <w:r>
              <w:rPr>
                <w:b w:val="0"/>
                <w:i w:val="0"/>
                <w:sz w:val="17"/>
              </w:rPr>
              <w:t>12</w:t>
            </w:r>
          </w:p>
        </w:tc>
        <w:tc>
          <w:tcPr>
            <w:tcW w:type="dxa" w:w="1814"/>
          </w:tcPr>
          <w:p>
            <w:pPr>
              <w:spacing w:line="240" w:lineRule="auto" w:after="0"/>
              <w:jc w:val="center"/>
            </w:pPr>
            <w:r/>
            <w:r>
              <w:rPr>
                <w:b w:val="0"/>
                <w:i w:val="0"/>
                <w:sz w:val="17"/>
              </w:rPr>
              <w:t>점수 정의</w:t>
            </w:r>
          </w:p>
        </w:tc>
        <w:tc>
          <w:tcPr>
            <w:tcW w:type="dxa" w:w="6803"/>
          </w:tcPr>
          <w:p>
            <w:pPr>
              <w:spacing w:line="240" w:lineRule="auto" w:after="0"/>
              <w:jc w:val="center"/>
            </w:pPr>
            <w:r/>
            <w:r>
              <w:rPr>
                <w:b w:val="0"/>
                <w:i w:val="0"/>
                <w:sz w:val="17"/>
              </w:rPr>
              <w:t>FAOS 총점 = 5개 하위척도 평균으로 계산되어 있습니다(원래 FAOS는 총점을 정의하지 않음). No.51은 총점만 있고 하위척도가 없습니다. EQ-5D-5L은 5–11 값으로 효용지수가 아닌 5개 차원 수준의 합(5 = 최상)으로 보입니다 → 한국형 가치세트로 지수 변환할지 결정 필요. 한국어판 도구 사용 여부와 인용문헌.</w:t>
            </w:r>
          </w:p>
        </w:tc>
      </w:tr>
      <w:tr>
        <w:tc>
          <w:tcPr>
            <w:tcW w:type="dxa" w:w="454"/>
          </w:tcPr>
          <w:p>
            <w:pPr>
              <w:spacing w:line="240" w:lineRule="auto" w:after="0"/>
            </w:pPr>
            <w:r/>
            <w:r>
              <w:rPr>
                <w:b w:val="0"/>
                <w:i w:val="0"/>
                <w:sz w:val="17"/>
              </w:rPr>
              <w:t>13</w:t>
            </w:r>
          </w:p>
        </w:tc>
        <w:tc>
          <w:tcPr>
            <w:tcW w:type="dxa" w:w="1814"/>
          </w:tcPr>
          <w:p>
            <w:pPr>
              <w:spacing w:line="240" w:lineRule="auto" w:after="0"/>
              <w:jc w:val="center"/>
            </w:pPr>
            <w:r/>
            <w:r>
              <w:rPr>
                <w:b w:val="0"/>
                <w:i w:val="0"/>
                <w:sz w:val="17"/>
              </w:rPr>
              <w:t>포함/제외 기준, IRB</w:t>
            </w:r>
          </w:p>
        </w:tc>
        <w:tc>
          <w:tcPr>
            <w:tcW w:type="dxa" w:w="6803"/>
          </w:tcPr>
          <w:p>
            <w:pPr>
              <w:spacing w:line="240" w:lineRule="auto" w:after="0"/>
              <w:jc w:val="center"/>
            </w:pPr>
            <w:r/>
            <w:r>
              <w:rPr>
                <w:b w:val="0"/>
                <w:i w:val="0"/>
                <w:sz w:val="17"/>
              </w:rPr>
              <w:t>포함/제외 기준, IRB 승인번호, 동의서 면제 여부, 연구기관명(경희대학교병원/강동경희대학교병원 등), 저자 영문 이름.</w:t>
            </w:r>
          </w:p>
        </w:tc>
      </w:tr>
      <w:tr>
        <w:tc>
          <w:tcPr>
            <w:tcW w:type="dxa" w:w="454"/>
          </w:tcPr>
          <w:p>
            <w:pPr>
              <w:spacing w:line="240" w:lineRule="auto" w:after="0"/>
            </w:pPr>
            <w:r/>
            <w:r>
              <w:rPr>
                <w:b w:val="0"/>
                <w:i w:val="0"/>
                <w:sz w:val="17"/>
              </w:rPr>
              <w:t>14</w:t>
            </w:r>
          </w:p>
        </w:tc>
        <w:tc>
          <w:tcPr>
            <w:tcW w:type="dxa" w:w="1814"/>
          </w:tcPr>
          <w:p>
            <w:pPr>
              <w:spacing w:line="240" w:lineRule="auto" w:after="0"/>
              <w:jc w:val="center"/>
            </w:pPr>
            <w:r/>
            <w:r>
              <w:rPr>
                <w:b w:val="0"/>
                <w:i w:val="0"/>
                <w:sz w:val="17"/>
              </w:rPr>
              <w:t>투고 학술지</w:t>
            </w:r>
          </w:p>
        </w:tc>
        <w:tc>
          <w:tcPr>
            <w:tcW w:type="dxa" w:w="6803"/>
          </w:tcPr>
          <w:p>
            <w:pPr>
              <w:spacing w:line="240" w:lineRule="auto" w:after="0"/>
              <w:jc w:val="center"/>
            </w:pPr>
            <w:r/>
            <w:r>
              <w:rPr>
                <w:b w:val="0"/>
                <w:i w:val="0"/>
                <w:sz w:val="17"/>
              </w:rPr>
              <w:t>투고 예정 학술지(분량·참고문헌 양식)를 알려주시면 형식을 맞추겠습니다. 현재는 번호식(Vancouver) 참고문헌으로 작성했습니다.</w:t>
            </w:r>
          </w:p>
        </w:tc>
      </w:tr>
      <w:tr>
        <w:tc>
          <w:tcPr>
            <w:tcW w:type="dxa" w:w="454"/>
          </w:tcPr>
          <w:p>
            <w:pPr>
              <w:spacing w:line="240" w:lineRule="auto" w:after="0"/>
            </w:pPr>
            <w:r/>
            <w:r>
              <w:rPr>
                <w:b w:val="0"/>
                <w:i w:val="0"/>
                <w:sz w:val="17"/>
              </w:rPr>
              <w:t>15</w:t>
            </w:r>
          </w:p>
        </w:tc>
        <w:tc>
          <w:tcPr>
            <w:tcW w:type="dxa" w:w="1814"/>
          </w:tcPr>
          <w:p>
            <w:pPr>
              <w:spacing w:line="240" w:lineRule="auto" w:after="0"/>
              <w:jc w:val="center"/>
            </w:pPr>
            <w:r/>
            <w:r>
              <w:rPr>
                <w:b w:val="0"/>
                <w:i w:val="0"/>
                <w:sz w:val="17"/>
              </w:rPr>
              <w:t>필요 문헌 원문</w:t>
            </w:r>
          </w:p>
        </w:tc>
        <w:tc>
          <w:tcPr>
            <w:tcW w:type="dxa" w:w="6803"/>
          </w:tcPr>
          <w:p>
            <w:pPr>
              <w:spacing w:line="240" w:lineRule="auto" w:after="0"/>
              <w:jc w:val="center"/>
            </w:pPr>
            <w:r/>
            <w:r>
              <w:rPr>
                <w:b w:val="0"/>
                <w:i w:val="0"/>
                <w:sz w:val="17"/>
              </w:rPr>
              <w:t>노란색 참고문헌의 원문 PDF, 그리고 가능하면 (1) Lee 등(2022) 이후 봉합나사 위치/비해부학적 봉합 관련 임상 연구, (2) 관절경적 변형 브로스트롬(하신전지대 보강 포함) 장기 추시 연구, (3) 한국어판 FAOS/FAAM/FFI/EQ-5D 타당도 논문.</w:t>
            </w:r>
          </w:p>
        </w:tc>
      </w:tr>
    </w:tbl>
    <w:p>
      <w:r>
        <w:br w:type="page"/>
      </w:r>
    </w:p>
    <w:p>
      <w:pPr>
        <w:jc w:val="center"/>
      </w:pPr>
      <w:r>
        <w:rPr>
          <w:b w:val="0"/>
          <w:i/>
        </w:rPr>
        <w:t>원저</w:t>
      </w:r>
    </w:p>
    <w:p>
      <w:pPr>
        <w:jc w:val="center"/>
      </w:pPr>
      <w:r>
        <w:rPr>
          <w:b/>
          <w:i w:val="0"/>
          <w:sz w:val="28"/>
        </w:rPr>
        <w:t>관절경적 변형 브로스트롬 술식에서 비골 봉합나사 위치에 따른 임상 및 방사선학적 결과: 최소 2년 추시, 3차원 컴퓨터단층촬영 분석</w:t>
      </w:r>
    </w:p>
    <w:p>
      <w:pPr>
        <w:jc w:val="center"/>
      </w:pPr>
      <w:r>
        <w:rPr>
          <w:b w:val="0"/>
          <w:i/>
          <w:sz w:val="22"/>
        </w:rPr>
        <w:t>Clinical and Radiologic Outcomes of Arthroscopic Modified Broström Procedure According to Fibular Anchor Position: A 3D CT–Based Analysis With a Minimum 2-Year Follow-up</w:t>
      </w:r>
    </w:p>
    <w:p>
      <w:pPr>
        <w:jc w:val="center"/>
      </w:pPr>
      <w:r>
        <w:rPr>
          <w:b w:val="0"/>
          <w:i w:val="0"/>
        </w:rPr>
        <w:t>이정현, 서동욱, 경민규, 정비오*</w:t>
      </w:r>
    </w:p>
    <w:p>
      <w:pPr>
        <w:jc w:val="center"/>
      </w:pPr>
      <w:r>
        <w:rPr>
          <w:b w:val="0"/>
          <w:i w:val="0"/>
          <w:sz w:val="20"/>
        </w:rPr>
        <w:t xml:space="preserve">경희대학교 의과대학 정형외과학교실 </w:t>
      </w:r>
      <w:r>
        <w:rPr>
          <w:b w:val="0"/>
          <w:i w:val="0"/>
          <w:sz w:val="20"/>
          <w:highlight w:val="yellow"/>
        </w:rPr>
        <w:t>[병원명/주소 확인]</w:t>
      </w:r>
    </w:p>
    <w:p>
      <w:pPr>
        <w:jc w:val="center"/>
      </w:pPr>
      <w:r>
        <w:rPr>
          <w:b w:val="0"/>
          <w:i w:val="0"/>
          <w:sz w:val="20"/>
        </w:rPr>
        <w:t xml:space="preserve">*교신저자: 정비오 </w:t>
      </w:r>
      <w:r>
        <w:rPr>
          <w:b w:val="0"/>
          <w:i w:val="0"/>
          <w:sz w:val="20"/>
          <w:highlight w:val="yellow"/>
        </w:rPr>
        <w:t>[주소, 전화]</w:t>
      </w:r>
      <w:r>
        <w:rPr>
          <w:b w:val="0"/>
          <w:i w:val="0"/>
          <w:sz w:val="20"/>
        </w:rPr>
        <w:t>, 이메일: biojeong@gmail.com</w:t>
      </w:r>
    </w:p>
    <w:p>
      <w:pPr>
        <w:jc w:val="center"/>
      </w:pPr>
      <w:r>
        <w:rPr>
          <w:b w:val="0"/>
          <w:i w:val="0"/>
          <w:sz w:val="20"/>
        </w:rPr>
        <w:t xml:space="preserve">이해 상충: </w:t>
      </w:r>
      <w:r>
        <w:rPr>
          <w:b w:val="0"/>
          <w:i w:val="0"/>
          <w:sz w:val="20"/>
          <w:highlight w:val="yellow"/>
        </w:rPr>
        <w:t>[ ]</w:t>
      </w:r>
      <w:r>
        <w:rPr>
          <w:b w:val="0"/>
          <w:i w:val="0"/>
          <w:sz w:val="20"/>
        </w:rPr>
        <w:t xml:space="preserve">  ·  연구비: </w:t>
      </w:r>
      <w:r>
        <w:rPr>
          <w:b w:val="0"/>
          <w:i w:val="0"/>
          <w:sz w:val="20"/>
          <w:highlight w:val="yellow"/>
        </w:rPr>
        <w:t>[ ]</w:t>
      </w:r>
      <w:r>
        <w:rPr>
          <w:b w:val="0"/>
          <w:i w:val="0"/>
          <w:sz w:val="20"/>
        </w:rPr>
        <w:t xml:space="preserve">  ·  IRB 승인: </w:t>
      </w:r>
      <w:r>
        <w:rPr>
          <w:b w:val="0"/>
          <w:i w:val="0"/>
          <w:sz w:val="20"/>
          <w:highlight w:val="yellow"/>
        </w:rPr>
        <w:t>[기관, 번호]</w:t>
      </w:r>
    </w:p>
    <w:p>
      <w:r>
        <w:br w:type="page"/>
      </w:r>
    </w:p>
    <w:p>
      <w:pPr>
        <w:pStyle w:val="Heading1"/>
      </w:pPr>
      <w:r>
        <w:t>초록</w:t>
      </w:r>
    </w:p>
    <w:p>
      <w:r>
        <w:rPr>
          <w:b/>
          <w:i w:val="0"/>
        </w:rPr>
        <w:t>목적:</w:t>
      </w:r>
      <w:r>
        <w:rPr>
          <w:b w:val="0"/>
          <w:i w:val="0"/>
        </w:rPr>
        <w:t xml:space="preserve"> 관절경적 외측 발목 인대 봉합술에서 비골 봉합나사를 해부학적 위치에 삽입하는 것이 중요하다고 알려져 있으며, 이전 3차원 컴퓨터단층촬영(computed tomography, CT) 연구에서는 전내시경적 전거비인대(anterior talofibular ligament, ATFL) 봉합술 후 봉합나사가 비해부학적(높은) 위치에 삽입된 경우 결과가 불량하다고 보고되었다. 본 연구에서는 관절경적 변형 브로스트롬 술식에서 비골 봉합나사 위치에 따라 임상 및 방사선학적 결과에 차이가 있는지 알아보고자 하였다.</w:t>
      </w:r>
    </w:p>
    <w:p>
      <w:r>
        <w:rPr>
          <w:b/>
          <w:i w:val="0"/>
        </w:rPr>
        <w:t>대상 및 방법:</w:t>
      </w:r>
      <w:r>
        <w:rPr>
          <w:b w:val="0"/>
          <w:i w:val="0"/>
        </w:rPr>
        <w:t xml:space="preserve"> 관절경적 변형 브로스트롬 술식을 시행하고 2년 이상 추시한</w:t>
      </w:r>
      <w:r>
        <w:rPr>
          <w:b w:val="0"/>
          <w:i w:val="0"/>
          <w:highlight w:val="cyan"/>
        </w:rPr>
        <w:t xml:space="preserve"> [확인 필요: 요청 사항 2]</w:t>
      </w:r>
      <w:r>
        <w:rPr>
          <w:b w:val="0"/>
          <w:i w:val="0"/>
        </w:rPr>
        <w:t xml:space="preserve"> 80명 81예를 후향적으로 분석하였다. 술후 3차원 CT에서 봉합나사 중심으로부터 비골 은폐 결절(fibular obscure tubercle, FOT)까지의 거리를 비골 전방 결절(fibular anterior tubercle, FAT)과 FOT 사이 거리로 나눈 비율에 따라 해부학적군(25% 미만, 29예), 준해부학적군(25% 이상 50% 미만, 35예), 비해부학적군(50% 이상, 17예)으로 분류하였다. 시각적 통증 척도(visual analogue scale, VAS), Karlsson-Peterson(KP) 점수, 미국족부족관절학회(American Orthopaedic Foot and Ankle Society, AOFAS) 점수 및 Tegner 활동 점수는 수술 전과 최종 추시 시점을 비교하였고, Foot Function Index(FFI), Foot and Ankle Outcome Score(FAOS), EQ-5D-5L 및 Foot and Ankle Ability Measure(FAAM)는 최종 추시 시점 값을 분석하였다. 방사선학적으로 스트레스 방사선 사진에서 거골경사각, 전방 전위 및 건측과의 차이를 평가하였다.</w:t>
      </w:r>
    </w:p>
    <w:p>
      <w:r>
        <w:rPr>
          <w:b/>
          <w:i w:val="0"/>
        </w:rPr>
        <w:t>결과:</w:t>
      </w:r>
      <w:r>
        <w:rPr>
          <w:b w:val="0"/>
          <w:i w:val="0"/>
        </w:rPr>
        <w:t xml:space="preserve"> VAS는 4.37 ± 1.32점에서 1.69 ± 1.20점으로 감소하였고(P &lt; .001), KP 점수는 51.65 ± 14.11점에서 93.84 ± 8.62점, AOFAS 점수는 67.62 ± 14.62점에서 96.44 ± 5.74점으로 향상되었다(모두 P &lt; .001). </w:t>
      </w:r>
      <w:r>
        <w:rPr>
          <w:b w:val="0"/>
          <w:i w:val="0"/>
          <w:highlight w:val="cyan"/>
        </w:rPr>
        <w:t>Tegner 활동 점수는 6.27 ± 1.63점에서 6.56 ± 1.43점으로 증가하였으며(P = .005), 71예(87.7%)에서 유지 또는 향상되었다.</w:t>
      </w:r>
      <w:r>
        <w:rPr>
          <w:b w:val="0"/>
          <w:i w:val="0"/>
        </w:rPr>
        <w:t xml:space="preserve"> VAS, KP, AOFAS 및 Tegner 점수의 최종값과 수술 전후 변화량은 세 군 간 차이가 없었다(모두 P &gt; .05). FFI는 군 간 차이를 보여(P = .041) 준해부학적군에서 해부학적군보다 낮았으나</w:t>
      </w:r>
      <w:r>
        <w:rPr>
          <w:b w:val="0"/>
          <w:i w:val="0"/>
          <w:highlight w:val="cyan"/>
        </w:rPr>
        <w:t>(사후분석 P = .011) [요청 사항 5 참조]</w:t>
      </w:r>
      <w:r>
        <w:rPr>
          <w:b w:val="0"/>
          <w:i w:val="0"/>
        </w:rPr>
        <w:t>, 봉합나사 위치 비율과의 상관관계는 없었다(ρ = -0.14, P = .217). FAOS, FAAM 및 EQ-5D-5L은 군 간 차이가 없었다. 최종 거골경사각, 전방 전위, 건측과의 차이 및 수술 전후 방사선학적 변화량도 세 군 간 차이가 없었다(모두 P &gt; .05).</w:t>
      </w:r>
    </w:p>
    <w:p>
      <w:r>
        <w:rPr>
          <w:b/>
          <w:i w:val="0"/>
        </w:rPr>
        <w:t>결론:</w:t>
      </w:r>
      <w:r>
        <w:rPr>
          <w:b w:val="0"/>
          <w:i w:val="0"/>
        </w:rPr>
        <w:t xml:space="preserve"> 관절경적 변형 브로스트롬 술식 후 비골 봉합나사 위치에 따른 임상적 및 방사선학적 결과의 유의한 차이는 확인되지 않았다. 전체 환자군에서 통증과 기능 점수가 유의하게 호전되었으며, 활동 수준은 대부분 유지되거나 향상되었다.</w:t>
      </w:r>
    </w:p>
    <w:p>
      <w:r>
        <w:rPr>
          <w:b/>
          <w:i w:val="0"/>
        </w:rPr>
        <w:t>색인단어:</w:t>
      </w:r>
      <w:r>
        <w:rPr>
          <w:b w:val="0"/>
          <w:i w:val="0"/>
        </w:rPr>
        <w:t xml:space="preserve"> 전거비인대, 만성 발목 불안정성, 관절경적 변형 브로스트롬 술식, 봉합나사 위치, 3차원 컴퓨터단층촬영</w:t>
      </w:r>
    </w:p>
    <w:p>
      <w:r>
        <w:br w:type="page"/>
      </w:r>
    </w:p>
    <w:p>
      <w:pPr>
        <w:pStyle w:val="Heading1"/>
      </w:pPr>
      <w:r>
        <w:t>서론</w:t>
      </w:r>
    </w:p>
    <w:p>
      <w:r>
        <w:rPr>
          <w:b w:val="0"/>
          <w:i w:val="0"/>
        </w:rPr>
        <w:t>Broström이 처음 기술한 외측 발목 인대의 직접 해부학적 봉합술은 만성 발목 불안정성(chronic ankle instability, CAI)의 수술적 치료로 가장 선호되는 방법이며</w:t>
      </w:r>
      <w:r>
        <w:rPr>
          <w:b w:val="0"/>
          <w:i w:val="0"/>
        </w:rPr>
        <w:t>[1,2]</w:t>
      </w:r>
      <w:r>
        <w:rPr>
          <w:b w:val="0"/>
          <w:i w:val="0"/>
        </w:rPr>
        <w:t>, 하신전지대(inferior extensor retinaculum, IER)를 이용한 보강이 이 술식의 변형으로 추가되었다</w:t>
      </w:r>
      <w:r>
        <w:rPr>
          <w:b w:val="0"/>
          <w:i w:val="0"/>
        </w:rPr>
        <w:t>[3,4]</w:t>
      </w:r>
      <w:r>
        <w:rPr>
          <w:b w:val="0"/>
          <w:i w:val="0"/>
        </w:rPr>
        <w:t>. 관절경 술기의 발전과 함께 전내시경적 ATFL 봉합술과 관절경적 브로스트롬 술식이 개방적 술식의 효과적인 대안으로 자리잡았다</w:t>
      </w:r>
      <w:r>
        <w:rPr>
          <w:b w:val="0"/>
          <w:i w:val="0"/>
        </w:rPr>
        <w:t>[5-8]</w:t>
      </w:r>
      <w:r>
        <w:rPr>
          <w:b w:val="0"/>
          <w:i w:val="0"/>
        </w:rPr>
        <w:t>. 생역학 연구에서 개방적 및 관절경적 브로스트롬 봉합술은 비슷한 강도를 보였으며</w:t>
      </w:r>
      <w:r>
        <w:rPr>
          <w:b w:val="0"/>
          <w:i w:val="0"/>
        </w:rPr>
        <w:t>[9]</w:t>
      </w:r>
      <w:r>
        <w:rPr>
          <w:b w:val="0"/>
          <w:i w:val="0"/>
        </w:rPr>
        <w:t>, 임상 연구에서도 관절경적 봉합술 후 빠른 회복과 양호한 결과가 보고되었다</w:t>
      </w:r>
      <w:r>
        <w:rPr>
          <w:b w:val="0"/>
          <w:i w:val="0"/>
        </w:rPr>
        <w:t>[7,8]</w:t>
      </w:r>
      <w:r>
        <w:rPr>
          <w:b w:val="0"/>
          <w:i w:val="0"/>
        </w:rPr>
        <w:t>.</w:t>
      </w:r>
    </w:p>
    <w:p>
      <w:r>
        <w:rPr>
          <w:b w:val="0"/>
          <w:i w:val="0"/>
        </w:rPr>
        <w:t>정상 해부학의 복원은 외측 발목 인대 수술 후 좋은 예후를 위한 중요한 요소로 여겨진다</w:t>
      </w:r>
      <w:r>
        <w:rPr>
          <w:b w:val="0"/>
          <w:i w:val="0"/>
        </w:rPr>
        <w:t>[2,10]</w:t>
      </w:r>
      <w:r>
        <w:rPr>
          <w:b w:val="0"/>
          <w:i w:val="0"/>
        </w:rPr>
        <w:t>. Shoji 등</w:t>
      </w:r>
      <w:r>
        <w:rPr>
          <w:b w:val="0"/>
          <w:i w:val="0"/>
        </w:rPr>
        <w:t>[11]</w:t>
      </w:r>
      <w:r>
        <w:rPr>
          <w:b w:val="0"/>
          <w:i w:val="0"/>
        </w:rPr>
        <w:t>은 사체 연구에서 해부학적 부착부보다 근위부에 비골 골터널을 만들어 ATFL을 봉합한 경우(비해부학적 봉합) 정상 상태에 비해 내번 및 내회전 운동학과 내회전 이완이 증가하여, ATFL 결손 발목과 유사한 양상을 보인다고 하였다</w:t>
      </w:r>
      <w:r>
        <w:rPr>
          <w:b w:val="0"/>
          <w:i w:val="0"/>
        </w:rPr>
        <w:t>[11,12]</w:t>
      </w:r>
      <w:r>
        <w:rPr>
          <w:b w:val="0"/>
          <w:i w:val="0"/>
        </w:rPr>
        <w:t>. 그러나 관절경으로 비골의 ATFL 부착부를 확인하는 것은 항상 쉽지 않다. 한 사체 연구에서는 일반적인 관절경 삽입구로는 외과 첨부에서 근위부 7–10 mm 부위만 관찰되어, 의도치 않게 봉합나사가 근위부에 삽입될 가능성이 제기되었고</w:t>
      </w:r>
      <w:r>
        <w:rPr>
          <w:b w:val="0"/>
          <w:i w:val="0"/>
        </w:rPr>
        <w:t>[13]</w:t>
      </w:r>
      <w:r>
        <w:rPr>
          <w:b w:val="0"/>
          <w:i w:val="0"/>
        </w:rPr>
        <w:t>, 다른 연구에서는 관절경으로 외측 인대와 부착부를 확인하는 것이 가능하다고 보고하였다</w:t>
      </w:r>
      <w:r>
        <w:rPr>
          <w:b w:val="0"/>
          <w:i w:val="0"/>
        </w:rPr>
        <w:t>[14]</w:t>
      </w:r>
      <w:r>
        <w:rPr>
          <w:b w:val="0"/>
          <w:i w:val="0"/>
        </w:rPr>
        <w:t>. 최소 침습 수술 중 인대 부착부를 찾기 위한 골성 지표로 FOT와 FAT가 제시되었다</w:t>
      </w:r>
      <w:r>
        <w:rPr>
          <w:b w:val="0"/>
          <w:i w:val="0"/>
        </w:rPr>
        <w:t>[15,16]</w:t>
      </w:r>
      <w:r>
        <w:rPr>
          <w:b w:val="0"/>
          <w:i w:val="0"/>
        </w:rPr>
        <w:t>.</w:t>
      </w:r>
    </w:p>
    <w:p>
      <w:r>
        <w:rPr>
          <w:b w:val="0"/>
          <w:i w:val="0"/>
        </w:rPr>
        <w:t>Lee 등</w:t>
      </w:r>
      <w:r>
        <w:rPr>
          <w:b w:val="0"/>
          <w:i w:val="0"/>
        </w:rPr>
        <w:t>[2]</w:t>
      </w:r>
      <w:r>
        <w:rPr>
          <w:b w:val="0"/>
          <w:i w:val="0"/>
        </w:rPr>
        <w:t>은 술후 3차원 CT를 이용하여 전내시경적 ATFL 봉합술 후 비골 봉합나사의 위치를 FAT와 FOT 사이의 상대적 위치에 따라 분류하였고, 높은 위치에 봉합나사를 삽입한 비해부학적 봉합군이 해부학적 봉합군에 비해 FAOS, Karlsson 점수 및 자세 검사상 낙상 위험도가 불량하였으나 스트레스 방사선 결과에는 군 간 차이가 없었다고 보고하였다. 이 연구의 술식은 단일 무매듭 봉합나사를 이용한 ATFL 봉합술이었다</w:t>
      </w:r>
      <w:r>
        <w:rPr>
          <w:b w:val="0"/>
          <w:i w:val="0"/>
        </w:rPr>
        <w:t>[2,17]</w:t>
      </w:r>
      <w:r>
        <w:rPr>
          <w:b w:val="0"/>
          <w:i w:val="0"/>
        </w:rPr>
        <w:t>. 관절경적 변형 브로스트롬 술식</w:t>
      </w:r>
      <w:r>
        <w:rPr>
          <w:b w:val="0"/>
          <w:i w:val="0"/>
          <w:highlight w:val="yellow"/>
        </w:rPr>
        <w:t>[하신전지대 보강 포함 여부 확인]</w:t>
      </w:r>
      <w:r>
        <w:rPr>
          <w:b w:val="0"/>
          <w:i w:val="0"/>
        </w:rPr>
        <w:t>에서도, 그리고 더 다양한 환자 보고 결과 지표를 사용하였을 때에도 봉합나사 위치가 결과에 비슷한 영향을 미치는지는 아직 명확하지 않다.</w:t>
      </w:r>
    </w:p>
    <w:p>
      <w:r>
        <w:rPr>
          <w:b w:val="0"/>
          <w:i w:val="0"/>
        </w:rPr>
        <w:t>이에 본 연구에서는 Lee 등</w:t>
      </w:r>
      <w:r>
        <w:rPr>
          <w:b w:val="0"/>
          <w:i w:val="0"/>
        </w:rPr>
        <w:t>[2]</w:t>
      </w:r>
      <w:r>
        <w:rPr>
          <w:b w:val="0"/>
          <w:i w:val="0"/>
        </w:rPr>
        <w:t>이 제시한 3차원 CT 분류를 이용하여 관절경적 변형 브로스트롬 술식 후 비골 봉합나사 위치에 따른 임상 및 방사선학적 결과를 비교하고자 하였다. 이전 보고와 같이 봉합나사 위치에 따라 결과에 차이가 있을 것이라는 가설을 세웠다.</w:t>
      </w:r>
    </w:p>
    <w:p>
      <w:pPr>
        <w:pStyle w:val="Heading1"/>
      </w:pPr>
      <w:r>
        <w:t>대상 및 방법</w:t>
      </w:r>
    </w:p>
    <w:p>
      <w:pPr>
        <w:pStyle w:val="Heading2"/>
      </w:pPr>
      <w:r>
        <w:t>연구 대상</w:t>
      </w:r>
    </w:p>
    <w:p>
      <w:r>
        <w:rPr>
          <w:b w:val="0"/>
          <w:i w:val="0"/>
        </w:rPr>
        <w:t xml:space="preserve">본 후향적 연구는 </w:t>
      </w:r>
      <w:r>
        <w:rPr>
          <w:b w:val="0"/>
          <w:i w:val="0"/>
          <w:highlight w:val="yellow"/>
        </w:rPr>
        <w:t>[기관]</w:t>
      </w:r>
      <w:r>
        <w:rPr>
          <w:b w:val="0"/>
          <w:i w:val="0"/>
        </w:rPr>
        <w:t xml:space="preserve"> 기관윤리심의위원회의 승인(</w:t>
      </w:r>
      <w:r>
        <w:rPr>
          <w:b w:val="0"/>
          <w:i w:val="0"/>
          <w:highlight w:val="yellow"/>
        </w:rPr>
        <w:t>[승인번호]</w:t>
      </w:r>
      <w:r>
        <w:rPr>
          <w:b w:val="0"/>
          <w:i w:val="0"/>
        </w:rPr>
        <w:t xml:space="preserve">)을 받았으며, 동의서는 </w:t>
      </w:r>
      <w:r>
        <w:rPr>
          <w:b w:val="0"/>
          <w:i w:val="0"/>
          <w:highlight w:val="yellow"/>
        </w:rPr>
        <w:t>[면제 / 취득]</w:t>
      </w:r>
      <w:r>
        <w:rPr>
          <w:b w:val="0"/>
          <w:i w:val="0"/>
        </w:rPr>
        <w:t>되었다. 2018년 5월부터 2024년 12월까지 CAI로 관절경적 변형 브로스트롬 술식을 시행받은 환자</w:t>
      </w:r>
      <w:r>
        <w:rPr>
          <w:b w:val="0"/>
          <w:i w:val="0"/>
          <w:highlight w:val="yellow"/>
        </w:rPr>
        <w:t>[단일 술자 여부 확인]</w:t>
      </w:r>
      <w:r>
        <w:rPr>
          <w:b w:val="0"/>
          <w:i w:val="0"/>
        </w:rPr>
        <w:t xml:space="preserve">를 대상으로 하였다. 포함 기준은 (1) </w:t>
      </w:r>
      <w:r>
        <w:rPr>
          <w:b w:val="0"/>
          <w:i w:val="0"/>
          <w:highlight w:val="yellow"/>
        </w:rPr>
        <w:t>[ ]</w:t>
      </w:r>
      <w:r>
        <w:rPr>
          <w:b w:val="0"/>
          <w:i w:val="0"/>
        </w:rPr>
        <w:t xml:space="preserve">개월 이상의 보존적 치료에 실패한 CAI, (2) 관절경적 변형 브로스트롬 술식 시행, (3) 술후 3차원 CT 시행, (4) 최소 2년 이상 임상 추시가 가능한 경우였다. 제외 기준은 </w:t>
      </w:r>
      <w:r>
        <w:rPr>
          <w:b w:val="0"/>
          <w:i w:val="0"/>
          <w:highlight w:val="yellow"/>
        </w:rPr>
        <w:t>[예: 동측 발목의 이전 수술, 관절염, 인대 재건술이나 절골술 등 동반 술식, 신경근육 질환 — 기입 요청]</w:t>
      </w:r>
      <w:r>
        <w:rPr>
          <w:b w:val="0"/>
          <w:i w:val="0"/>
        </w:rPr>
        <w:t xml:space="preserve">이었다. 총 </w:t>
      </w:r>
      <w:r>
        <w:rPr>
          <w:b w:val="0"/>
          <w:i w:val="0"/>
          <w:highlight w:val="yellow"/>
        </w:rPr>
        <w:t>[ ]</w:t>
      </w:r>
      <w:r>
        <w:rPr>
          <w:b w:val="0"/>
          <w:i w:val="0"/>
        </w:rPr>
        <w:t xml:space="preserve">예 중 </w:t>
      </w:r>
      <w:r>
        <w:rPr>
          <w:b w:val="0"/>
          <w:i w:val="0"/>
          <w:highlight w:val="yellow"/>
        </w:rPr>
        <w:t>[ ]</w:t>
      </w:r>
      <w:r>
        <w:rPr>
          <w:b w:val="0"/>
          <w:i w:val="0"/>
        </w:rPr>
        <w:t>예가 제외되어(</w:t>
      </w:r>
      <w:r>
        <w:rPr>
          <w:b w:val="0"/>
          <w:i w:val="0"/>
          <w:highlight w:val="yellow"/>
        </w:rPr>
        <w:t>[사유]</w:t>
      </w:r>
      <w:r>
        <w:rPr>
          <w:b w:val="0"/>
          <w:i w:val="0"/>
        </w:rPr>
        <w:t>), 최종 80명 81예(1명은 양측 수술)를 분석하였다(그림 1).</w:t>
      </w:r>
    </w:p>
    <w:p>
      <w:pPr>
        <w:pStyle w:val="Heading2"/>
      </w:pPr>
      <w:r>
        <w:t>수술 방법</w:t>
      </w:r>
    </w:p>
    <w:p>
      <w:r>
        <w:rPr>
          <w:b w:val="0"/>
          <w:i w:val="0"/>
          <w:highlight w:val="yellow"/>
        </w:rPr>
        <w:t>[기입 요청: 마취와 체위; 삽입구와 관절경; 진단적 관절경과 관절 내 병변 처치; ATFL 잔여 조직 평가; 봉합나사 종류, 크기, 개수; 비골 봉합나사 삽입 방법과 목표 위치(예: FOT와의 관계); 봉합사 통과 및 긴장 조절; 하신전지대(Gould) 보강; 종비인대 처치]</w:t>
      </w:r>
    </w:p>
    <w:p>
      <w:pPr>
        <w:pStyle w:val="Heading2"/>
      </w:pPr>
      <w:r>
        <w:t>술후 재활</w:t>
      </w:r>
    </w:p>
    <w:p>
      <w:r>
        <w:rPr>
          <w:b w:val="0"/>
          <w:i w:val="0"/>
          <w:highlight w:val="yellow"/>
        </w:rPr>
        <w:t>[기입 요청: 고정 방법과 기간, 체중부하 진행, 관절 운동 및 근력 강화 프로그램, 운동 복귀 시점]</w:t>
      </w:r>
    </w:p>
    <w:p>
      <w:pPr>
        <w:pStyle w:val="Heading2"/>
      </w:pPr>
      <w:r>
        <w:t>3차원 CT를 이용한 봉합나사 위치 측정</w:t>
      </w:r>
    </w:p>
    <w:p>
      <w:r>
        <w:rPr>
          <w:b w:val="0"/>
          <w:i w:val="0"/>
        </w:rPr>
        <w:t xml:space="preserve">술후 </w:t>
      </w:r>
      <w:r>
        <w:rPr>
          <w:b w:val="0"/>
          <w:i w:val="0"/>
          <w:highlight w:val="yellow"/>
        </w:rPr>
        <w:t>[시점]</w:t>
      </w:r>
      <w:r>
        <w:rPr>
          <w:b w:val="0"/>
          <w:i w:val="0"/>
        </w:rPr>
        <w:t xml:space="preserve">에 </w:t>
      </w:r>
      <w:r>
        <w:rPr>
          <w:b w:val="0"/>
          <w:i w:val="0"/>
          <w:highlight w:val="yellow"/>
        </w:rPr>
        <w:t>[장비]</w:t>
      </w:r>
      <w:r>
        <w:rPr>
          <w:b w:val="0"/>
          <w:i w:val="0"/>
        </w:rPr>
        <w:t xml:space="preserve">로 CT를 촬영하였고, </w:t>
      </w:r>
      <w:r>
        <w:rPr>
          <w:b w:val="0"/>
          <w:i w:val="0"/>
          <w:highlight w:val="yellow"/>
        </w:rPr>
        <w:t>[프로그램]</w:t>
      </w:r>
      <w:r>
        <w:rPr>
          <w:b w:val="0"/>
          <w:i w:val="0"/>
        </w:rPr>
        <w:t>으로 3차원 재구성을 시행하였다. Lee 등</w:t>
      </w:r>
      <w:r>
        <w:rPr>
          <w:b w:val="0"/>
          <w:i w:val="0"/>
        </w:rPr>
        <w:t>[2]</w:t>
      </w:r>
      <w:r>
        <w:rPr>
          <w:b w:val="0"/>
          <w:i w:val="0"/>
        </w:rPr>
        <w:t>의 방법에 따라 재구성 영상을 원위 비골의 정측면상이 되도록 회전시킨 후 FAT, FOT 및 봉합나사 중심을 확인하였다(그림 2). 봉합나사 중심에서 FOT까지의 거리를 FAT와 FOT 사이 거리로 나누어 백분율로 표시하였다. 비골 ATFL 부착부에 대한 사체 연구</w:t>
      </w:r>
      <w:r>
        <w:rPr>
          <w:b w:val="0"/>
          <w:i w:val="0"/>
        </w:rPr>
        <w:t>[15,16,18,19]</w:t>
      </w:r>
      <w:r>
        <w:rPr>
          <w:b w:val="0"/>
          <w:i w:val="0"/>
        </w:rPr>
        <w:t>를 근거로 Lee 등</w:t>
      </w:r>
      <w:r>
        <w:rPr>
          <w:b w:val="0"/>
          <w:i w:val="0"/>
        </w:rPr>
        <w:t>[2]</w:t>
      </w:r>
      <w:r>
        <w:rPr>
          <w:b w:val="0"/>
          <w:i w:val="0"/>
        </w:rPr>
        <w:t xml:space="preserve">은 FOT와 FAT 사이의 하방 1/4을 해부학적 위치로 정의하였으며, 이에 따라 해부학적군(25% 미만), 준해부학적군(25% 이상 50% 미만), 비해부학적군(50% 이상)으로 분류하였다. 측정은 </w:t>
      </w:r>
      <w:r>
        <w:rPr>
          <w:b w:val="0"/>
          <w:i w:val="0"/>
          <w:highlight w:val="yellow"/>
        </w:rPr>
        <w:t>[측정자 수, 직종, 맹검 여부]</w:t>
      </w:r>
      <w:r>
        <w:rPr>
          <w:b w:val="0"/>
          <w:i w:val="0"/>
        </w:rPr>
        <w:t xml:space="preserve">가 시행하였고 측정 신뢰도는 </w:t>
      </w:r>
      <w:r>
        <w:rPr>
          <w:b w:val="0"/>
          <w:i w:val="0"/>
          <w:highlight w:val="yellow"/>
        </w:rPr>
        <w:t>[ICC / kappa]</w:t>
      </w:r>
      <w:r>
        <w:rPr>
          <w:b w:val="0"/>
          <w:i w:val="0"/>
        </w:rPr>
        <w:t>였다.</w:t>
      </w:r>
    </w:p>
    <w:p>
      <w:pPr>
        <w:pStyle w:val="Heading2"/>
      </w:pPr>
      <w:r>
        <w:t>임상적 평가</w:t>
      </w:r>
    </w:p>
    <w:p>
      <w:r>
        <w:rPr>
          <w:b w:val="0"/>
          <w:i w:val="0"/>
        </w:rPr>
        <w:t>통증은 10점 척도의 VAS로, 기능은 KP 점수</w:t>
      </w:r>
      <w:r>
        <w:rPr>
          <w:b w:val="0"/>
          <w:i w:val="0"/>
        </w:rPr>
        <w:t>[20]</w:t>
      </w:r>
      <w:r>
        <w:rPr>
          <w:b w:val="0"/>
          <w:i w:val="0"/>
        </w:rPr>
        <w:t>와 AOFAS 발목-후족부 점수</w:t>
      </w:r>
      <w:r>
        <w:rPr>
          <w:b w:val="0"/>
          <w:i w:val="0"/>
        </w:rPr>
        <w:t>[21]</w:t>
      </w:r>
      <w:r>
        <w:rPr>
          <w:b w:val="0"/>
          <w:i w:val="0"/>
        </w:rPr>
        <w:t>로, 활동 수준은 Tegner 활동 점수</w:t>
      </w:r>
      <w:r>
        <w:rPr>
          <w:b w:val="0"/>
          <w:i w:val="0"/>
        </w:rPr>
        <w:t>[22]</w:t>
      </w:r>
      <w:r>
        <w:rPr>
          <w:b w:val="0"/>
          <w:i w:val="0"/>
        </w:rPr>
        <w:t>로 평가하였으며, 이 4가지 점수는 수술 전과 최종 추시 시점에 평가하였다. 최종 추시 시에는 FFI</w:t>
      </w:r>
      <w:r>
        <w:rPr>
          <w:b w:val="0"/>
          <w:i w:val="0"/>
        </w:rPr>
        <w:t>[23]</w:t>
      </w:r>
      <w:r>
        <w:rPr>
          <w:b w:val="0"/>
          <w:i w:val="0"/>
        </w:rPr>
        <w:t>, FAOS</w:t>
      </w:r>
      <w:r>
        <w:rPr>
          <w:b w:val="0"/>
          <w:i w:val="0"/>
        </w:rPr>
        <w:t>[24]</w:t>
      </w:r>
      <w:r>
        <w:rPr>
          <w:b w:val="0"/>
          <w:i w:val="0"/>
        </w:rPr>
        <w:t>, FAAM 일상생활(activities of daily living, ADL) 및 스포츠 하위척도</w:t>
      </w:r>
      <w:r>
        <w:rPr>
          <w:b w:val="0"/>
          <w:i w:val="0"/>
        </w:rPr>
        <w:t>[25]</w:t>
      </w:r>
      <w:r>
        <w:rPr>
          <w:b w:val="0"/>
          <w:i w:val="0"/>
        </w:rPr>
        <w:t>, EQ-5D-5L</w:t>
      </w:r>
      <w:r>
        <w:rPr>
          <w:b w:val="0"/>
          <w:i w:val="0"/>
        </w:rPr>
        <w:t>[26]</w:t>
      </w:r>
      <w:r>
        <w:rPr>
          <w:b w:val="0"/>
          <w:i w:val="0"/>
        </w:rPr>
        <w:t xml:space="preserve">을 추가로 평가하였다. </w:t>
      </w:r>
      <w:r>
        <w:rPr>
          <w:b w:val="0"/>
          <w:i w:val="0"/>
          <w:highlight w:val="cyan"/>
        </w:rPr>
        <w:t>FAOS는 5개 하위척도(통증, 증상, 일상생활, 스포츠/여가, 삶의 질)와 그 평균을 제시하였고, EQ-5D-5L은 5개 차원 수준의 합(범위 5–25, 낮을수록 양호)으로 제시하였다.</w:t>
      </w:r>
      <w:r>
        <w:rPr>
          <w:b w:val="0"/>
          <w:i w:val="0"/>
        </w:rPr>
        <w:t xml:space="preserve"> </w:t>
      </w:r>
      <w:r>
        <w:rPr>
          <w:b w:val="0"/>
          <w:i w:val="0"/>
          <w:highlight w:val="yellow"/>
        </w:rPr>
        <w:t>[정의 및 한국어판 사용 여부와 인용문헌 확인]</w:t>
      </w:r>
      <w:r>
        <w:rPr>
          <w:b w:val="0"/>
          <w:i w:val="0"/>
        </w:rPr>
        <w:t xml:space="preserve"> 전신 관절 이완성은 Beighton 점수</w:t>
      </w:r>
      <w:r>
        <w:rPr>
          <w:b w:val="0"/>
          <w:i w:val="0"/>
        </w:rPr>
        <w:t>[27]</w:t>
      </w:r>
      <w:r>
        <w:rPr>
          <w:b w:val="0"/>
          <w:i w:val="0"/>
        </w:rPr>
        <w:t xml:space="preserve">로 평가하였다. 최종 평가는 술후 평균 </w:t>
      </w:r>
      <w:r>
        <w:rPr>
          <w:b w:val="0"/>
          <w:i w:val="0"/>
          <w:highlight w:val="yellow"/>
        </w:rPr>
        <w:t>[ ]</w:t>
      </w:r>
      <w:r>
        <w:rPr>
          <w:b w:val="0"/>
          <w:i w:val="0"/>
        </w:rPr>
        <w:t xml:space="preserve">개월(범위, </w:t>
      </w:r>
      <w:r>
        <w:rPr>
          <w:b w:val="0"/>
          <w:i w:val="0"/>
          <w:highlight w:val="yellow"/>
        </w:rPr>
        <w:t>[ ]</w:t>
      </w:r>
      <w:r>
        <w:rPr>
          <w:b w:val="0"/>
          <w:i w:val="0"/>
        </w:rPr>
        <w:t xml:space="preserve">)에 </w:t>
      </w:r>
      <w:r>
        <w:rPr>
          <w:b w:val="0"/>
          <w:i w:val="0"/>
          <w:highlight w:val="yellow"/>
        </w:rPr>
        <w:t>[외래 / 전화]</w:t>
      </w:r>
      <w:r>
        <w:rPr>
          <w:b w:val="0"/>
          <w:i w:val="0"/>
        </w:rPr>
        <w:t>로 시행하였다.</w:t>
      </w:r>
    </w:p>
    <w:p>
      <w:pPr>
        <w:pStyle w:val="Heading2"/>
      </w:pPr>
      <w:r>
        <w:t>방사선학적 평가</w:t>
      </w:r>
    </w:p>
    <w:p>
      <w:r>
        <w:rPr>
          <w:b w:val="0"/>
          <w:i w:val="0"/>
        </w:rPr>
        <w:t xml:space="preserve">수술 전과 최종 추시 시 </w:t>
      </w:r>
      <w:r>
        <w:rPr>
          <w:b w:val="0"/>
          <w:i w:val="0"/>
          <w:highlight w:val="yellow"/>
        </w:rPr>
        <w:t>[장비, 하중]</w:t>
      </w:r>
      <w:r>
        <w:rPr>
          <w:b w:val="0"/>
          <w:i w:val="0"/>
        </w:rPr>
        <w:t>를 이용하여 스트레스 방사선 사진을 촬영하였다. 전후면 스트레스 사진에서 거골경사각(°)을, 측면 스트레스 사진에서 전방 전위(mm)를 측정하였다</w:t>
      </w:r>
      <w:r>
        <w:rPr>
          <w:b w:val="0"/>
          <w:i w:val="0"/>
          <w:highlight w:val="yellow"/>
        </w:rPr>
        <w:t>[측정 방법 확인]</w:t>
      </w:r>
      <w:r>
        <w:rPr>
          <w:b w:val="0"/>
          <w:i w:val="0"/>
        </w:rPr>
        <w:t xml:space="preserve">. 같은 시점에 건측 발목의 스트레스 사진도 촬영하였으며, 건측과의 차이는 환측 값에서 건측 값을 뺀 값으로 정의하였다. 측정은 </w:t>
      </w:r>
      <w:r>
        <w:rPr>
          <w:b w:val="0"/>
          <w:i w:val="0"/>
          <w:highlight w:val="yellow"/>
        </w:rPr>
        <w:t>[ ]</w:t>
      </w:r>
      <w:r>
        <w:rPr>
          <w:b w:val="0"/>
          <w:i w:val="0"/>
        </w:rPr>
        <w:t>가 시행하였다.</w:t>
      </w:r>
    </w:p>
    <w:p>
      <w:pPr>
        <w:pStyle w:val="Heading2"/>
      </w:pPr>
      <w:r>
        <w:t>통계 분석</w:t>
      </w:r>
    </w:p>
    <w:p>
      <w:r>
        <w:rPr>
          <w:b w:val="0"/>
          <w:i w:val="0"/>
        </w:rPr>
        <w:t>연속변수는 평균 ± 표준편차로 제시하였다. 세 군 간 비교는 연속변수에 Kruskal-Wallis 검정을, 범주형 변수에 카이제곱 검정을 사용하였다. Kruskal-Wallis 검정이 유의한 경우 Lee 등</w:t>
      </w:r>
      <w:r>
        <w:rPr>
          <w:b w:val="0"/>
          <w:i w:val="0"/>
        </w:rPr>
        <w:t>[2]</w:t>
      </w:r>
      <w:r>
        <w:rPr>
          <w:b w:val="0"/>
          <w:i w:val="0"/>
        </w:rPr>
        <w:t xml:space="preserve">과 같이 Mann-Whitney U 검정으로 사후 분석을 시행하고 Bonferroni 보정에 따라 유의수준을 P &lt; .017로 설정하였다. 수술 전과 최종 추시 값은 Wilcoxon 부호순위 검정으로 비교하였다. 봉합나사 위치를 연속변수로 평가하기 위해 봉합나사 위치 비율과 결과 변수 간 Spearman 순위 상관계수를 구하였다. 통계적 유의수준은 P &lt; .05로 하였다. </w:t>
      </w:r>
      <w:r>
        <w:rPr>
          <w:b w:val="0"/>
          <w:i w:val="0"/>
          <w:highlight w:val="cyan"/>
        </w:rPr>
        <w:t>본 초안의 분석은 Python(SciPy 1.17)으로 시행하였다.</w:t>
      </w:r>
      <w:r>
        <w:rPr>
          <w:b w:val="0"/>
          <w:i w:val="0"/>
        </w:rPr>
        <w:t xml:space="preserve"> </w:t>
      </w:r>
      <w:r>
        <w:rPr>
          <w:b w:val="0"/>
          <w:i w:val="0"/>
          <w:highlight w:val="yellow"/>
        </w:rPr>
        <w:t>[실제 사용한 프로그램으로 교체]</w:t>
      </w:r>
      <w:r>
        <w:rPr>
          <w:b w:val="0"/>
          <w:i w:val="0"/>
        </w:rPr>
        <w:t xml:space="preserve"> </w:t>
      </w:r>
      <w:r>
        <w:rPr>
          <w:b w:val="0"/>
          <w:i w:val="0"/>
          <w:highlight w:val="yellow"/>
        </w:rPr>
        <w:t>[검정력 분석]</w:t>
      </w:r>
    </w:p>
    <w:p>
      <w:pPr>
        <w:pStyle w:val="Heading1"/>
      </w:pPr>
      <w:r>
        <w:t>결과</w:t>
      </w:r>
    </w:p>
    <w:p>
      <w:pPr>
        <w:pStyle w:val="Heading2"/>
      </w:pPr>
      <w:r>
        <w:t>환자 특성</w:t>
      </w:r>
    </w:p>
    <w:p>
      <w:r>
        <w:rPr>
          <w:b w:val="0"/>
          <w:i w:val="0"/>
        </w:rPr>
        <w:t>총 80명 81예(남자 35명, 여자 45명)가 포함되었다. 수술 시 평균 나이는 31.2 ± 13.6세(범위, 15–69세)였고, 우측 44예, 좌측 37예였다. 봉합나사 위치 비율은 전체 38.4 ± 16.8%, 해부학적군 21.9 ± 3.0%(29예, 35.8%), 준해부학적군 39.0 ± 6.6%(35예, 43.2%), 비해부학적군 65.1 ± 7.8%(17예, 21.0%)였다. 나이, 성별, 수술 부위, 체질량지수, Beighton 점수 및 술전 임상·방사선학적 지표는 세 군 간 유의한 차이가 없었다(표 1).</w:t>
      </w:r>
    </w:p>
    <w:p>
      <w:pPr>
        <w:pStyle w:val="Heading2"/>
      </w:pPr>
      <w:r>
        <w:t>임상적 결과</w:t>
      </w:r>
    </w:p>
    <w:p>
      <w:r>
        <w:rPr>
          <w:b w:val="0"/>
          <w:i w:val="0"/>
        </w:rPr>
        <w:t xml:space="preserve">전체 환자군에서 VAS는 술전 4.37 ± 1.32점에서 최종 추시 시 1.69 ± 1.20점으로 감소하였고, KP 점수는 51.65 ± 14.11점에서 93.84 ± 8.62점으로, AOFAS 점수는 67.62 ± 14.62점에서 96.44 ± 5.74점으로 향상되었다(모두 P &lt; .001). 이러한 호전은 각 군 내에서도 모두 유의하였다(표 2). </w:t>
      </w:r>
      <w:r>
        <w:rPr>
          <w:b w:val="0"/>
          <w:i w:val="0"/>
          <w:highlight w:val="cyan"/>
        </w:rPr>
        <w:t>Tegner 활동 점수는 6.27 ± 1.63점에서 6.56 ± 1.43점으로 증가하였으며(P = .005)</w:t>
      </w:r>
      <w:r>
        <w:rPr>
          <w:b w:val="0"/>
          <w:i w:val="0"/>
        </w:rPr>
        <w:t xml:space="preserve">, 26예에서 향상, 45예에서 유지, 10예에서 감소하여 </w:t>
      </w:r>
      <w:r>
        <w:rPr>
          <w:b w:val="0"/>
          <w:i w:val="0"/>
          <w:highlight w:val="cyan"/>
        </w:rPr>
        <w:t>71예(87.7%)</w:t>
      </w:r>
      <w:r>
        <w:rPr>
          <w:b w:val="0"/>
          <w:i w:val="0"/>
        </w:rPr>
        <w:t>에서 유지 또는 향상되었다. Tegner 점수가 유지 또는 향상된 비율은 군 간 차이가 없었다(P = .193).</w:t>
      </w:r>
    </w:p>
    <w:p>
      <w:r>
        <w:rPr>
          <w:b w:val="0"/>
          <w:i w:val="0"/>
        </w:rPr>
        <w:t xml:space="preserve">VAS, KP, AOFAS 및 Tegner 점수의 최종값과 수술 전후 변화량은 세 군 간 유의한 차이가 없었다(모두 P &gt; .05, 표 2). 최종 추시 시에만 평가한 지표 중 FFI는 군 간 유의한 차이를 보였다(P = .041). 사후 분석에서 준해부학적군의 FFI가 해부학적군보다 낮았으나(양호; 2.06 ± 3.57 vs 3.72 ± 4.16, P = .011), 두 군 모두 비해부학적군과는 차이가 없었다(각각 P = .373, P = .298). </w:t>
      </w:r>
      <w:r>
        <w:rPr>
          <w:b w:val="0"/>
          <w:i w:val="0"/>
          <w:highlight w:val="cyan"/>
        </w:rPr>
        <w:t>[요청 사항 5 참조 — 초록에는 보정 후 유의하지 않다고 기술됨]</w:t>
      </w:r>
      <w:r>
        <w:rPr>
          <w:b w:val="0"/>
          <w:i w:val="0"/>
        </w:rPr>
        <w:t xml:space="preserve"> FAOS(총점 및 5개 하위척도), FAAM 일상생활 및 스포츠 하위척도, EQ-5D-5L은 군 간 차이가 없었다(표 3).</w:t>
      </w:r>
    </w:p>
    <w:p>
      <w:pPr>
        <w:pStyle w:val="Heading2"/>
      </w:pPr>
      <w:r>
        <w:t>방사선학적 결과</w:t>
      </w:r>
    </w:p>
    <w:p>
      <w:r>
        <w:rPr>
          <w:b w:val="0"/>
          <w:i w:val="0"/>
        </w:rPr>
        <w:t>최종 스트레스 방사선 사진은 72예(해부학적군 27예, 준해부학적군 33예, 비해부학적군 12예)에서 확보되었다. 거골경사각은 9.33 ± 4.56°에서 6.51 ± 3.62°로, 전방 전위는 6.01 ± 1.91 mm에서 4.94 ± 1.37 mm로 감소하였다(모두 P &lt; .001). 건측과의 거골경사각 차이는 4.14 ± 4.78°에서 1.48 ± 3.24°로(P &lt; .001), 전방 전위 차이는 0.52 ± 1.62 mm에서 -0.02 ± 1.28 mm로 감소하였다(P = .010, 71예). 최종 거골경사각, 전방 전위, 건측과의 차이 및 수술 전후 변화량은 세 군 간 차이가 없었다(모두 P &gt; .05, 표 4). 군 내 비교에서 거골경사각은 세 군 모두 유의하게 감소하였으나, 전방 전위는 해부학적군과 준해부학적군에서만 유의하게 감소하였고 비해부학적군에서는 유의하지 않았다(5.67 ± 1.61 mm → 5.58 ± 1.70 mm, P = .850, 12예).</w:t>
      </w:r>
    </w:p>
    <w:p>
      <w:pPr>
        <w:pStyle w:val="Heading2"/>
      </w:pPr>
      <w:r>
        <w:t>연속변수로서의 봉합나사 위치</w:t>
      </w:r>
    </w:p>
    <w:p>
      <w:r>
        <w:rPr>
          <w:b w:val="0"/>
          <w:i w:val="0"/>
        </w:rPr>
        <w:t>봉합나사 위치 비율은 최종 VAS, KP, AOFAS, Tegner, FFI, FAOS, FAAM 및 EQ-5D-5L 점수와 유의한 상관관계가 없었다(표 5). 봉합나사 위치 비율과 AOFAS 변화량(ρ = 0.23, P = .037), 거골경사각 변화량(ρ = 0.25, P = .033), 최종 건측과의 거골경사각 차이(ρ = -0.25, P = .032) 사이에 약한 상관관계가 관찰되었으나, 그 방향이 일정하지 않아 봉합나사가 높을수록 결과가 불량하다는 일관된 경향은 보이지 않았다</w:t>
      </w:r>
      <w:r>
        <w:rPr>
          <w:b w:val="0"/>
          <w:i w:val="0"/>
          <w:highlight w:val="cyan"/>
        </w:rPr>
        <w:t>[해석 확인; 다중비교 보정 전 값]</w:t>
      </w:r>
      <w:r>
        <w:rPr>
          <w:b w:val="0"/>
          <w:i w:val="0"/>
        </w:rPr>
        <w:t>.</w:t>
      </w:r>
    </w:p>
    <w:p>
      <w:pPr>
        <w:pStyle w:val="Heading1"/>
      </w:pPr>
      <w:r>
        <w:t>고찰</w:t>
      </w:r>
    </w:p>
    <w:p>
      <w:r>
        <w:rPr>
          <w:b w:val="0"/>
          <w:i w:val="0"/>
        </w:rPr>
        <w:t>본 연구의 주요 결과는 관절경적 변형 브로스트롬 술식 후 3차원 CT로 측정한 비골 봉합나사 위치에 따라 임상 및 방사선학적 결과에 유의한 차이가 없었다는 것이다. 세 군 모두에서 통증, KP 및 AOFAS 점수가 유의하게 호전되었고 호전 정도도 군 간 비슷하였으며, 87.7%에서 활동 수준이 유지 또는 향상되었다. 최종 추시 시 스트레스 방사선상 안정성과 술전 대비 변화량도 군 간 비슷하였다. 따라서 봉합나사 위치에 따라 결과가 다를 것이라는 가설은 지지되지 않았다.</w:t>
      </w:r>
    </w:p>
    <w:p>
      <w:r>
        <w:rPr>
          <w:b w:val="0"/>
          <w:i w:val="0"/>
        </w:rPr>
        <w:t>이는 전내시경적 ATFL 봉합술 후 비해부학적군에서 FAOS, Karlsson 점수 및 자세 검사상 낙상 위험도가 불량하였다는 Lee 등</w:t>
      </w:r>
      <w:r>
        <w:rPr>
          <w:b w:val="0"/>
          <w:i w:val="0"/>
        </w:rPr>
        <w:t>[2]</w:t>
      </w:r>
      <w:r>
        <w:rPr>
          <w:b w:val="0"/>
          <w:i w:val="0"/>
        </w:rPr>
        <w:t>의 결과와 다르다. 두 연구의 봉합나사 위치 분포는 비슷하였고(해부학적, 준해부학적, 비해부학적: 본 연구 35.8%, 43.2%, 21.0% vs Lee 등 30.0%, 52.5%, 17.5%), 같은 3차원 CT 분류를 사용하였으므로 군 분류의 차이로 이 차이를 설명하기는 어렵다. 몇 가지 요인을 고려할 수 있다. 첫째, 술식이 달랐다. Lee 등은 추가 보강 없이 단일 무매듭 봉합나사로 ATFL을 봉합하였으나</w:t>
      </w:r>
      <w:r>
        <w:rPr>
          <w:b w:val="0"/>
          <w:i w:val="0"/>
        </w:rPr>
        <w:t>[2,17]</w:t>
      </w:r>
      <w:r>
        <w:rPr>
          <w:b w:val="0"/>
          <w:i w:val="0"/>
        </w:rPr>
        <w:t>, 본 연구의 환자들은 관절경적 변형 브로스트롬 술식</w:t>
      </w:r>
      <w:r>
        <w:rPr>
          <w:b w:val="0"/>
          <w:i w:val="0"/>
          <w:highlight w:val="yellow"/>
        </w:rPr>
        <w:t>[하신전지대 보강 여부 확인]</w:t>
      </w:r>
      <w:r>
        <w:rPr>
          <w:b w:val="0"/>
          <w:i w:val="0"/>
        </w:rPr>
        <w:t xml:space="preserve">을 시행받았다. </w:t>
      </w:r>
      <w:r>
        <w:rPr>
          <w:b w:val="0"/>
          <w:i w:val="0"/>
          <w:highlight w:val="cyan"/>
        </w:rPr>
        <w:t>추가 보강이 봉합나사 위치와 관계없이 안정성과 기능에 기여하였을 가능성이 있으나, 본 연구는 이를 검증하도록 설계되지 않았으며, Lee 등[28]은 전내시경적 ATFL 봉합술 후 하신전지대 보강의 추가 이득이 없다고 보고하였다.</w:t>
      </w:r>
      <w:r>
        <w:rPr>
          <w:b w:val="0"/>
          <w:i w:val="0"/>
        </w:rPr>
        <w:t xml:space="preserve"> 둘째, Lee 등의 비해부학적군의 술후 점수는 본 연구의 비해부학적군보다 상당히 낮았으며(예: Karlsson 점수 45.4 ± 27.4 vs KP 점수 95.1 ± 9.3점), 해당 군에서는 대부분의 주관적 점수가 유의하게 호전되지 않았다</w:t>
      </w:r>
      <w:r>
        <w:rPr>
          <w:b w:val="0"/>
          <w:i w:val="0"/>
        </w:rPr>
        <w:t>[2]</w:t>
      </w:r>
      <w:r>
        <w:rPr>
          <w:b w:val="0"/>
          <w:i w:val="0"/>
        </w:rPr>
        <w:t xml:space="preserve">. 반면 본 연구에서는 세 군 모두 최종 추시 시 점수가 높았는데, 이는 환자군, 술기 또는 재활의 차이를 반영할 수 있으며, 천장 효과로 인해 작은 군 간 차이를 검출하기 어려웠을 가능성도 있다. 셋째, </w:t>
      </w:r>
      <w:r>
        <w:rPr>
          <w:b w:val="0"/>
          <w:i w:val="0"/>
          <w:highlight w:val="yellow"/>
        </w:rPr>
        <w:t>[추시 기간, 술자 경험/학습 곡선, 환자 활동 수준 — 자료 확인 후 기술]</w:t>
      </w:r>
      <w:r>
        <w:rPr>
          <w:b w:val="0"/>
          <w:i w:val="0"/>
        </w:rPr>
        <w:t>.</w:t>
      </w:r>
    </w:p>
    <w:p>
      <w:r>
        <w:rPr>
          <w:b w:val="0"/>
          <w:i w:val="0"/>
        </w:rPr>
        <w:t>생역학적으로 근위부 비골 골터널을 이용한 비해부학적 ATFL 봉합은 사체에서 발목 운동학과 이완성을 변화시키는 것으로 보고되었다</w:t>
      </w:r>
      <w:r>
        <w:rPr>
          <w:b w:val="0"/>
          <w:i w:val="0"/>
        </w:rPr>
        <w:t>[11]</w:t>
      </w:r>
      <w:r>
        <w:rPr>
          <w:b w:val="0"/>
          <w:i w:val="0"/>
        </w:rPr>
        <w:t>. 그러나 본 연구에서는 최종 거골경사각, 전방 전위 및 건측과의 차이가 군 간 차이가 없었으며, 이는 전방 전위와 거골경사각에 군 간 차이가 없었던 Lee 등의 스트레스 방사선 결과와도 일치한다</w:t>
      </w:r>
      <w:r>
        <w:rPr>
          <w:b w:val="0"/>
          <w:i w:val="0"/>
        </w:rPr>
        <w:t>[2]</w:t>
      </w:r>
      <w:r>
        <w:rPr>
          <w:b w:val="0"/>
          <w:i w:val="0"/>
        </w:rPr>
        <w:t>. 비해부학적군에서 전방 전위의 감소가 군 내에서 유의하지 않았으나, 이 군은 최종 스트레스 사진이 있는 증례 수가 가장 적었고 변화량의 군 간 비교는 유의하지 않았으므로 해석에 주의가 필요하다. 정적 스트레스 방사선 사진은 사체 연구에서 기술된 내회전 이완성</w:t>
      </w:r>
      <w:r>
        <w:rPr>
          <w:b w:val="0"/>
          <w:i w:val="0"/>
        </w:rPr>
        <w:t>[11]</w:t>
      </w:r>
      <w:r>
        <w:rPr>
          <w:b w:val="0"/>
          <w:i w:val="0"/>
        </w:rPr>
        <w:t>과 같은 회전 불안정성을 반영하지 못할 수 있으므로, 봉합나사 위치가 생체 내에서 이러한 지표에 영향을 미치는지 밝히기 위해서는 동적 또는 회전 평가가 필요하다.</w:t>
      </w:r>
    </w:p>
    <w:p>
      <w:r>
        <w:rPr>
          <w:b w:val="0"/>
          <w:i w:val="0"/>
        </w:rPr>
        <w:t xml:space="preserve">FFI는 군 간 차이를 보인 유일한 지표였다. 그러나 차이는 해부학적군과 준해부학적군 사이에서 준해부학적군이 더 양호한 방향으로 나타났으며, 두 군 모두 비해부학적군과는 차이가 없었다. 또한 봉합나사 위치를 연속변수로 분석하였을 때 FFI와 상관관계가 없었고(ρ = -0.14, P = .217), 모든 군에서 평균값이 낮았다(범위, 2.1–3.7). 봉합나사가 높을수록 FFI가 나빠지지 않았으므로 이 결과가 비해부학적 봉합나사 위치의 불리한 영향을 시사한다고 보기는 어려우며, 여러 결과 지표에 대한 다중 비교의 영향일 수 있다. </w:t>
      </w:r>
      <w:r>
        <w:rPr>
          <w:b w:val="0"/>
          <w:i w:val="0"/>
          <w:highlight w:val="cyan"/>
        </w:rPr>
        <w:t>[해석 확인 요청; 요청 사항 5 참조]</w:t>
      </w:r>
    </w:p>
    <w:p>
      <w:r>
        <w:rPr>
          <w:b w:val="0"/>
          <w:i w:val="0"/>
        </w:rPr>
        <w:t>관절경 중 비골의 ATFL 부착부는 일반적인 삽입구로 완전히 관찰되지 않을 수 있어 확인이 어려울 수 있다</w:t>
      </w:r>
      <w:r>
        <w:rPr>
          <w:b w:val="0"/>
          <w:i w:val="0"/>
        </w:rPr>
        <w:t>[13]</w:t>
      </w:r>
      <w:r>
        <w:rPr>
          <w:b w:val="0"/>
          <w:i w:val="0"/>
        </w:rPr>
        <w:t>. 본 연구에서 봉합나사의 35.8%가 해부학적 위치에, 21.0%가 비해부학적 위치에 삽입되어 Lee 등</w:t>
      </w:r>
      <w:r>
        <w:rPr>
          <w:b w:val="0"/>
          <w:i w:val="0"/>
        </w:rPr>
        <w:t>[2]</w:t>
      </w:r>
      <w:r>
        <w:rPr>
          <w:b w:val="0"/>
          <w:i w:val="0"/>
        </w:rPr>
        <w:t>과 비슷한 분포를 보였다. FOT는 인대 부착부를 확인하는 신뢰할 만한 골성 지표로 제시되었으며</w:t>
      </w:r>
      <w:r>
        <w:rPr>
          <w:b w:val="0"/>
          <w:i w:val="0"/>
        </w:rPr>
        <w:t>[15,16]</w:t>
      </w:r>
      <w:r>
        <w:rPr>
          <w:b w:val="0"/>
          <w:i w:val="0"/>
        </w:rPr>
        <w:t>, 봉합나사를 해부학적 부착부에 삽입하려는 노력은 여전히 타당하다. 다만 본 연구 결과는 적어도 본 연구에서 관찰된 봉합나사 위치 범위 내에서는 해부학적 부착부로부터의 어느 정도의 편위가 관절경적 변형 브로스트롬 술식 후 최소 2년 시점의 임상 및 방사선학적 결과를 크게 저하시키지 않을 수 있음을 시사한다.</w:t>
      </w:r>
    </w:p>
    <w:p>
      <w:pPr>
        <w:pStyle w:val="Heading2"/>
      </w:pPr>
      <w:r>
        <w:t>연구의 제한점</w:t>
      </w:r>
    </w:p>
    <w:p>
      <w:r>
        <w:rPr>
          <w:b w:val="0"/>
          <w:i w:val="0"/>
        </w:rPr>
        <w:t>본 연구는 몇 가지 제한점이 있다. 첫째, 후향적 연구이며 비해부학적군의 증례 수가 적어(17예) 제2종 오류의 가능성을 배제할 수 없다</w:t>
      </w:r>
      <w:r>
        <w:rPr>
          <w:b w:val="0"/>
          <w:i w:val="0"/>
          <w:highlight w:val="yellow"/>
        </w:rPr>
        <w:t>[검정력 분석]</w:t>
      </w:r>
      <w:r>
        <w:rPr>
          <w:b w:val="0"/>
          <w:i w:val="0"/>
        </w:rPr>
        <w:t>. 둘째, FFI, FAOS, FAAM 및 EQ-5D-5L은 최종 추시 시에만 평가하여 수술 전후 변화를 분석할 수 없었다. 셋째, 9예에서 최종 스트레스 사진이 없었고, 추가로 1예에서 건측 최종 스트레스 사진이 없었다. 넷째, 양측 수술을 받은 1명의 두 발목을 독립된 관측치로 분석하였다. 다섯째, 본 연구에서 사용한 3차원 CT 분류는 단일 선행 연구</w:t>
      </w:r>
      <w:r>
        <w:rPr>
          <w:b w:val="0"/>
          <w:i w:val="0"/>
        </w:rPr>
        <w:t>[2]</w:t>
      </w:r>
      <w:r>
        <w:rPr>
          <w:b w:val="0"/>
          <w:i w:val="0"/>
        </w:rPr>
        <w:t xml:space="preserve">에서 도입된 것으로, 절단값이 임상 결과에 대해 검증되지 않았다. 여섯째, </w:t>
      </w:r>
      <w:r>
        <w:rPr>
          <w:b w:val="0"/>
          <w:i w:val="0"/>
          <w:highlight w:val="yellow"/>
        </w:rPr>
        <w:t>[단일 술자 / 학습 곡선; 봉합 인대에 대한 자기공명영상이나 동적 평가 부재; 점수의 천장 효과]</w:t>
      </w:r>
      <w:r>
        <w:rPr>
          <w:b w:val="0"/>
          <w:i w:val="0"/>
        </w:rPr>
        <w:t>.</w:t>
      </w:r>
    </w:p>
    <w:p>
      <w:pPr>
        <w:pStyle w:val="Heading1"/>
      </w:pPr>
      <w:r>
        <w:t>결론</w:t>
      </w:r>
    </w:p>
    <w:p>
      <w:r>
        <w:rPr>
          <w:b w:val="0"/>
          <w:i w:val="0"/>
        </w:rPr>
        <w:t>관절경적 변형 브로스트롬 술식 후 최소 2년 추시에서 비골 봉합나사 위치에 따른 임상 및 방사선학적 결과의 유의한 차이는 확인되지 않았다. 모든 군에서 통증과 기능 점수가 유의하게 호전되었으며, 활동 수준은 대부분 유지되거나 향상되었다.</w:t>
      </w:r>
    </w:p>
    <w:p>
      <w:r>
        <w:br w:type="page"/>
      </w:r>
    </w:p>
    <w:p>
      <w:pPr>
        <w:pStyle w:val="Heading1"/>
      </w:pPr>
      <w:r>
        <w:t>표</w:t>
      </w:r>
    </w:p>
    <w:p>
      <w:pPr>
        <w:spacing w:after="60" w:line="240" w:lineRule="auto"/>
      </w:pPr>
      <w:r>
        <w:rPr>
          <w:b/>
          <w:i w:val="0"/>
          <w:sz w:val="20"/>
        </w:rPr>
        <w:t>표 1. 환자 특성 및 술전 지표</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2381"/>
          </w:tcPr>
          <w:p>
            <w:pPr>
              <w:spacing w:line="240" w:lineRule="auto" w:after="0"/>
            </w:pPr>
            <w:r/>
            <w:r>
              <w:rPr>
                <w:b/>
                <w:i w:val="0"/>
                <w:sz w:val="17"/>
              </w:rPr>
              <w:t>변수</w:t>
            </w:r>
          </w:p>
        </w:tc>
        <w:tc>
          <w:tcPr>
            <w:tcW w:type="dxa" w:w="1417"/>
          </w:tcPr>
          <w:p>
            <w:pPr>
              <w:spacing w:line="240" w:lineRule="auto" w:after="0"/>
              <w:jc w:val="center"/>
            </w:pPr>
            <w:r/>
            <w:r>
              <w:rPr>
                <w:b/>
                <w:i w:val="0"/>
                <w:sz w:val="17"/>
              </w:rPr>
              <w:t>전체 (n = 81)</w:t>
            </w:r>
          </w:p>
        </w:tc>
        <w:tc>
          <w:tcPr>
            <w:tcW w:type="dxa" w:w="1417"/>
          </w:tcPr>
          <w:p>
            <w:pPr>
              <w:spacing w:line="240" w:lineRule="auto" w:after="0"/>
              <w:jc w:val="center"/>
            </w:pPr>
            <w:r/>
            <w:r>
              <w:rPr>
                <w:b/>
                <w:i w:val="0"/>
                <w:sz w:val="17"/>
              </w:rPr>
              <w:t>해부학적군 (n = 29)</w:t>
            </w:r>
          </w:p>
        </w:tc>
        <w:tc>
          <w:tcPr>
            <w:tcW w:type="dxa" w:w="1417"/>
          </w:tcPr>
          <w:p>
            <w:pPr>
              <w:spacing w:line="240" w:lineRule="auto" w:after="0"/>
              <w:jc w:val="center"/>
            </w:pPr>
            <w:r/>
            <w:r>
              <w:rPr>
                <w:b/>
                <w:i w:val="0"/>
                <w:sz w:val="17"/>
              </w:rPr>
              <w:t>준해부학적군 (n = 35)</w:t>
            </w:r>
          </w:p>
        </w:tc>
        <w:tc>
          <w:tcPr>
            <w:tcW w:type="dxa" w:w="1417"/>
          </w:tcPr>
          <w:p>
            <w:pPr>
              <w:spacing w:line="240" w:lineRule="auto" w:after="0"/>
              <w:jc w:val="center"/>
            </w:pPr>
            <w:r/>
            <w:r>
              <w:rPr>
                <w:b/>
                <w:i w:val="0"/>
                <w:sz w:val="17"/>
              </w:rPr>
              <w:t>비해부학적군 (n = 17)</w:t>
            </w:r>
          </w:p>
        </w:tc>
        <w:tc>
          <w:tcPr>
            <w:tcW w:type="dxa" w:w="737"/>
          </w:tcPr>
          <w:p>
            <w:pPr>
              <w:spacing w:line="240" w:lineRule="auto" w:after="0"/>
              <w:jc w:val="center"/>
            </w:pPr>
            <w:r/>
            <w:r>
              <w:rPr>
                <w:b/>
                <w:i w:val="0"/>
                <w:sz w:val="17"/>
              </w:rPr>
              <w:t>P</w:t>
            </w:r>
          </w:p>
        </w:tc>
      </w:tr>
      <w:tr>
        <w:tc>
          <w:tcPr>
            <w:tcW w:type="dxa" w:w="2381"/>
          </w:tcPr>
          <w:p>
            <w:pPr>
              <w:spacing w:line="240" w:lineRule="auto" w:after="0"/>
            </w:pPr>
            <w:r/>
            <w:r>
              <w:rPr>
                <w:b w:val="0"/>
                <w:i w:val="0"/>
                <w:sz w:val="17"/>
              </w:rPr>
              <w:t>나이 (세)</w:t>
            </w:r>
          </w:p>
        </w:tc>
        <w:tc>
          <w:tcPr>
            <w:tcW w:type="dxa" w:w="1417"/>
          </w:tcPr>
          <w:p>
            <w:pPr>
              <w:spacing w:line="240" w:lineRule="auto" w:after="0"/>
              <w:jc w:val="center"/>
            </w:pPr>
            <w:r/>
            <w:r>
              <w:rPr>
                <w:b w:val="0"/>
                <w:i w:val="0"/>
                <w:sz w:val="17"/>
              </w:rPr>
              <w:t>31.2 ± 13.6</w:t>
            </w:r>
          </w:p>
        </w:tc>
        <w:tc>
          <w:tcPr>
            <w:tcW w:type="dxa" w:w="1417"/>
          </w:tcPr>
          <w:p>
            <w:pPr>
              <w:spacing w:line="240" w:lineRule="auto" w:after="0"/>
              <w:jc w:val="center"/>
            </w:pPr>
            <w:r/>
            <w:r>
              <w:rPr>
                <w:b w:val="0"/>
                <w:i w:val="0"/>
                <w:sz w:val="17"/>
              </w:rPr>
              <w:t>30.1 ± 12.6</w:t>
            </w:r>
          </w:p>
        </w:tc>
        <w:tc>
          <w:tcPr>
            <w:tcW w:type="dxa" w:w="1417"/>
          </w:tcPr>
          <w:p>
            <w:pPr>
              <w:spacing w:line="240" w:lineRule="auto" w:after="0"/>
              <w:jc w:val="center"/>
            </w:pPr>
            <w:r/>
            <w:r>
              <w:rPr>
                <w:b w:val="0"/>
                <w:i w:val="0"/>
                <w:sz w:val="17"/>
              </w:rPr>
              <w:t>34.1 ± 15.4</w:t>
            </w:r>
          </w:p>
        </w:tc>
        <w:tc>
          <w:tcPr>
            <w:tcW w:type="dxa" w:w="1417"/>
          </w:tcPr>
          <w:p>
            <w:pPr>
              <w:spacing w:line="240" w:lineRule="auto" w:after="0"/>
              <w:jc w:val="center"/>
            </w:pPr>
            <w:r/>
            <w:r>
              <w:rPr>
                <w:b w:val="0"/>
                <w:i w:val="0"/>
                <w:sz w:val="17"/>
              </w:rPr>
              <w:t>27.1 ± 10.3</w:t>
            </w:r>
          </w:p>
        </w:tc>
        <w:tc>
          <w:tcPr>
            <w:tcW w:type="dxa" w:w="737"/>
          </w:tcPr>
          <w:p>
            <w:pPr>
              <w:spacing w:line="240" w:lineRule="auto" w:after="0"/>
              <w:jc w:val="center"/>
            </w:pPr>
            <w:r/>
            <w:r>
              <w:rPr>
                <w:b w:val="0"/>
                <w:i w:val="0"/>
                <w:sz w:val="17"/>
              </w:rPr>
              <w:t>.431</w:t>
            </w:r>
          </w:p>
        </w:tc>
      </w:tr>
      <w:tr>
        <w:tc>
          <w:tcPr>
            <w:tcW w:type="dxa" w:w="2381"/>
          </w:tcPr>
          <w:p>
            <w:pPr>
              <w:spacing w:line="240" w:lineRule="auto" w:after="0"/>
            </w:pPr>
            <w:r/>
            <w:r>
              <w:rPr>
                <w:b w:val="0"/>
                <w:i w:val="0"/>
                <w:sz w:val="17"/>
              </w:rPr>
              <w:t>성별, 남/여 (예)</w:t>
            </w:r>
          </w:p>
        </w:tc>
        <w:tc>
          <w:tcPr>
            <w:tcW w:type="dxa" w:w="1417"/>
          </w:tcPr>
          <w:p>
            <w:pPr>
              <w:spacing w:line="240" w:lineRule="auto" w:after="0"/>
              <w:jc w:val="center"/>
            </w:pPr>
            <w:r/>
            <w:r>
              <w:rPr>
                <w:b w:val="0"/>
                <w:i w:val="0"/>
                <w:sz w:val="17"/>
              </w:rPr>
              <w:t>35/46</w:t>
            </w:r>
          </w:p>
        </w:tc>
        <w:tc>
          <w:tcPr>
            <w:tcW w:type="dxa" w:w="1417"/>
          </w:tcPr>
          <w:p>
            <w:pPr>
              <w:spacing w:line="240" w:lineRule="auto" w:after="0"/>
              <w:jc w:val="center"/>
            </w:pPr>
            <w:r/>
            <w:r>
              <w:rPr>
                <w:b w:val="0"/>
                <w:i w:val="0"/>
                <w:sz w:val="17"/>
              </w:rPr>
              <w:t>11/18</w:t>
            </w:r>
          </w:p>
        </w:tc>
        <w:tc>
          <w:tcPr>
            <w:tcW w:type="dxa" w:w="1417"/>
          </w:tcPr>
          <w:p>
            <w:pPr>
              <w:spacing w:line="240" w:lineRule="auto" w:after="0"/>
              <w:jc w:val="center"/>
            </w:pPr>
            <w:r/>
            <w:r>
              <w:rPr>
                <w:b w:val="0"/>
                <w:i w:val="0"/>
                <w:sz w:val="17"/>
              </w:rPr>
              <w:t>15/20</w:t>
            </w:r>
          </w:p>
        </w:tc>
        <w:tc>
          <w:tcPr>
            <w:tcW w:type="dxa" w:w="1417"/>
          </w:tcPr>
          <w:p>
            <w:pPr>
              <w:spacing w:line="240" w:lineRule="auto" w:after="0"/>
              <w:jc w:val="center"/>
            </w:pPr>
            <w:r/>
            <w:r>
              <w:rPr>
                <w:b w:val="0"/>
                <w:i w:val="0"/>
                <w:sz w:val="17"/>
              </w:rPr>
              <w:t>9/8</w:t>
            </w:r>
          </w:p>
        </w:tc>
        <w:tc>
          <w:tcPr>
            <w:tcW w:type="dxa" w:w="737"/>
          </w:tcPr>
          <w:p>
            <w:pPr>
              <w:spacing w:line="240" w:lineRule="auto" w:after="0"/>
              <w:jc w:val="center"/>
            </w:pPr>
            <w:r/>
            <w:r>
              <w:rPr>
                <w:b w:val="0"/>
                <w:i w:val="0"/>
                <w:sz w:val="17"/>
              </w:rPr>
              <w:t>.610</w:t>
            </w:r>
          </w:p>
        </w:tc>
      </w:tr>
      <w:tr>
        <w:tc>
          <w:tcPr>
            <w:tcW w:type="dxa" w:w="2381"/>
          </w:tcPr>
          <w:p>
            <w:pPr>
              <w:spacing w:line="240" w:lineRule="auto" w:after="0"/>
            </w:pPr>
            <w:r/>
            <w:r>
              <w:rPr>
                <w:b w:val="0"/>
                <w:i w:val="0"/>
                <w:sz w:val="17"/>
              </w:rPr>
              <w:t>수술 부위, 우/좌 (예)</w:t>
            </w:r>
          </w:p>
        </w:tc>
        <w:tc>
          <w:tcPr>
            <w:tcW w:type="dxa" w:w="1417"/>
          </w:tcPr>
          <w:p>
            <w:pPr>
              <w:spacing w:line="240" w:lineRule="auto" w:after="0"/>
              <w:jc w:val="center"/>
            </w:pPr>
            <w:r/>
            <w:r>
              <w:rPr>
                <w:b w:val="0"/>
                <w:i w:val="0"/>
                <w:sz w:val="17"/>
              </w:rPr>
              <w:t>44/37</w:t>
            </w:r>
          </w:p>
        </w:tc>
        <w:tc>
          <w:tcPr>
            <w:tcW w:type="dxa" w:w="1417"/>
          </w:tcPr>
          <w:p>
            <w:pPr>
              <w:spacing w:line="240" w:lineRule="auto" w:after="0"/>
              <w:jc w:val="center"/>
            </w:pPr>
            <w:r/>
            <w:r>
              <w:rPr>
                <w:b w:val="0"/>
                <w:i w:val="0"/>
                <w:sz w:val="17"/>
              </w:rPr>
              <w:t>18/11</w:t>
            </w:r>
          </w:p>
        </w:tc>
        <w:tc>
          <w:tcPr>
            <w:tcW w:type="dxa" w:w="1417"/>
          </w:tcPr>
          <w:p>
            <w:pPr>
              <w:spacing w:line="240" w:lineRule="auto" w:after="0"/>
              <w:jc w:val="center"/>
            </w:pPr>
            <w:r/>
            <w:r>
              <w:rPr>
                <w:b w:val="0"/>
                <w:i w:val="0"/>
                <w:sz w:val="17"/>
              </w:rPr>
              <w:t>19/16</w:t>
            </w:r>
          </w:p>
        </w:tc>
        <w:tc>
          <w:tcPr>
            <w:tcW w:type="dxa" w:w="1417"/>
          </w:tcPr>
          <w:p>
            <w:pPr>
              <w:spacing w:line="240" w:lineRule="auto" w:after="0"/>
              <w:jc w:val="center"/>
            </w:pPr>
            <w:r/>
            <w:r>
              <w:rPr>
                <w:b w:val="0"/>
                <w:i w:val="0"/>
                <w:sz w:val="17"/>
              </w:rPr>
              <w:t>7/10</w:t>
            </w:r>
          </w:p>
        </w:tc>
        <w:tc>
          <w:tcPr>
            <w:tcW w:type="dxa" w:w="737"/>
          </w:tcPr>
          <w:p>
            <w:pPr>
              <w:spacing w:line="240" w:lineRule="auto" w:after="0"/>
              <w:jc w:val="center"/>
            </w:pPr>
            <w:r/>
            <w:r>
              <w:rPr>
                <w:b w:val="0"/>
                <w:i w:val="0"/>
                <w:sz w:val="17"/>
              </w:rPr>
              <w:t>.390</w:t>
            </w:r>
          </w:p>
        </w:tc>
      </w:tr>
      <w:tr>
        <w:tc>
          <w:tcPr>
            <w:tcW w:type="dxa" w:w="2381"/>
          </w:tcPr>
          <w:p>
            <w:pPr>
              <w:spacing w:line="240" w:lineRule="auto" w:after="0"/>
            </w:pPr>
            <w:r/>
            <w:r>
              <w:rPr>
                <w:b w:val="0"/>
                <w:i w:val="0"/>
                <w:sz w:val="17"/>
              </w:rPr>
              <w:t>체질량지수 (kg/m²)</w:t>
            </w:r>
          </w:p>
        </w:tc>
        <w:tc>
          <w:tcPr>
            <w:tcW w:type="dxa" w:w="1417"/>
          </w:tcPr>
          <w:p>
            <w:pPr>
              <w:spacing w:line="240" w:lineRule="auto" w:after="0"/>
              <w:jc w:val="center"/>
            </w:pPr>
            <w:r/>
            <w:r>
              <w:rPr>
                <w:b w:val="0"/>
                <w:i w:val="0"/>
                <w:sz w:val="17"/>
              </w:rPr>
              <w:t>24.8 ± 3.4</w:t>
            </w:r>
          </w:p>
        </w:tc>
        <w:tc>
          <w:tcPr>
            <w:tcW w:type="dxa" w:w="1417"/>
          </w:tcPr>
          <w:p>
            <w:pPr>
              <w:spacing w:line="240" w:lineRule="auto" w:after="0"/>
              <w:jc w:val="center"/>
            </w:pPr>
            <w:r/>
            <w:r>
              <w:rPr>
                <w:b w:val="0"/>
                <w:i w:val="0"/>
                <w:sz w:val="17"/>
              </w:rPr>
              <w:t>25.0 ± 4.0</w:t>
            </w:r>
          </w:p>
        </w:tc>
        <w:tc>
          <w:tcPr>
            <w:tcW w:type="dxa" w:w="1417"/>
          </w:tcPr>
          <w:p>
            <w:pPr>
              <w:spacing w:line="240" w:lineRule="auto" w:after="0"/>
              <w:jc w:val="center"/>
            </w:pPr>
            <w:r/>
            <w:r>
              <w:rPr>
                <w:b w:val="0"/>
                <w:i w:val="0"/>
                <w:sz w:val="17"/>
              </w:rPr>
              <w:t>24.7 ± 2.7</w:t>
            </w:r>
          </w:p>
        </w:tc>
        <w:tc>
          <w:tcPr>
            <w:tcW w:type="dxa" w:w="1417"/>
          </w:tcPr>
          <w:p>
            <w:pPr>
              <w:spacing w:line="240" w:lineRule="auto" w:after="0"/>
              <w:jc w:val="center"/>
            </w:pPr>
            <w:r/>
            <w:r>
              <w:rPr>
                <w:b w:val="0"/>
                <w:i w:val="0"/>
                <w:sz w:val="17"/>
              </w:rPr>
              <w:t>24.4 ± 3.5</w:t>
            </w:r>
          </w:p>
        </w:tc>
        <w:tc>
          <w:tcPr>
            <w:tcW w:type="dxa" w:w="737"/>
          </w:tcPr>
          <w:p>
            <w:pPr>
              <w:spacing w:line="240" w:lineRule="auto" w:after="0"/>
              <w:jc w:val="center"/>
            </w:pPr>
            <w:r/>
            <w:r>
              <w:rPr>
                <w:b w:val="0"/>
                <w:i w:val="0"/>
                <w:sz w:val="17"/>
              </w:rPr>
              <w:t>.876</w:t>
            </w:r>
          </w:p>
        </w:tc>
      </w:tr>
      <w:tr>
        <w:tc>
          <w:tcPr>
            <w:tcW w:type="dxa" w:w="2381"/>
          </w:tcPr>
          <w:p>
            <w:pPr>
              <w:spacing w:line="240" w:lineRule="auto" w:after="0"/>
            </w:pPr>
            <w:r/>
            <w:r>
              <w:rPr>
                <w:b w:val="0"/>
                <w:i w:val="0"/>
                <w:sz w:val="17"/>
              </w:rPr>
              <w:t>Beighton 점수</w:t>
            </w:r>
          </w:p>
        </w:tc>
        <w:tc>
          <w:tcPr>
            <w:tcW w:type="dxa" w:w="1417"/>
          </w:tcPr>
          <w:p>
            <w:pPr>
              <w:spacing w:line="240" w:lineRule="auto" w:after="0"/>
              <w:jc w:val="center"/>
            </w:pPr>
            <w:r/>
            <w:r>
              <w:rPr>
                <w:b w:val="0"/>
                <w:i w:val="0"/>
                <w:sz w:val="17"/>
              </w:rPr>
              <w:t>3.7 ± 2.5</w:t>
            </w:r>
          </w:p>
        </w:tc>
        <w:tc>
          <w:tcPr>
            <w:tcW w:type="dxa" w:w="1417"/>
          </w:tcPr>
          <w:p>
            <w:pPr>
              <w:spacing w:line="240" w:lineRule="auto" w:after="0"/>
              <w:jc w:val="center"/>
            </w:pPr>
            <w:r/>
            <w:r>
              <w:rPr>
                <w:b w:val="0"/>
                <w:i w:val="0"/>
                <w:sz w:val="17"/>
              </w:rPr>
              <w:t>3.3 ± 2.3</w:t>
            </w:r>
          </w:p>
        </w:tc>
        <w:tc>
          <w:tcPr>
            <w:tcW w:type="dxa" w:w="1417"/>
          </w:tcPr>
          <w:p>
            <w:pPr>
              <w:spacing w:line="240" w:lineRule="auto" w:after="0"/>
              <w:jc w:val="center"/>
            </w:pPr>
            <w:r/>
            <w:r>
              <w:rPr>
                <w:b w:val="0"/>
                <w:i w:val="0"/>
                <w:sz w:val="17"/>
              </w:rPr>
              <w:t>4.0 ± 2.5</w:t>
            </w:r>
          </w:p>
        </w:tc>
        <w:tc>
          <w:tcPr>
            <w:tcW w:type="dxa" w:w="1417"/>
          </w:tcPr>
          <w:p>
            <w:pPr>
              <w:spacing w:line="240" w:lineRule="auto" w:after="0"/>
              <w:jc w:val="center"/>
            </w:pPr>
            <w:r/>
            <w:r>
              <w:rPr>
                <w:b w:val="0"/>
                <w:i w:val="0"/>
                <w:sz w:val="17"/>
              </w:rPr>
              <w:t>3.4 ± 2.7</w:t>
            </w:r>
          </w:p>
        </w:tc>
        <w:tc>
          <w:tcPr>
            <w:tcW w:type="dxa" w:w="737"/>
          </w:tcPr>
          <w:p>
            <w:pPr>
              <w:spacing w:line="240" w:lineRule="auto" w:after="0"/>
              <w:jc w:val="center"/>
            </w:pPr>
            <w:r/>
            <w:r>
              <w:rPr>
                <w:b w:val="0"/>
                <w:i w:val="0"/>
                <w:sz w:val="17"/>
              </w:rPr>
              <w:t>.413</w:t>
            </w:r>
          </w:p>
        </w:tc>
      </w:tr>
      <w:tr>
        <w:tc>
          <w:tcPr>
            <w:tcW w:type="dxa" w:w="2381"/>
          </w:tcPr>
          <w:p>
            <w:pPr>
              <w:spacing w:line="240" w:lineRule="auto" w:after="0"/>
            </w:pPr>
            <w:r/>
            <w:r>
              <w:rPr>
                <w:b w:val="0"/>
                <w:i w:val="0"/>
                <w:sz w:val="17"/>
              </w:rPr>
              <w:t>봉합나사 위치 비율 (%)</w:t>
            </w:r>
          </w:p>
        </w:tc>
        <w:tc>
          <w:tcPr>
            <w:tcW w:type="dxa" w:w="1417"/>
          </w:tcPr>
          <w:p>
            <w:pPr>
              <w:spacing w:line="240" w:lineRule="auto" w:after="0"/>
              <w:jc w:val="center"/>
            </w:pPr>
            <w:r/>
            <w:r>
              <w:rPr>
                <w:b w:val="0"/>
                <w:i w:val="0"/>
                <w:sz w:val="17"/>
              </w:rPr>
              <w:t>38.4 ± 16.8</w:t>
            </w:r>
          </w:p>
        </w:tc>
        <w:tc>
          <w:tcPr>
            <w:tcW w:type="dxa" w:w="1417"/>
          </w:tcPr>
          <w:p>
            <w:pPr>
              <w:spacing w:line="240" w:lineRule="auto" w:after="0"/>
              <w:jc w:val="center"/>
            </w:pPr>
            <w:r/>
            <w:r>
              <w:rPr>
                <w:b w:val="0"/>
                <w:i w:val="0"/>
                <w:sz w:val="17"/>
              </w:rPr>
              <w:t>21.9 ± 3.0</w:t>
            </w:r>
          </w:p>
        </w:tc>
        <w:tc>
          <w:tcPr>
            <w:tcW w:type="dxa" w:w="1417"/>
          </w:tcPr>
          <w:p>
            <w:pPr>
              <w:spacing w:line="240" w:lineRule="auto" w:after="0"/>
              <w:jc w:val="center"/>
            </w:pPr>
            <w:r/>
            <w:r>
              <w:rPr>
                <w:b w:val="0"/>
                <w:i w:val="0"/>
                <w:sz w:val="17"/>
              </w:rPr>
              <w:t>39.0 ± 6.6</w:t>
            </w:r>
          </w:p>
        </w:tc>
        <w:tc>
          <w:tcPr>
            <w:tcW w:type="dxa" w:w="1417"/>
          </w:tcPr>
          <w:p>
            <w:pPr>
              <w:spacing w:line="240" w:lineRule="auto" w:after="0"/>
              <w:jc w:val="center"/>
            </w:pPr>
            <w:r/>
            <w:r>
              <w:rPr>
                <w:b w:val="0"/>
                <w:i w:val="0"/>
                <w:sz w:val="17"/>
              </w:rPr>
              <w:t>65.1 ± 7.8</w:t>
            </w:r>
          </w:p>
        </w:tc>
        <w:tc>
          <w:tcPr>
            <w:tcW w:type="dxa" w:w="737"/>
          </w:tcPr>
          <w:p>
            <w:pPr>
              <w:spacing w:line="240" w:lineRule="auto" w:after="0"/>
              <w:jc w:val="center"/>
            </w:pPr>
            <w:r/>
            <w:r>
              <w:rPr>
                <w:b w:val="0"/>
                <w:i w:val="0"/>
                <w:sz w:val="17"/>
              </w:rPr>
              <w:t>—</w:t>
            </w:r>
          </w:p>
        </w:tc>
      </w:tr>
      <w:tr>
        <w:tc>
          <w:tcPr>
            <w:tcW w:type="dxa" w:w="2381"/>
          </w:tcPr>
          <w:p>
            <w:pPr>
              <w:spacing w:line="240" w:lineRule="auto" w:after="0"/>
            </w:pPr>
            <w:r/>
            <w:r>
              <w:rPr>
                <w:b/>
                <w:i w:val="0"/>
                <w:sz w:val="17"/>
              </w:rPr>
              <w:t>술전 VAS</w:t>
            </w:r>
          </w:p>
        </w:tc>
        <w:tc>
          <w:tcPr>
            <w:tcW w:type="dxa" w:w="1417"/>
          </w:tcPr>
          <w:p>
            <w:pPr>
              <w:spacing w:line="240" w:lineRule="auto" w:after="0"/>
              <w:jc w:val="center"/>
            </w:pPr>
            <w:r/>
            <w:r>
              <w:rPr>
                <w:b w:val="0"/>
                <w:i w:val="0"/>
                <w:sz w:val="17"/>
              </w:rPr>
              <w:t>4.37 ± 1.32</w:t>
            </w:r>
          </w:p>
        </w:tc>
        <w:tc>
          <w:tcPr>
            <w:tcW w:type="dxa" w:w="1417"/>
          </w:tcPr>
          <w:p>
            <w:pPr>
              <w:spacing w:line="240" w:lineRule="auto" w:after="0"/>
              <w:jc w:val="center"/>
            </w:pPr>
            <w:r/>
            <w:r>
              <w:rPr>
                <w:b w:val="0"/>
                <w:i w:val="0"/>
                <w:sz w:val="17"/>
              </w:rPr>
              <w:t>4.00 ± 1.07</w:t>
            </w:r>
          </w:p>
        </w:tc>
        <w:tc>
          <w:tcPr>
            <w:tcW w:type="dxa" w:w="1417"/>
          </w:tcPr>
          <w:p>
            <w:pPr>
              <w:spacing w:line="240" w:lineRule="auto" w:after="0"/>
              <w:jc w:val="center"/>
            </w:pPr>
            <w:r/>
            <w:r>
              <w:rPr>
                <w:b w:val="0"/>
                <w:i w:val="0"/>
                <w:sz w:val="17"/>
              </w:rPr>
              <w:t>4.54 ± 1.44</w:t>
            </w:r>
          </w:p>
        </w:tc>
        <w:tc>
          <w:tcPr>
            <w:tcW w:type="dxa" w:w="1417"/>
          </w:tcPr>
          <w:p>
            <w:pPr>
              <w:spacing w:line="240" w:lineRule="auto" w:after="0"/>
              <w:jc w:val="center"/>
            </w:pPr>
            <w:r/>
            <w:r>
              <w:rPr>
                <w:b w:val="0"/>
                <w:i w:val="0"/>
                <w:sz w:val="17"/>
              </w:rPr>
              <w:t>4.65 ± 1.37</w:t>
            </w:r>
          </w:p>
        </w:tc>
        <w:tc>
          <w:tcPr>
            <w:tcW w:type="dxa" w:w="737"/>
          </w:tcPr>
          <w:p>
            <w:pPr>
              <w:spacing w:line="240" w:lineRule="auto" w:after="0"/>
              <w:jc w:val="center"/>
            </w:pPr>
            <w:r/>
            <w:r>
              <w:rPr>
                <w:b w:val="0"/>
                <w:i w:val="0"/>
                <w:sz w:val="17"/>
              </w:rPr>
              <w:t>.163</w:t>
            </w:r>
          </w:p>
        </w:tc>
      </w:tr>
      <w:tr>
        <w:tc>
          <w:tcPr>
            <w:tcW w:type="dxa" w:w="2381"/>
          </w:tcPr>
          <w:p>
            <w:pPr>
              <w:spacing w:line="240" w:lineRule="auto" w:after="0"/>
            </w:pPr>
            <w:r/>
            <w:r>
              <w:rPr>
                <w:b/>
                <w:i w:val="0"/>
                <w:sz w:val="17"/>
              </w:rPr>
              <w:t>술전 KP 점수</w:t>
            </w:r>
          </w:p>
        </w:tc>
        <w:tc>
          <w:tcPr>
            <w:tcW w:type="dxa" w:w="1417"/>
          </w:tcPr>
          <w:p>
            <w:pPr>
              <w:spacing w:line="240" w:lineRule="auto" w:after="0"/>
              <w:jc w:val="center"/>
            </w:pPr>
            <w:r/>
            <w:r>
              <w:rPr>
                <w:b w:val="0"/>
                <w:i w:val="0"/>
                <w:sz w:val="17"/>
              </w:rPr>
              <w:t>51.65 ± 14.11</w:t>
            </w:r>
          </w:p>
        </w:tc>
        <w:tc>
          <w:tcPr>
            <w:tcW w:type="dxa" w:w="1417"/>
          </w:tcPr>
          <w:p>
            <w:pPr>
              <w:spacing w:line="240" w:lineRule="auto" w:after="0"/>
              <w:jc w:val="center"/>
            </w:pPr>
            <w:r/>
            <w:r>
              <w:rPr>
                <w:b w:val="0"/>
                <w:i w:val="0"/>
                <w:sz w:val="17"/>
              </w:rPr>
              <w:t>48.62 ± 15.01</w:t>
            </w:r>
          </w:p>
        </w:tc>
        <w:tc>
          <w:tcPr>
            <w:tcW w:type="dxa" w:w="1417"/>
          </w:tcPr>
          <w:p>
            <w:pPr>
              <w:spacing w:line="240" w:lineRule="auto" w:after="0"/>
              <w:jc w:val="center"/>
            </w:pPr>
            <w:r/>
            <w:r>
              <w:rPr>
                <w:b w:val="0"/>
                <w:i w:val="0"/>
                <w:sz w:val="17"/>
              </w:rPr>
              <w:t>53.74 ± 13.10</w:t>
            </w:r>
          </w:p>
        </w:tc>
        <w:tc>
          <w:tcPr>
            <w:tcW w:type="dxa" w:w="1417"/>
          </w:tcPr>
          <w:p>
            <w:pPr>
              <w:spacing w:line="240" w:lineRule="auto" w:after="0"/>
              <w:jc w:val="center"/>
            </w:pPr>
            <w:r/>
            <w:r>
              <w:rPr>
                <w:b w:val="0"/>
                <w:i w:val="0"/>
                <w:sz w:val="17"/>
              </w:rPr>
              <w:t>52.53 ± 14.49</w:t>
            </w:r>
          </w:p>
        </w:tc>
        <w:tc>
          <w:tcPr>
            <w:tcW w:type="dxa" w:w="737"/>
          </w:tcPr>
          <w:p>
            <w:pPr>
              <w:spacing w:line="240" w:lineRule="auto" w:after="0"/>
              <w:jc w:val="center"/>
            </w:pPr>
            <w:r/>
            <w:r>
              <w:rPr>
                <w:b w:val="0"/>
                <w:i w:val="0"/>
                <w:sz w:val="17"/>
              </w:rPr>
              <w:t>.510</w:t>
            </w:r>
          </w:p>
        </w:tc>
      </w:tr>
      <w:tr>
        <w:tc>
          <w:tcPr>
            <w:tcW w:type="dxa" w:w="2381"/>
          </w:tcPr>
          <w:p>
            <w:pPr>
              <w:spacing w:line="240" w:lineRule="auto" w:after="0"/>
            </w:pPr>
            <w:r/>
            <w:r>
              <w:rPr>
                <w:b/>
                <w:i w:val="0"/>
                <w:sz w:val="17"/>
              </w:rPr>
              <w:t>술전 AOFAS 점수</w:t>
            </w:r>
          </w:p>
        </w:tc>
        <w:tc>
          <w:tcPr>
            <w:tcW w:type="dxa" w:w="1417"/>
          </w:tcPr>
          <w:p>
            <w:pPr>
              <w:spacing w:line="240" w:lineRule="auto" w:after="0"/>
              <w:jc w:val="center"/>
            </w:pPr>
            <w:r/>
            <w:r>
              <w:rPr>
                <w:b w:val="0"/>
                <w:i w:val="0"/>
                <w:sz w:val="17"/>
              </w:rPr>
              <w:t>67.62 ± 14.62</w:t>
            </w:r>
          </w:p>
        </w:tc>
        <w:tc>
          <w:tcPr>
            <w:tcW w:type="dxa" w:w="1417"/>
          </w:tcPr>
          <w:p>
            <w:pPr>
              <w:spacing w:line="240" w:lineRule="auto" w:after="0"/>
              <w:jc w:val="center"/>
            </w:pPr>
            <w:r/>
            <w:r>
              <w:rPr>
                <w:b w:val="0"/>
                <w:i w:val="0"/>
                <w:sz w:val="17"/>
              </w:rPr>
              <w:t>69.34 ± 16.67</w:t>
            </w:r>
          </w:p>
        </w:tc>
        <w:tc>
          <w:tcPr>
            <w:tcW w:type="dxa" w:w="1417"/>
          </w:tcPr>
          <w:p>
            <w:pPr>
              <w:spacing w:line="240" w:lineRule="auto" w:after="0"/>
              <w:jc w:val="center"/>
            </w:pPr>
            <w:r/>
            <w:r>
              <w:rPr>
                <w:b w:val="0"/>
                <w:i w:val="0"/>
                <w:sz w:val="17"/>
              </w:rPr>
              <w:t>67.49 ± 13.65</w:t>
            </w:r>
          </w:p>
        </w:tc>
        <w:tc>
          <w:tcPr>
            <w:tcW w:type="dxa" w:w="1417"/>
          </w:tcPr>
          <w:p>
            <w:pPr>
              <w:spacing w:line="240" w:lineRule="auto" w:after="0"/>
              <w:jc w:val="center"/>
            </w:pPr>
            <w:r/>
            <w:r>
              <w:rPr>
                <w:b w:val="0"/>
                <w:i w:val="0"/>
                <w:sz w:val="17"/>
              </w:rPr>
              <w:t>64.94 ± 13.14</w:t>
            </w:r>
          </w:p>
        </w:tc>
        <w:tc>
          <w:tcPr>
            <w:tcW w:type="dxa" w:w="737"/>
          </w:tcPr>
          <w:p>
            <w:pPr>
              <w:spacing w:line="240" w:lineRule="auto" w:after="0"/>
              <w:jc w:val="center"/>
            </w:pPr>
            <w:r/>
            <w:r>
              <w:rPr>
                <w:b w:val="0"/>
                <w:i w:val="0"/>
                <w:sz w:val="17"/>
              </w:rPr>
              <w:t>.389</w:t>
            </w:r>
          </w:p>
        </w:tc>
      </w:tr>
      <w:tr>
        <w:tc>
          <w:tcPr>
            <w:tcW w:type="dxa" w:w="2381"/>
          </w:tcPr>
          <w:p>
            <w:pPr>
              <w:spacing w:line="240" w:lineRule="auto" w:after="0"/>
            </w:pPr>
            <w:r/>
            <w:r>
              <w:rPr>
                <w:b w:val="0"/>
                <w:i w:val="0"/>
                <w:sz w:val="17"/>
              </w:rPr>
              <w:t>술전 Tegner 점수</w:t>
            </w:r>
          </w:p>
        </w:tc>
        <w:tc>
          <w:tcPr>
            <w:tcW w:type="dxa" w:w="1417"/>
          </w:tcPr>
          <w:p>
            <w:pPr>
              <w:spacing w:line="240" w:lineRule="auto" w:after="0"/>
              <w:jc w:val="center"/>
            </w:pPr>
            <w:r/>
            <w:r>
              <w:rPr>
                <w:b w:val="0"/>
                <w:i w:val="0"/>
                <w:sz w:val="17"/>
              </w:rPr>
              <w:t>6.27 ± 1.63</w:t>
            </w:r>
          </w:p>
        </w:tc>
        <w:tc>
          <w:tcPr>
            <w:tcW w:type="dxa" w:w="1417"/>
          </w:tcPr>
          <w:p>
            <w:pPr>
              <w:spacing w:line="240" w:lineRule="auto" w:after="0"/>
              <w:jc w:val="center"/>
            </w:pPr>
            <w:r/>
            <w:r>
              <w:rPr>
                <w:b w:val="0"/>
                <w:i w:val="0"/>
                <w:sz w:val="17"/>
              </w:rPr>
              <w:t>5.97 ± 1.95</w:t>
            </w:r>
          </w:p>
        </w:tc>
        <w:tc>
          <w:tcPr>
            <w:tcW w:type="dxa" w:w="1417"/>
          </w:tcPr>
          <w:p>
            <w:pPr>
              <w:spacing w:line="240" w:lineRule="auto" w:after="0"/>
              <w:jc w:val="center"/>
            </w:pPr>
            <w:r/>
            <w:r>
              <w:rPr>
                <w:b w:val="0"/>
                <w:i w:val="0"/>
                <w:sz w:val="17"/>
              </w:rPr>
              <w:t>6.17 ± 1.40</w:t>
            </w:r>
          </w:p>
        </w:tc>
        <w:tc>
          <w:tcPr>
            <w:tcW w:type="dxa" w:w="1417"/>
          </w:tcPr>
          <w:p>
            <w:pPr>
              <w:spacing w:line="240" w:lineRule="auto" w:after="0"/>
              <w:jc w:val="center"/>
            </w:pPr>
            <w:r/>
            <w:r>
              <w:rPr>
                <w:b w:val="0"/>
                <w:i w:val="0"/>
                <w:sz w:val="17"/>
              </w:rPr>
              <w:t>7.00 ± 1.27</w:t>
            </w:r>
          </w:p>
        </w:tc>
        <w:tc>
          <w:tcPr>
            <w:tcW w:type="dxa" w:w="737"/>
          </w:tcPr>
          <w:p>
            <w:pPr>
              <w:spacing w:line="240" w:lineRule="auto" w:after="0"/>
              <w:jc w:val="center"/>
            </w:pPr>
            <w:r/>
            <w:r>
              <w:rPr>
                <w:b w:val="0"/>
                <w:i w:val="0"/>
                <w:sz w:val="17"/>
              </w:rPr>
              <w:t>.097</w:t>
            </w:r>
          </w:p>
        </w:tc>
      </w:tr>
      <w:tr>
        <w:tc>
          <w:tcPr>
            <w:tcW w:type="dxa" w:w="2381"/>
          </w:tcPr>
          <w:p>
            <w:pPr>
              <w:spacing w:line="240" w:lineRule="auto" w:after="0"/>
            </w:pPr>
            <w:r/>
            <w:r>
              <w:rPr>
                <w:b w:val="0"/>
                <w:i w:val="0"/>
                <w:sz w:val="17"/>
              </w:rPr>
              <w:t>술전 거골경사각 (°)</w:t>
            </w:r>
          </w:p>
        </w:tc>
        <w:tc>
          <w:tcPr>
            <w:tcW w:type="dxa" w:w="1417"/>
          </w:tcPr>
          <w:p>
            <w:pPr>
              <w:spacing w:line="240" w:lineRule="auto" w:after="0"/>
              <w:jc w:val="center"/>
            </w:pPr>
            <w:r/>
            <w:r>
              <w:rPr>
                <w:b w:val="0"/>
                <w:i w:val="0"/>
                <w:sz w:val="17"/>
              </w:rPr>
              <w:t>9.27 ± 4.64</w:t>
            </w:r>
          </w:p>
        </w:tc>
        <w:tc>
          <w:tcPr>
            <w:tcW w:type="dxa" w:w="1417"/>
          </w:tcPr>
          <w:p>
            <w:pPr>
              <w:spacing w:line="240" w:lineRule="auto" w:after="0"/>
              <w:jc w:val="center"/>
            </w:pPr>
            <w:r/>
            <w:r>
              <w:rPr>
                <w:b w:val="0"/>
                <w:i w:val="0"/>
                <w:sz w:val="17"/>
              </w:rPr>
              <w:t>10.52 ± 4.59</w:t>
            </w:r>
          </w:p>
        </w:tc>
        <w:tc>
          <w:tcPr>
            <w:tcW w:type="dxa" w:w="1417"/>
          </w:tcPr>
          <w:p>
            <w:pPr>
              <w:spacing w:line="240" w:lineRule="auto" w:after="0"/>
              <w:jc w:val="center"/>
            </w:pPr>
            <w:r/>
            <w:r>
              <w:rPr>
                <w:b w:val="0"/>
                <w:i w:val="0"/>
                <w:sz w:val="17"/>
              </w:rPr>
              <w:t>8.06 ± 3.87</w:t>
            </w:r>
          </w:p>
        </w:tc>
        <w:tc>
          <w:tcPr>
            <w:tcW w:type="dxa" w:w="1417"/>
          </w:tcPr>
          <w:p>
            <w:pPr>
              <w:spacing w:line="240" w:lineRule="auto" w:after="0"/>
              <w:jc w:val="center"/>
            </w:pPr>
            <w:r/>
            <w:r>
              <w:rPr>
                <w:b w:val="0"/>
                <w:i w:val="0"/>
                <w:sz w:val="17"/>
              </w:rPr>
              <w:t>9.63 ± 5.74</w:t>
            </w:r>
          </w:p>
        </w:tc>
        <w:tc>
          <w:tcPr>
            <w:tcW w:type="dxa" w:w="737"/>
          </w:tcPr>
          <w:p>
            <w:pPr>
              <w:spacing w:line="240" w:lineRule="auto" w:after="0"/>
              <w:jc w:val="center"/>
            </w:pPr>
            <w:r/>
            <w:r>
              <w:rPr>
                <w:b w:val="0"/>
                <w:i w:val="0"/>
                <w:sz w:val="17"/>
              </w:rPr>
              <w:t>.155</w:t>
            </w:r>
          </w:p>
        </w:tc>
      </w:tr>
      <w:tr>
        <w:tc>
          <w:tcPr>
            <w:tcW w:type="dxa" w:w="2381"/>
          </w:tcPr>
          <w:p>
            <w:pPr>
              <w:spacing w:line="240" w:lineRule="auto" w:after="0"/>
            </w:pPr>
            <w:r/>
            <w:r>
              <w:rPr>
                <w:b w:val="0"/>
                <w:i w:val="0"/>
                <w:sz w:val="17"/>
              </w:rPr>
              <w:t>술전 전방 전위 (mm)</w:t>
            </w:r>
          </w:p>
        </w:tc>
        <w:tc>
          <w:tcPr>
            <w:tcW w:type="dxa" w:w="1417"/>
          </w:tcPr>
          <w:p>
            <w:pPr>
              <w:spacing w:line="240" w:lineRule="auto" w:after="0"/>
              <w:jc w:val="center"/>
            </w:pPr>
            <w:r/>
            <w:r>
              <w:rPr>
                <w:b w:val="0"/>
                <w:i w:val="0"/>
                <w:sz w:val="17"/>
              </w:rPr>
              <w:t>5.97 ± 1.83</w:t>
            </w:r>
          </w:p>
        </w:tc>
        <w:tc>
          <w:tcPr>
            <w:tcW w:type="dxa" w:w="1417"/>
          </w:tcPr>
          <w:p>
            <w:pPr>
              <w:spacing w:line="240" w:lineRule="auto" w:after="0"/>
              <w:jc w:val="center"/>
            </w:pPr>
            <w:r/>
            <w:r>
              <w:rPr>
                <w:b w:val="0"/>
                <w:i w:val="0"/>
                <w:sz w:val="17"/>
              </w:rPr>
              <w:t>6.16 ± 1.87</w:t>
            </w:r>
          </w:p>
        </w:tc>
        <w:tc>
          <w:tcPr>
            <w:tcW w:type="dxa" w:w="1417"/>
          </w:tcPr>
          <w:p>
            <w:pPr>
              <w:spacing w:line="240" w:lineRule="auto" w:after="0"/>
              <w:jc w:val="center"/>
            </w:pPr>
            <w:r/>
            <w:r>
              <w:rPr>
                <w:b w:val="0"/>
                <w:i w:val="0"/>
                <w:sz w:val="17"/>
              </w:rPr>
              <w:t>5.91 ± 2.00</w:t>
            </w:r>
          </w:p>
        </w:tc>
        <w:tc>
          <w:tcPr>
            <w:tcW w:type="dxa" w:w="1417"/>
          </w:tcPr>
          <w:p>
            <w:pPr>
              <w:spacing w:line="240" w:lineRule="auto" w:after="0"/>
              <w:jc w:val="center"/>
            </w:pPr>
            <w:r/>
            <w:r>
              <w:rPr>
                <w:b w:val="0"/>
                <w:i w:val="0"/>
                <w:sz w:val="17"/>
              </w:rPr>
              <w:t>5.79 ± 1.43</w:t>
            </w:r>
          </w:p>
        </w:tc>
        <w:tc>
          <w:tcPr>
            <w:tcW w:type="dxa" w:w="737"/>
          </w:tcPr>
          <w:p>
            <w:pPr>
              <w:spacing w:line="240" w:lineRule="auto" w:after="0"/>
              <w:jc w:val="center"/>
            </w:pPr>
            <w:r/>
            <w:r>
              <w:rPr>
                <w:b w:val="0"/>
                <w:i w:val="0"/>
                <w:sz w:val="17"/>
              </w:rPr>
              <w:t>.907</w:t>
            </w:r>
          </w:p>
        </w:tc>
      </w:tr>
      <w:tr>
        <w:tc>
          <w:tcPr>
            <w:tcW w:type="dxa" w:w="2381"/>
          </w:tcPr>
          <w:p>
            <w:pPr>
              <w:spacing w:line="240" w:lineRule="auto" w:after="0"/>
            </w:pPr>
            <w:r/>
            <w:r>
              <w:rPr>
                <w:b w:val="0"/>
                <w:i w:val="0"/>
                <w:sz w:val="17"/>
              </w:rPr>
              <w:t>술전 건측과의 거골경사각 차이 (°)</w:t>
            </w:r>
          </w:p>
        </w:tc>
        <w:tc>
          <w:tcPr>
            <w:tcW w:type="dxa" w:w="1417"/>
          </w:tcPr>
          <w:p>
            <w:pPr>
              <w:spacing w:line="240" w:lineRule="auto" w:after="0"/>
              <w:jc w:val="center"/>
            </w:pPr>
            <w:r/>
            <w:r>
              <w:rPr>
                <w:b w:val="0"/>
                <w:i w:val="0"/>
                <w:sz w:val="17"/>
              </w:rPr>
              <w:t>3.92 ± 4.67</w:t>
            </w:r>
          </w:p>
        </w:tc>
        <w:tc>
          <w:tcPr>
            <w:tcW w:type="dxa" w:w="1417"/>
          </w:tcPr>
          <w:p>
            <w:pPr>
              <w:spacing w:line="240" w:lineRule="auto" w:after="0"/>
              <w:jc w:val="center"/>
            </w:pPr>
            <w:r/>
            <w:r>
              <w:rPr>
                <w:b w:val="0"/>
                <w:i w:val="0"/>
                <w:sz w:val="17"/>
              </w:rPr>
              <w:t>4.55 ± 5.31</w:t>
            </w:r>
          </w:p>
        </w:tc>
        <w:tc>
          <w:tcPr>
            <w:tcW w:type="dxa" w:w="1417"/>
          </w:tcPr>
          <w:p>
            <w:pPr>
              <w:spacing w:line="240" w:lineRule="auto" w:after="0"/>
              <w:jc w:val="center"/>
            </w:pPr>
            <w:r/>
            <w:r>
              <w:rPr>
                <w:b w:val="0"/>
                <w:i w:val="0"/>
                <w:sz w:val="17"/>
              </w:rPr>
              <w:t>3.36 ± 4.46</w:t>
            </w:r>
          </w:p>
        </w:tc>
        <w:tc>
          <w:tcPr>
            <w:tcW w:type="dxa" w:w="1417"/>
          </w:tcPr>
          <w:p>
            <w:pPr>
              <w:spacing w:line="240" w:lineRule="auto" w:after="0"/>
              <w:jc w:val="center"/>
            </w:pPr>
            <w:r/>
            <w:r>
              <w:rPr>
                <w:b w:val="0"/>
                <w:i w:val="0"/>
                <w:sz w:val="17"/>
              </w:rPr>
              <w:t>4.02 ± 4.00</w:t>
            </w:r>
          </w:p>
        </w:tc>
        <w:tc>
          <w:tcPr>
            <w:tcW w:type="dxa" w:w="737"/>
          </w:tcPr>
          <w:p>
            <w:pPr>
              <w:spacing w:line="240" w:lineRule="auto" w:after="0"/>
              <w:jc w:val="center"/>
            </w:pPr>
            <w:r/>
            <w:r>
              <w:rPr>
                <w:b w:val="0"/>
                <w:i w:val="0"/>
                <w:sz w:val="17"/>
              </w:rPr>
              <w:t>.735</w:t>
            </w:r>
          </w:p>
        </w:tc>
      </w:tr>
      <w:tr>
        <w:tc>
          <w:tcPr>
            <w:tcW w:type="dxa" w:w="2381"/>
          </w:tcPr>
          <w:p>
            <w:pPr>
              <w:spacing w:line="240" w:lineRule="auto" w:after="0"/>
            </w:pPr>
            <w:r/>
            <w:r>
              <w:rPr>
                <w:b w:val="0"/>
                <w:i w:val="0"/>
                <w:sz w:val="17"/>
              </w:rPr>
              <w:t>술전 건측과의 전방 전위 차이 (mm)</w:t>
            </w:r>
          </w:p>
        </w:tc>
        <w:tc>
          <w:tcPr>
            <w:tcW w:type="dxa" w:w="1417"/>
          </w:tcPr>
          <w:p>
            <w:pPr>
              <w:spacing w:line="240" w:lineRule="auto" w:after="0"/>
              <w:jc w:val="center"/>
            </w:pPr>
            <w:r/>
            <w:r>
              <w:rPr>
                <w:b w:val="0"/>
                <w:i w:val="0"/>
                <w:sz w:val="17"/>
              </w:rPr>
              <w:t>0.50 ± 1.55</w:t>
            </w:r>
          </w:p>
        </w:tc>
        <w:tc>
          <w:tcPr>
            <w:tcW w:type="dxa" w:w="1417"/>
          </w:tcPr>
          <w:p>
            <w:pPr>
              <w:spacing w:line="240" w:lineRule="auto" w:after="0"/>
              <w:jc w:val="center"/>
            </w:pPr>
            <w:r/>
            <w:r>
              <w:rPr>
                <w:b w:val="0"/>
                <w:i w:val="0"/>
                <w:sz w:val="17"/>
              </w:rPr>
              <w:t>0.51 ± 1.57</w:t>
            </w:r>
          </w:p>
        </w:tc>
        <w:tc>
          <w:tcPr>
            <w:tcW w:type="dxa" w:w="1417"/>
          </w:tcPr>
          <w:p>
            <w:pPr>
              <w:spacing w:line="240" w:lineRule="auto" w:after="0"/>
              <w:jc w:val="center"/>
            </w:pPr>
            <w:r/>
            <w:r>
              <w:rPr>
                <w:b w:val="0"/>
                <w:i w:val="0"/>
                <w:sz w:val="17"/>
              </w:rPr>
              <w:t>0.40 ± 1.66</w:t>
            </w:r>
          </w:p>
        </w:tc>
        <w:tc>
          <w:tcPr>
            <w:tcW w:type="dxa" w:w="1417"/>
          </w:tcPr>
          <w:p>
            <w:pPr>
              <w:spacing w:line="240" w:lineRule="auto" w:after="0"/>
              <w:jc w:val="center"/>
            </w:pPr>
            <w:r/>
            <w:r>
              <w:rPr>
                <w:b w:val="0"/>
                <w:i w:val="0"/>
                <w:sz w:val="17"/>
              </w:rPr>
              <w:t>0.73 ± 1.32</w:t>
            </w:r>
          </w:p>
        </w:tc>
        <w:tc>
          <w:tcPr>
            <w:tcW w:type="dxa" w:w="737"/>
          </w:tcPr>
          <w:p>
            <w:pPr>
              <w:spacing w:line="240" w:lineRule="auto" w:after="0"/>
              <w:jc w:val="center"/>
            </w:pPr>
            <w:r/>
            <w:r>
              <w:rPr>
                <w:b w:val="0"/>
                <w:i w:val="0"/>
                <w:sz w:val="17"/>
              </w:rPr>
              <w:t>.709</w:t>
            </w:r>
          </w:p>
        </w:tc>
      </w:tr>
    </w:tbl>
    <w:p>
      <w:pPr>
        <w:spacing w:after="240" w:line="240" w:lineRule="auto"/>
      </w:pPr>
      <w:r>
        <w:rPr>
          <w:b w:val="0"/>
          <w:i w:val="0"/>
          <w:sz w:val="17"/>
        </w:rPr>
        <w:t xml:space="preserve">값은 평균 ± 표준편차 또는 증례 수. P 값은 Kruskal-Wallis 검정(연속변수) 또는 카이제곱 검정(범주형 변수). 1명이 양측 수술을 받아(80명 81예) 성별은 발목 단위로 집계함. 건측과의 차이 = 환측 − 건측. AOFAS, American Orthopaedic Foot and Ankle Society; KP, Karlsson-Peterson; VAS, visual analogue scale. </w:t>
      </w:r>
      <w:r>
        <w:rPr>
          <w:b w:val="0"/>
          <w:i w:val="0"/>
          <w:sz w:val="17"/>
          <w:highlight w:val="yellow"/>
        </w:rPr>
        <w:t>[증상 기간, 동반 병변 자료가 있으면 추가]</w:t>
      </w:r>
    </w:p>
    <w:p>
      <w:pPr>
        <w:spacing w:after="60" w:line="240" w:lineRule="auto"/>
      </w:pPr>
      <w:r>
        <w:rPr>
          <w:b/>
          <w:i w:val="0"/>
          <w:sz w:val="20"/>
        </w:rPr>
        <w:t>표 2. 수술 전과 최종 추시 시 임상적 결과</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2381"/>
          </w:tcPr>
          <w:p>
            <w:pPr>
              <w:spacing w:line="240" w:lineRule="auto" w:after="0"/>
            </w:pPr>
            <w:r/>
            <w:r>
              <w:rPr>
                <w:b/>
                <w:i w:val="0"/>
                <w:sz w:val="17"/>
              </w:rPr>
              <w:t>변수</w:t>
            </w:r>
          </w:p>
        </w:tc>
        <w:tc>
          <w:tcPr>
            <w:tcW w:type="dxa" w:w="1417"/>
          </w:tcPr>
          <w:p>
            <w:pPr>
              <w:spacing w:line="240" w:lineRule="auto" w:after="0"/>
              <w:jc w:val="center"/>
            </w:pPr>
            <w:r/>
            <w:r>
              <w:rPr>
                <w:b/>
                <w:i w:val="0"/>
                <w:sz w:val="17"/>
              </w:rPr>
              <w:t>전체 (n = 81)</w:t>
            </w:r>
          </w:p>
        </w:tc>
        <w:tc>
          <w:tcPr>
            <w:tcW w:type="dxa" w:w="1417"/>
          </w:tcPr>
          <w:p>
            <w:pPr>
              <w:spacing w:line="240" w:lineRule="auto" w:after="0"/>
              <w:jc w:val="center"/>
            </w:pPr>
            <w:r/>
            <w:r>
              <w:rPr>
                <w:b/>
                <w:i w:val="0"/>
                <w:sz w:val="17"/>
              </w:rPr>
              <w:t>해부학적군 (n = 29)</w:t>
            </w:r>
          </w:p>
        </w:tc>
        <w:tc>
          <w:tcPr>
            <w:tcW w:type="dxa" w:w="1417"/>
          </w:tcPr>
          <w:p>
            <w:pPr>
              <w:spacing w:line="240" w:lineRule="auto" w:after="0"/>
              <w:jc w:val="center"/>
            </w:pPr>
            <w:r/>
            <w:r>
              <w:rPr>
                <w:b/>
                <w:i w:val="0"/>
                <w:sz w:val="17"/>
              </w:rPr>
              <w:t>준해부학적군 (n = 35)</w:t>
            </w:r>
          </w:p>
        </w:tc>
        <w:tc>
          <w:tcPr>
            <w:tcW w:type="dxa" w:w="1417"/>
          </w:tcPr>
          <w:p>
            <w:pPr>
              <w:spacing w:line="240" w:lineRule="auto" w:after="0"/>
              <w:jc w:val="center"/>
            </w:pPr>
            <w:r/>
            <w:r>
              <w:rPr>
                <w:b/>
                <w:i w:val="0"/>
                <w:sz w:val="17"/>
              </w:rPr>
              <w:t>비해부학적군 (n = 17)</w:t>
            </w:r>
          </w:p>
        </w:tc>
        <w:tc>
          <w:tcPr>
            <w:tcW w:type="dxa" w:w="737"/>
          </w:tcPr>
          <w:p>
            <w:pPr>
              <w:spacing w:line="240" w:lineRule="auto" w:after="0"/>
              <w:jc w:val="center"/>
            </w:pPr>
            <w:r/>
            <w:r>
              <w:rPr>
                <w:b/>
                <w:i w:val="0"/>
                <w:sz w:val="17"/>
              </w:rPr>
              <w:t>P</w:t>
            </w:r>
          </w:p>
        </w:tc>
      </w:tr>
      <w:tr>
        <w:tc>
          <w:tcPr>
            <w:tcW w:type="dxa" w:w="2381"/>
          </w:tcPr>
          <w:p>
            <w:pPr>
              <w:spacing w:line="240" w:lineRule="auto" w:after="0"/>
            </w:pPr>
            <w:r/>
            <w:r>
              <w:rPr>
                <w:b/>
                <w:i w:val="0"/>
                <w:sz w:val="17"/>
              </w:rPr>
              <w:t>VAS</w:t>
            </w:r>
          </w:p>
        </w:tc>
        <w:tc>
          <w:tcPr>
            <w:tcW w:type="dxa" w:w="1417"/>
          </w:tcPr>
          <w:p>
            <w:pPr>
              <w:spacing w:line="240" w:lineRule="auto" w:after="0"/>
              <w:jc w:val="center"/>
            </w:pPr>
            <w:r/>
          </w:p>
        </w:tc>
        <w:tc>
          <w:tcPr>
            <w:tcW w:type="dxa" w:w="1417"/>
          </w:tcPr>
          <w:p>
            <w:pPr>
              <w:spacing w:line="240" w:lineRule="auto" w:after="0"/>
              <w:jc w:val="center"/>
            </w:pPr>
            <w:r/>
          </w:p>
        </w:tc>
        <w:tc>
          <w:tcPr>
            <w:tcW w:type="dxa" w:w="1417"/>
          </w:tcPr>
          <w:p>
            <w:pPr>
              <w:spacing w:line="240" w:lineRule="auto" w:after="0"/>
              <w:jc w:val="center"/>
            </w:pPr>
            <w:r/>
          </w:p>
        </w:tc>
        <w:tc>
          <w:tcPr>
            <w:tcW w:type="dxa" w:w="1417"/>
          </w:tcPr>
          <w:p>
            <w:pPr>
              <w:spacing w:line="240" w:lineRule="auto" w:after="0"/>
              <w:jc w:val="center"/>
            </w:pPr>
            <w:r/>
          </w:p>
        </w:tc>
        <w:tc>
          <w:tcPr>
            <w:tcW w:type="dxa" w:w="737"/>
          </w:tcPr>
          <w:p>
            <w:pPr>
              <w:spacing w:line="240" w:lineRule="auto" w:after="0"/>
              <w:jc w:val="center"/>
            </w:pPr>
            <w:r/>
          </w:p>
        </w:tc>
      </w:tr>
      <w:tr>
        <w:tc>
          <w:tcPr>
            <w:tcW w:type="dxa" w:w="2381"/>
          </w:tcPr>
          <w:p>
            <w:pPr>
              <w:spacing w:line="240" w:lineRule="auto" w:after="0"/>
            </w:pPr>
            <w:r/>
            <w:r>
              <w:rPr>
                <w:b w:val="0"/>
                <w:i w:val="0"/>
                <w:sz w:val="17"/>
              </w:rPr>
              <w:t xml:space="preserve">  술전</w:t>
            </w:r>
          </w:p>
        </w:tc>
        <w:tc>
          <w:tcPr>
            <w:tcW w:type="dxa" w:w="1417"/>
          </w:tcPr>
          <w:p>
            <w:pPr>
              <w:spacing w:line="240" w:lineRule="auto" w:after="0"/>
              <w:jc w:val="center"/>
            </w:pPr>
            <w:r/>
            <w:r>
              <w:rPr>
                <w:b w:val="0"/>
                <w:i w:val="0"/>
                <w:sz w:val="17"/>
              </w:rPr>
              <w:t>4.37 ± 1.32</w:t>
            </w:r>
          </w:p>
        </w:tc>
        <w:tc>
          <w:tcPr>
            <w:tcW w:type="dxa" w:w="1417"/>
          </w:tcPr>
          <w:p>
            <w:pPr>
              <w:spacing w:line="240" w:lineRule="auto" w:after="0"/>
              <w:jc w:val="center"/>
            </w:pPr>
            <w:r/>
            <w:r>
              <w:rPr>
                <w:b w:val="0"/>
                <w:i w:val="0"/>
                <w:sz w:val="17"/>
              </w:rPr>
              <w:t>4.00 ± 1.07</w:t>
            </w:r>
          </w:p>
        </w:tc>
        <w:tc>
          <w:tcPr>
            <w:tcW w:type="dxa" w:w="1417"/>
          </w:tcPr>
          <w:p>
            <w:pPr>
              <w:spacing w:line="240" w:lineRule="auto" w:after="0"/>
              <w:jc w:val="center"/>
            </w:pPr>
            <w:r/>
            <w:r>
              <w:rPr>
                <w:b w:val="0"/>
                <w:i w:val="0"/>
                <w:sz w:val="17"/>
              </w:rPr>
              <w:t>4.54 ± 1.44</w:t>
            </w:r>
          </w:p>
        </w:tc>
        <w:tc>
          <w:tcPr>
            <w:tcW w:type="dxa" w:w="1417"/>
          </w:tcPr>
          <w:p>
            <w:pPr>
              <w:spacing w:line="240" w:lineRule="auto" w:after="0"/>
              <w:jc w:val="center"/>
            </w:pPr>
            <w:r/>
            <w:r>
              <w:rPr>
                <w:b w:val="0"/>
                <w:i w:val="0"/>
                <w:sz w:val="17"/>
              </w:rPr>
              <w:t>4.65 ± 1.37</w:t>
            </w:r>
          </w:p>
        </w:tc>
        <w:tc>
          <w:tcPr>
            <w:tcW w:type="dxa" w:w="737"/>
          </w:tcPr>
          <w:p>
            <w:pPr>
              <w:spacing w:line="240" w:lineRule="auto" w:after="0"/>
              <w:jc w:val="center"/>
            </w:pPr>
            <w:r/>
            <w:r>
              <w:rPr>
                <w:b w:val="0"/>
                <w:i w:val="0"/>
                <w:sz w:val="17"/>
              </w:rPr>
              <w:t>.163</w:t>
            </w:r>
          </w:p>
        </w:tc>
      </w:tr>
      <w:tr>
        <w:tc>
          <w:tcPr>
            <w:tcW w:type="dxa" w:w="2381"/>
          </w:tcPr>
          <w:p>
            <w:pPr>
              <w:spacing w:line="240" w:lineRule="auto" w:after="0"/>
            </w:pPr>
            <w:r/>
            <w:r>
              <w:rPr>
                <w:b w:val="0"/>
                <w:i w:val="0"/>
                <w:sz w:val="17"/>
              </w:rPr>
              <w:t xml:space="preserve">  최종 추시</w:t>
            </w:r>
          </w:p>
        </w:tc>
        <w:tc>
          <w:tcPr>
            <w:tcW w:type="dxa" w:w="1417"/>
          </w:tcPr>
          <w:p>
            <w:pPr>
              <w:spacing w:line="240" w:lineRule="auto" w:after="0"/>
              <w:jc w:val="center"/>
            </w:pPr>
            <w:r/>
            <w:r>
              <w:rPr>
                <w:b w:val="0"/>
                <w:i w:val="0"/>
                <w:sz w:val="17"/>
              </w:rPr>
              <w:t>1.69 ± 1.20</w:t>
            </w:r>
          </w:p>
        </w:tc>
        <w:tc>
          <w:tcPr>
            <w:tcW w:type="dxa" w:w="1417"/>
          </w:tcPr>
          <w:p>
            <w:pPr>
              <w:spacing w:line="240" w:lineRule="auto" w:after="0"/>
              <w:jc w:val="center"/>
            </w:pPr>
            <w:r/>
            <w:r>
              <w:rPr>
                <w:b w:val="0"/>
                <w:i w:val="0"/>
                <w:sz w:val="17"/>
              </w:rPr>
              <w:t>1.79 ± 1.24</w:t>
            </w:r>
          </w:p>
        </w:tc>
        <w:tc>
          <w:tcPr>
            <w:tcW w:type="dxa" w:w="1417"/>
          </w:tcPr>
          <w:p>
            <w:pPr>
              <w:spacing w:line="240" w:lineRule="auto" w:after="0"/>
              <w:jc w:val="center"/>
            </w:pPr>
            <w:r/>
            <w:r>
              <w:rPr>
                <w:b w:val="0"/>
                <w:i w:val="0"/>
                <w:sz w:val="17"/>
              </w:rPr>
              <w:t>1.54 ± 1.12</w:t>
            </w:r>
          </w:p>
        </w:tc>
        <w:tc>
          <w:tcPr>
            <w:tcW w:type="dxa" w:w="1417"/>
          </w:tcPr>
          <w:p>
            <w:pPr>
              <w:spacing w:line="240" w:lineRule="auto" w:after="0"/>
              <w:jc w:val="center"/>
            </w:pPr>
            <w:r/>
            <w:r>
              <w:rPr>
                <w:b w:val="0"/>
                <w:i w:val="0"/>
                <w:sz w:val="17"/>
              </w:rPr>
              <w:t>1.82 ± 1.33</w:t>
            </w:r>
          </w:p>
        </w:tc>
        <w:tc>
          <w:tcPr>
            <w:tcW w:type="dxa" w:w="737"/>
          </w:tcPr>
          <w:p>
            <w:pPr>
              <w:spacing w:line="240" w:lineRule="auto" w:after="0"/>
              <w:jc w:val="center"/>
            </w:pPr>
            <w:r/>
            <w:r>
              <w:rPr>
                <w:b w:val="0"/>
                <w:i w:val="0"/>
                <w:sz w:val="17"/>
              </w:rPr>
              <w:t>.671</w:t>
            </w:r>
          </w:p>
        </w:tc>
      </w:tr>
      <w:tr>
        <w:tc>
          <w:tcPr>
            <w:tcW w:type="dxa" w:w="2381"/>
          </w:tcPr>
          <w:p>
            <w:pPr>
              <w:spacing w:line="240" w:lineRule="auto" w:after="0"/>
            </w:pPr>
            <w:r/>
            <w:r>
              <w:rPr>
                <w:b w:val="0"/>
                <w:i w:val="0"/>
                <w:sz w:val="17"/>
              </w:rPr>
              <w:t xml:space="preserve">  변화량</w:t>
            </w:r>
          </w:p>
        </w:tc>
        <w:tc>
          <w:tcPr>
            <w:tcW w:type="dxa" w:w="1417"/>
          </w:tcPr>
          <w:p>
            <w:pPr>
              <w:spacing w:line="240" w:lineRule="auto" w:after="0"/>
              <w:jc w:val="center"/>
            </w:pPr>
            <w:r/>
            <w:r>
              <w:rPr>
                <w:b w:val="0"/>
                <w:i w:val="0"/>
                <w:sz w:val="17"/>
              </w:rPr>
              <w:t>-2.68 ± 1.65</w:t>
            </w:r>
          </w:p>
        </w:tc>
        <w:tc>
          <w:tcPr>
            <w:tcW w:type="dxa" w:w="1417"/>
          </w:tcPr>
          <w:p>
            <w:pPr>
              <w:spacing w:line="240" w:lineRule="auto" w:after="0"/>
              <w:jc w:val="center"/>
            </w:pPr>
            <w:r/>
            <w:r>
              <w:rPr>
                <w:b w:val="0"/>
                <w:i w:val="0"/>
                <w:sz w:val="17"/>
              </w:rPr>
              <w:t>-2.21 ± 1.54</w:t>
            </w:r>
          </w:p>
        </w:tc>
        <w:tc>
          <w:tcPr>
            <w:tcW w:type="dxa" w:w="1417"/>
          </w:tcPr>
          <w:p>
            <w:pPr>
              <w:spacing w:line="240" w:lineRule="auto" w:after="0"/>
              <w:jc w:val="center"/>
            </w:pPr>
            <w:r/>
            <w:r>
              <w:rPr>
                <w:b w:val="0"/>
                <w:i w:val="0"/>
                <w:sz w:val="17"/>
              </w:rPr>
              <w:t>-3.00 ± 1.61</w:t>
            </w:r>
          </w:p>
        </w:tc>
        <w:tc>
          <w:tcPr>
            <w:tcW w:type="dxa" w:w="1417"/>
          </w:tcPr>
          <w:p>
            <w:pPr>
              <w:spacing w:line="240" w:lineRule="auto" w:after="0"/>
              <w:jc w:val="center"/>
            </w:pPr>
            <w:r/>
            <w:r>
              <w:rPr>
                <w:b w:val="0"/>
                <w:i w:val="0"/>
                <w:sz w:val="17"/>
              </w:rPr>
              <w:t>-2.82 ± 1.81</w:t>
            </w:r>
          </w:p>
        </w:tc>
        <w:tc>
          <w:tcPr>
            <w:tcW w:type="dxa" w:w="737"/>
          </w:tcPr>
          <w:p>
            <w:pPr>
              <w:spacing w:line="240" w:lineRule="auto" w:after="0"/>
              <w:jc w:val="center"/>
            </w:pPr>
            <w:r/>
            <w:r>
              <w:rPr>
                <w:b w:val="0"/>
                <w:i w:val="0"/>
                <w:sz w:val="17"/>
              </w:rPr>
              <w:t>.190</w:t>
            </w:r>
          </w:p>
        </w:tc>
      </w:tr>
      <w:tr>
        <w:tc>
          <w:tcPr>
            <w:tcW w:type="dxa" w:w="2381"/>
          </w:tcPr>
          <w:p>
            <w:pPr>
              <w:spacing w:line="240" w:lineRule="auto" w:after="0"/>
            </w:pPr>
            <w:r/>
            <w:r>
              <w:rPr>
                <w:b w:val="0"/>
                <w:i w:val="0"/>
                <w:sz w:val="17"/>
              </w:rPr>
              <w:t xml:space="preserve">  P (술전 vs 최종)</w:t>
            </w:r>
          </w:p>
        </w:tc>
        <w:tc>
          <w:tcPr>
            <w:tcW w:type="dxa" w:w="1417"/>
          </w:tcPr>
          <w:p>
            <w:pPr>
              <w:spacing w:line="240" w:lineRule="auto" w:after="0"/>
              <w:jc w:val="center"/>
            </w:pPr>
            <w:r/>
            <w:r>
              <w:rPr>
                <w:b w:val="0"/>
                <w:i w:val="0"/>
                <w:sz w:val="17"/>
              </w:rPr>
              <w:t>&lt;.001</w:t>
            </w:r>
          </w:p>
        </w:tc>
        <w:tc>
          <w:tcPr>
            <w:tcW w:type="dxa" w:w="1417"/>
          </w:tcPr>
          <w:p>
            <w:pPr>
              <w:spacing w:line="240" w:lineRule="auto" w:after="0"/>
              <w:jc w:val="center"/>
            </w:pPr>
            <w:r/>
            <w:r>
              <w:rPr>
                <w:b w:val="0"/>
                <w:i w:val="0"/>
                <w:sz w:val="17"/>
              </w:rPr>
              <w:t>&lt;.001</w:t>
            </w:r>
          </w:p>
        </w:tc>
        <w:tc>
          <w:tcPr>
            <w:tcW w:type="dxa" w:w="1417"/>
          </w:tcPr>
          <w:p>
            <w:pPr>
              <w:spacing w:line="240" w:lineRule="auto" w:after="0"/>
              <w:jc w:val="center"/>
            </w:pPr>
            <w:r/>
            <w:r>
              <w:rPr>
                <w:b w:val="0"/>
                <w:i w:val="0"/>
                <w:sz w:val="17"/>
              </w:rPr>
              <w:t>&lt;.001</w:t>
            </w:r>
          </w:p>
        </w:tc>
        <w:tc>
          <w:tcPr>
            <w:tcW w:type="dxa" w:w="1417"/>
          </w:tcPr>
          <w:p>
            <w:pPr>
              <w:spacing w:line="240" w:lineRule="auto" w:after="0"/>
              <w:jc w:val="center"/>
            </w:pPr>
            <w:r/>
            <w:r>
              <w:rPr>
                <w:b w:val="0"/>
                <w:i w:val="0"/>
                <w:sz w:val="17"/>
              </w:rPr>
              <w:t>&lt;.001</w:t>
            </w:r>
          </w:p>
        </w:tc>
        <w:tc>
          <w:tcPr>
            <w:tcW w:type="dxa" w:w="737"/>
          </w:tcPr>
          <w:p>
            <w:pPr>
              <w:spacing w:line="240" w:lineRule="auto" w:after="0"/>
              <w:jc w:val="center"/>
            </w:pPr>
            <w:r/>
          </w:p>
        </w:tc>
      </w:tr>
      <w:tr>
        <w:tc>
          <w:tcPr>
            <w:tcW w:type="dxa" w:w="2381"/>
          </w:tcPr>
          <w:p>
            <w:pPr>
              <w:spacing w:line="240" w:lineRule="auto" w:after="0"/>
            </w:pPr>
            <w:r/>
            <w:r>
              <w:rPr>
                <w:b/>
                <w:i w:val="0"/>
                <w:sz w:val="17"/>
              </w:rPr>
              <w:t>KP 점수</w:t>
            </w:r>
          </w:p>
        </w:tc>
        <w:tc>
          <w:tcPr>
            <w:tcW w:type="dxa" w:w="1417"/>
          </w:tcPr>
          <w:p>
            <w:pPr>
              <w:spacing w:line="240" w:lineRule="auto" w:after="0"/>
              <w:jc w:val="center"/>
            </w:pPr>
            <w:r/>
          </w:p>
        </w:tc>
        <w:tc>
          <w:tcPr>
            <w:tcW w:type="dxa" w:w="1417"/>
          </w:tcPr>
          <w:p>
            <w:pPr>
              <w:spacing w:line="240" w:lineRule="auto" w:after="0"/>
              <w:jc w:val="center"/>
            </w:pPr>
            <w:r/>
          </w:p>
        </w:tc>
        <w:tc>
          <w:tcPr>
            <w:tcW w:type="dxa" w:w="1417"/>
          </w:tcPr>
          <w:p>
            <w:pPr>
              <w:spacing w:line="240" w:lineRule="auto" w:after="0"/>
              <w:jc w:val="center"/>
            </w:pPr>
            <w:r/>
          </w:p>
        </w:tc>
        <w:tc>
          <w:tcPr>
            <w:tcW w:type="dxa" w:w="1417"/>
          </w:tcPr>
          <w:p>
            <w:pPr>
              <w:spacing w:line="240" w:lineRule="auto" w:after="0"/>
              <w:jc w:val="center"/>
            </w:pPr>
            <w:r/>
          </w:p>
        </w:tc>
        <w:tc>
          <w:tcPr>
            <w:tcW w:type="dxa" w:w="737"/>
          </w:tcPr>
          <w:p>
            <w:pPr>
              <w:spacing w:line="240" w:lineRule="auto" w:after="0"/>
              <w:jc w:val="center"/>
            </w:pPr>
            <w:r/>
          </w:p>
        </w:tc>
      </w:tr>
      <w:tr>
        <w:tc>
          <w:tcPr>
            <w:tcW w:type="dxa" w:w="2381"/>
          </w:tcPr>
          <w:p>
            <w:pPr>
              <w:spacing w:line="240" w:lineRule="auto" w:after="0"/>
            </w:pPr>
            <w:r/>
            <w:r>
              <w:rPr>
                <w:b w:val="0"/>
                <w:i w:val="0"/>
                <w:sz w:val="17"/>
              </w:rPr>
              <w:t xml:space="preserve">  술전</w:t>
            </w:r>
          </w:p>
        </w:tc>
        <w:tc>
          <w:tcPr>
            <w:tcW w:type="dxa" w:w="1417"/>
          </w:tcPr>
          <w:p>
            <w:pPr>
              <w:spacing w:line="240" w:lineRule="auto" w:after="0"/>
              <w:jc w:val="center"/>
            </w:pPr>
            <w:r/>
            <w:r>
              <w:rPr>
                <w:b w:val="0"/>
                <w:i w:val="0"/>
                <w:sz w:val="17"/>
              </w:rPr>
              <w:t>51.65 ± 14.11</w:t>
            </w:r>
          </w:p>
        </w:tc>
        <w:tc>
          <w:tcPr>
            <w:tcW w:type="dxa" w:w="1417"/>
          </w:tcPr>
          <w:p>
            <w:pPr>
              <w:spacing w:line="240" w:lineRule="auto" w:after="0"/>
              <w:jc w:val="center"/>
            </w:pPr>
            <w:r/>
            <w:r>
              <w:rPr>
                <w:b w:val="0"/>
                <w:i w:val="0"/>
                <w:sz w:val="17"/>
              </w:rPr>
              <w:t>48.62 ± 15.01</w:t>
            </w:r>
          </w:p>
        </w:tc>
        <w:tc>
          <w:tcPr>
            <w:tcW w:type="dxa" w:w="1417"/>
          </w:tcPr>
          <w:p>
            <w:pPr>
              <w:spacing w:line="240" w:lineRule="auto" w:after="0"/>
              <w:jc w:val="center"/>
            </w:pPr>
            <w:r/>
            <w:r>
              <w:rPr>
                <w:b w:val="0"/>
                <w:i w:val="0"/>
                <w:sz w:val="17"/>
              </w:rPr>
              <w:t>53.74 ± 13.10</w:t>
            </w:r>
          </w:p>
        </w:tc>
        <w:tc>
          <w:tcPr>
            <w:tcW w:type="dxa" w:w="1417"/>
          </w:tcPr>
          <w:p>
            <w:pPr>
              <w:spacing w:line="240" w:lineRule="auto" w:after="0"/>
              <w:jc w:val="center"/>
            </w:pPr>
            <w:r/>
            <w:r>
              <w:rPr>
                <w:b w:val="0"/>
                <w:i w:val="0"/>
                <w:sz w:val="17"/>
              </w:rPr>
              <w:t>52.53 ± 14.49</w:t>
            </w:r>
          </w:p>
        </w:tc>
        <w:tc>
          <w:tcPr>
            <w:tcW w:type="dxa" w:w="737"/>
          </w:tcPr>
          <w:p>
            <w:pPr>
              <w:spacing w:line="240" w:lineRule="auto" w:after="0"/>
              <w:jc w:val="center"/>
            </w:pPr>
            <w:r/>
            <w:r>
              <w:rPr>
                <w:b w:val="0"/>
                <w:i w:val="0"/>
                <w:sz w:val="17"/>
              </w:rPr>
              <w:t>.510</w:t>
            </w:r>
          </w:p>
        </w:tc>
      </w:tr>
      <w:tr>
        <w:tc>
          <w:tcPr>
            <w:tcW w:type="dxa" w:w="2381"/>
          </w:tcPr>
          <w:p>
            <w:pPr>
              <w:spacing w:line="240" w:lineRule="auto" w:after="0"/>
            </w:pPr>
            <w:r/>
            <w:r>
              <w:rPr>
                <w:b w:val="0"/>
                <w:i w:val="0"/>
                <w:sz w:val="17"/>
              </w:rPr>
              <w:t xml:space="preserve">  최종 추시</w:t>
            </w:r>
          </w:p>
        </w:tc>
        <w:tc>
          <w:tcPr>
            <w:tcW w:type="dxa" w:w="1417"/>
          </w:tcPr>
          <w:p>
            <w:pPr>
              <w:spacing w:line="240" w:lineRule="auto" w:after="0"/>
              <w:jc w:val="center"/>
            </w:pPr>
            <w:r/>
            <w:r>
              <w:rPr>
                <w:b w:val="0"/>
                <w:i w:val="0"/>
                <w:sz w:val="17"/>
              </w:rPr>
              <w:t>93.84 ± 8.62</w:t>
            </w:r>
          </w:p>
        </w:tc>
        <w:tc>
          <w:tcPr>
            <w:tcW w:type="dxa" w:w="1417"/>
          </w:tcPr>
          <w:p>
            <w:pPr>
              <w:spacing w:line="240" w:lineRule="auto" w:after="0"/>
              <w:jc w:val="center"/>
            </w:pPr>
            <w:r/>
            <w:r>
              <w:rPr>
                <w:b w:val="0"/>
                <w:i w:val="0"/>
                <w:sz w:val="17"/>
              </w:rPr>
              <w:t>91.17 ± 10.72</w:t>
            </w:r>
          </w:p>
        </w:tc>
        <w:tc>
          <w:tcPr>
            <w:tcW w:type="dxa" w:w="1417"/>
          </w:tcPr>
          <w:p>
            <w:pPr>
              <w:spacing w:line="240" w:lineRule="auto" w:after="0"/>
              <w:jc w:val="center"/>
            </w:pPr>
            <w:r/>
            <w:r>
              <w:rPr>
                <w:b w:val="0"/>
                <w:i w:val="0"/>
                <w:sz w:val="17"/>
              </w:rPr>
              <w:t>95.46 ± 5.46</w:t>
            </w:r>
          </w:p>
        </w:tc>
        <w:tc>
          <w:tcPr>
            <w:tcW w:type="dxa" w:w="1417"/>
          </w:tcPr>
          <w:p>
            <w:pPr>
              <w:spacing w:line="240" w:lineRule="auto" w:after="0"/>
              <w:jc w:val="center"/>
            </w:pPr>
            <w:r/>
            <w:r>
              <w:rPr>
                <w:b w:val="0"/>
                <w:i w:val="0"/>
                <w:sz w:val="17"/>
              </w:rPr>
              <w:t>95.06 ± 9.34</w:t>
            </w:r>
          </w:p>
        </w:tc>
        <w:tc>
          <w:tcPr>
            <w:tcW w:type="dxa" w:w="737"/>
          </w:tcPr>
          <w:p>
            <w:pPr>
              <w:spacing w:line="240" w:lineRule="auto" w:after="0"/>
              <w:jc w:val="center"/>
            </w:pPr>
            <w:r/>
            <w:r>
              <w:rPr>
                <w:b w:val="0"/>
                <w:i w:val="0"/>
                <w:sz w:val="17"/>
              </w:rPr>
              <w:t>.335</w:t>
            </w:r>
          </w:p>
        </w:tc>
      </w:tr>
      <w:tr>
        <w:tc>
          <w:tcPr>
            <w:tcW w:type="dxa" w:w="2381"/>
          </w:tcPr>
          <w:p>
            <w:pPr>
              <w:spacing w:line="240" w:lineRule="auto" w:after="0"/>
            </w:pPr>
            <w:r/>
            <w:r>
              <w:rPr>
                <w:b w:val="0"/>
                <w:i w:val="0"/>
                <w:sz w:val="17"/>
              </w:rPr>
              <w:t xml:space="preserve">  변화량</w:t>
            </w:r>
          </w:p>
        </w:tc>
        <w:tc>
          <w:tcPr>
            <w:tcW w:type="dxa" w:w="1417"/>
          </w:tcPr>
          <w:p>
            <w:pPr>
              <w:spacing w:line="240" w:lineRule="auto" w:after="0"/>
              <w:jc w:val="center"/>
            </w:pPr>
            <w:r/>
            <w:r>
              <w:rPr>
                <w:b w:val="0"/>
                <w:i w:val="0"/>
                <w:sz w:val="17"/>
              </w:rPr>
              <w:t>42.19 ± 13.33</w:t>
            </w:r>
          </w:p>
        </w:tc>
        <w:tc>
          <w:tcPr>
            <w:tcW w:type="dxa" w:w="1417"/>
          </w:tcPr>
          <w:p>
            <w:pPr>
              <w:spacing w:line="240" w:lineRule="auto" w:after="0"/>
              <w:jc w:val="center"/>
            </w:pPr>
            <w:r/>
            <w:r>
              <w:rPr>
                <w:b w:val="0"/>
                <w:i w:val="0"/>
                <w:sz w:val="17"/>
              </w:rPr>
              <w:t>42.55 ± 14.86</w:t>
            </w:r>
          </w:p>
        </w:tc>
        <w:tc>
          <w:tcPr>
            <w:tcW w:type="dxa" w:w="1417"/>
          </w:tcPr>
          <w:p>
            <w:pPr>
              <w:spacing w:line="240" w:lineRule="auto" w:after="0"/>
              <w:jc w:val="center"/>
            </w:pPr>
            <w:r/>
            <w:r>
              <w:rPr>
                <w:b w:val="0"/>
                <w:i w:val="0"/>
                <w:sz w:val="17"/>
              </w:rPr>
              <w:t>41.71 ± 11.10</w:t>
            </w:r>
          </w:p>
        </w:tc>
        <w:tc>
          <w:tcPr>
            <w:tcW w:type="dxa" w:w="1417"/>
          </w:tcPr>
          <w:p>
            <w:pPr>
              <w:spacing w:line="240" w:lineRule="auto" w:after="0"/>
              <w:jc w:val="center"/>
            </w:pPr>
            <w:r/>
            <w:r>
              <w:rPr>
                <w:b w:val="0"/>
                <w:i w:val="0"/>
                <w:sz w:val="17"/>
              </w:rPr>
              <w:t>42.53 ± 15.48</w:t>
            </w:r>
          </w:p>
        </w:tc>
        <w:tc>
          <w:tcPr>
            <w:tcW w:type="dxa" w:w="737"/>
          </w:tcPr>
          <w:p>
            <w:pPr>
              <w:spacing w:line="240" w:lineRule="auto" w:after="0"/>
              <w:jc w:val="center"/>
            </w:pPr>
            <w:r/>
            <w:r>
              <w:rPr>
                <w:b w:val="0"/>
                <w:i w:val="0"/>
                <w:sz w:val="17"/>
              </w:rPr>
              <w:t>.987</w:t>
            </w:r>
          </w:p>
        </w:tc>
      </w:tr>
      <w:tr>
        <w:tc>
          <w:tcPr>
            <w:tcW w:type="dxa" w:w="2381"/>
          </w:tcPr>
          <w:p>
            <w:pPr>
              <w:spacing w:line="240" w:lineRule="auto" w:after="0"/>
            </w:pPr>
            <w:r/>
            <w:r>
              <w:rPr>
                <w:b w:val="0"/>
                <w:i w:val="0"/>
                <w:sz w:val="17"/>
              </w:rPr>
              <w:t xml:space="preserve">  P (술전 vs 최종)</w:t>
            </w:r>
          </w:p>
        </w:tc>
        <w:tc>
          <w:tcPr>
            <w:tcW w:type="dxa" w:w="1417"/>
          </w:tcPr>
          <w:p>
            <w:pPr>
              <w:spacing w:line="240" w:lineRule="auto" w:after="0"/>
              <w:jc w:val="center"/>
            </w:pPr>
            <w:r/>
            <w:r>
              <w:rPr>
                <w:b w:val="0"/>
                <w:i w:val="0"/>
                <w:sz w:val="17"/>
              </w:rPr>
              <w:t>&lt;.001</w:t>
            </w:r>
          </w:p>
        </w:tc>
        <w:tc>
          <w:tcPr>
            <w:tcW w:type="dxa" w:w="1417"/>
          </w:tcPr>
          <w:p>
            <w:pPr>
              <w:spacing w:line="240" w:lineRule="auto" w:after="0"/>
              <w:jc w:val="center"/>
            </w:pPr>
            <w:r/>
            <w:r>
              <w:rPr>
                <w:b w:val="0"/>
                <w:i w:val="0"/>
                <w:sz w:val="17"/>
              </w:rPr>
              <w:t>&lt;.001</w:t>
            </w:r>
          </w:p>
        </w:tc>
        <w:tc>
          <w:tcPr>
            <w:tcW w:type="dxa" w:w="1417"/>
          </w:tcPr>
          <w:p>
            <w:pPr>
              <w:spacing w:line="240" w:lineRule="auto" w:after="0"/>
              <w:jc w:val="center"/>
            </w:pPr>
            <w:r/>
            <w:r>
              <w:rPr>
                <w:b w:val="0"/>
                <w:i w:val="0"/>
                <w:sz w:val="17"/>
              </w:rPr>
              <w:t>&lt;.001</w:t>
            </w:r>
          </w:p>
        </w:tc>
        <w:tc>
          <w:tcPr>
            <w:tcW w:type="dxa" w:w="1417"/>
          </w:tcPr>
          <w:p>
            <w:pPr>
              <w:spacing w:line="240" w:lineRule="auto" w:after="0"/>
              <w:jc w:val="center"/>
            </w:pPr>
            <w:r/>
            <w:r>
              <w:rPr>
                <w:b w:val="0"/>
                <w:i w:val="0"/>
                <w:sz w:val="17"/>
              </w:rPr>
              <w:t>&lt;.001</w:t>
            </w:r>
          </w:p>
        </w:tc>
        <w:tc>
          <w:tcPr>
            <w:tcW w:type="dxa" w:w="737"/>
          </w:tcPr>
          <w:p>
            <w:pPr>
              <w:spacing w:line="240" w:lineRule="auto" w:after="0"/>
              <w:jc w:val="center"/>
            </w:pPr>
            <w:r/>
          </w:p>
        </w:tc>
      </w:tr>
      <w:tr>
        <w:tc>
          <w:tcPr>
            <w:tcW w:type="dxa" w:w="2381"/>
          </w:tcPr>
          <w:p>
            <w:pPr>
              <w:spacing w:line="240" w:lineRule="auto" w:after="0"/>
            </w:pPr>
            <w:r/>
            <w:r>
              <w:rPr>
                <w:b/>
                <w:i w:val="0"/>
                <w:sz w:val="17"/>
              </w:rPr>
              <w:t>AOFAS 점수</w:t>
            </w:r>
          </w:p>
        </w:tc>
        <w:tc>
          <w:tcPr>
            <w:tcW w:type="dxa" w:w="1417"/>
          </w:tcPr>
          <w:p>
            <w:pPr>
              <w:spacing w:line="240" w:lineRule="auto" w:after="0"/>
              <w:jc w:val="center"/>
            </w:pPr>
            <w:r/>
          </w:p>
        </w:tc>
        <w:tc>
          <w:tcPr>
            <w:tcW w:type="dxa" w:w="1417"/>
          </w:tcPr>
          <w:p>
            <w:pPr>
              <w:spacing w:line="240" w:lineRule="auto" w:after="0"/>
              <w:jc w:val="center"/>
            </w:pPr>
            <w:r/>
          </w:p>
        </w:tc>
        <w:tc>
          <w:tcPr>
            <w:tcW w:type="dxa" w:w="1417"/>
          </w:tcPr>
          <w:p>
            <w:pPr>
              <w:spacing w:line="240" w:lineRule="auto" w:after="0"/>
              <w:jc w:val="center"/>
            </w:pPr>
            <w:r/>
          </w:p>
        </w:tc>
        <w:tc>
          <w:tcPr>
            <w:tcW w:type="dxa" w:w="1417"/>
          </w:tcPr>
          <w:p>
            <w:pPr>
              <w:spacing w:line="240" w:lineRule="auto" w:after="0"/>
              <w:jc w:val="center"/>
            </w:pPr>
            <w:r/>
          </w:p>
        </w:tc>
        <w:tc>
          <w:tcPr>
            <w:tcW w:type="dxa" w:w="737"/>
          </w:tcPr>
          <w:p>
            <w:pPr>
              <w:spacing w:line="240" w:lineRule="auto" w:after="0"/>
              <w:jc w:val="center"/>
            </w:pPr>
            <w:r/>
          </w:p>
        </w:tc>
      </w:tr>
      <w:tr>
        <w:tc>
          <w:tcPr>
            <w:tcW w:type="dxa" w:w="2381"/>
          </w:tcPr>
          <w:p>
            <w:pPr>
              <w:spacing w:line="240" w:lineRule="auto" w:after="0"/>
            </w:pPr>
            <w:r/>
            <w:r>
              <w:rPr>
                <w:b w:val="0"/>
                <w:i w:val="0"/>
                <w:sz w:val="17"/>
              </w:rPr>
              <w:t xml:space="preserve">  술전</w:t>
            </w:r>
          </w:p>
        </w:tc>
        <w:tc>
          <w:tcPr>
            <w:tcW w:type="dxa" w:w="1417"/>
          </w:tcPr>
          <w:p>
            <w:pPr>
              <w:spacing w:line="240" w:lineRule="auto" w:after="0"/>
              <w:jc w:val="center"/>
            </w:pPr>
            <w:r/>
            <w:r>
              <w:rPr>
                <w:b w:val="0"/>
                <w:i w:val="0"/>
                <w:sz w:val="17"/>
              </w:rPr>
              <w:t>67.62 ± 14.62</w:t>
            </w:r>
          </w:p>
        </w:tc>
        <w:tc>
          <w:tcPr>
            <w:tcW w:type="dxa" w:w="1417"/>
          </w:tcPr>
          <w:p>
            <w:pPr>
              <w:spacing w:line="240" w:lineRule="auto" w:after="0"/>
              <w:jc w:val="center"/>
            </w:pPr>
            <w:r/>
            <w:r>
              <w:rPr>
                <w:b w:val="0"/>
                <w:i w:val="0"/>
                <w:sz w:val="17"/>
              </w:rPr>
              <w:t>69.34 ± 16.67</w:t>
            </w:r>
          </w:p>
        </w:tc>
        <w:tc>
          <w:tcPr>
            <w:tcW w:type="dxa" w:w="1417"/>
          </w:tcPr>
          <w:p>
            <w:pPr>
              <w:spacing w:line="240" w:lineRule="auto" w:after="0"/>
              <w:jc w:val="center"/>
            </w:pPr>
            <w:r/>
            <w:r>
              <w:rPr>
                <w:b w:val="0"/>
                <w:i w:val="0"/>
                <w:sz w:val="17"/>
              </w:rPr>
              <w:t>67.49 ± 13.65</w:t>
            </w:r>
          </w:p>
        </w:tc>
        <w:tc>
          <w:tcPr>
            <w:tcW w:type="dxa" w:w="1417"/>
          </w:tcPr>
          <w:p>
            <w:pPr>
              <w:spacing w:line="240" w:lineRule="auto" w:after="0"/>
              <w:jc w:val="center"/>
            </w:pPr>
            <w:r/>
            <w:r>
              <w:rPr>
                <w:b w:val="0"/>
                <w:i w:val="0"/>
                <w:sz w:val="17"/>
              </w:rPr>
              <w:t>64.94 ± 13.14</w:t>
            </w:r>
          </w:p>
        </w:tc>
        <w:tc>
          <w:tcPr>
            <w:tcW w:type="dxa" w:w="737"/>
          </w:tcPr>
          <w:p>
            <w:pPr>
              <w:spacing w:line="240" w:lineRule="auto" w:after="0"/>
              <w:jc w:val="center"/>
            </w:pPr>
            <w:r/>
            <w:r>
              <w:rPr>
                <w:b w:val="0"/>
                <w:i w:val="0"/>
                <w:sz w:val="17"/>
              </w:rPr>
              <w:t>.389</w:t>
            </w:r>
          </w:p>
        </w:tc>
      </w:tr>
      <w:tr>
        <w:tc>
          <w:tcPr>
            <w:tcW w:type="dxa" w:w="2381"/>
          </w:tcPr>
          <w:p>
            <w:pPr>
              <w:spacing w:line="240" w:lineRule="auto" w:after="0"/>
            </w:pPr>
            <w:r/>
            <w:r>
              <w:rPr>
                <w:b w:val="0"/>
                <w:i w:val="0"/>
                <w:sz w:val="17"/>
              </w:rPr>
              <w:t xml:space="preserve">  최종 추시</w:t>
            </w:r>
          </w:p>
        </w:tc>
        <w:tc>
          <w:tcPr>
            <w:tcW w:type="dxa" w:w="1417"/>
          </w:tcPr>
          <w:p>
            <w:pPr>
              <w:spacing w:line="240" w:lineRule="auto" w:after="0"/>
              <w:jc w:val="center"/>
            </w:pPr>
            <w:r/>
            <w:r>
              <w:rPr>
                <w:b w:val="0"/>
                <w:i w:val="0"/>
                <w:sz w:val="17"/>
              </w:rPr>
              <w:t>96.44 ± 5.74</w:t>
            </w:r>
          </w:p>
        </w:tc>
        <w:tc>
          <w:tcPr>
            <w:tcW w:type="dxa" w:w="1417"/>
          </w:tcPr>
          <w:p>
            <w:pPr>
              <w:spacing w:line="240" w:lineRule="auto" w:after="0"/>
              <w:jc w:val="center"/>
            </w:pPr>
            <w:r/>
            <w:r>
              <w:rPr>
                <w:b w:val="0"/>
                <w:i w:val="0"/>
                <w:sz w:val="17"/>
              </w:rPr>
              <w:t>95.17 ± 6.13</w:t>
            </w:r>
          </w:p>
        </w:tc>
        <w:tc>
          <w:tcPr>
            <w:tcW w:type="dxa" w:w="1417"/>
          </w:tcPr>
          <w:p>
            <w:pPr>
              <w:spacing w:line="240" w:lineRule="auto" w:after="0"/>
              <w:jc w:val="center"/>
            </w:pPr>
            <w:r/>
            <w:r>
              <w:rPr>
                <w:b w:val="0"/>
                <w:i w:val="0"/>
                <w:sz w:val="17"/>
              </w:rPr>
              <w:t>97.51 ± 4.80</w:t>
            </w:r>
          </w:p>
        </w:tc>
        <w:tc>
          <w:tcPr>
            <w:tcW w:type="dxa" w:w="1417"/>
          </w:tcPr>
          <w:p>
            <w:pPr>
              <w:spacing w:line="240" w:lineRule="auto" w:after="0"/>
              <w:jc w:val="center"/>
            </w:pPr>
            <w:r/>
            <w:r>
              <w:rPr>
                <w:b w:val="0"/>
                <w:i w:val="0"/>
                <w:sz w:val="17"/>
              </w:rPr>
              <w:t>96.41 ± 6.68</w:t>
            </w:r>
          </w:p>
        </w:tc>
        <w:tc>
          <w:tcPr>
            <w:tcW w:type="dxa" w:w="737"/>
          </w:tcPr>
          <w:p>
            <w:pPr>
              <w:spacing w:line="240" w:lineRule="auto" w:after="0"/>
              <w:jc w:val="center"/>
            </w:pPr>
            <w:r/>
            <w:r>
              <w:rPr>
                <w:b w:val="0"/>
                <w:i w:val="0"/>
                <w:sz w:val="17"/>
              </w:rPr>
              <w:t>.354</w:t>
            </w:r>
          </w:p>
        </w:tc>
      </w:tr>
      <w:tr>
        <w:tc>
          <w:tcPr>
            <w:tcW w:type="dxa" w:w="2381"/>
          </w:tcPr>
          <w:p>
            <w:pPr>
              <w:spacing w:line="240" w:lineRule="auto" w:after="0"/>
            </w:pPr>
            <w:r/>
            <w:r>
              <w:rPr>
                <w:b w:val="0"/>
                <w:i w:val="0"/>
                <w:sz w:val="17"/>
              </w:rPr>
              <w:t xml:space="preserve">  변화량</w:t>
            </w:r>
          </w:p>
        </w:tc>
        <w:tc>
          <w:tcPr>
            <w:tcW w:type="dxa" w:w="1417"/>
          </w:tcPr>
          <w:p>
            <w:pPr>
              <w:spacing w:line="240" w:lineRule="auto" w:after="0"/>
              <w:jc w:val="center"/>
            </w:pPr>
            <w:r/>
            <w:r>
              <w:rPr>
                <w:b w:val="0"/>
                <w:i w:val="0"/>
                <w:sz w:val="17"/>
              </w:rPr>
              <w:t>28.83 ± 14.82</w:t>
            </w:r>
          </w:p>
        </w:tc>
        <w:tc>
          <w:tcPr>
            <w:tcW w:type="dxa" w:w="1417"/>
          </w:tcPr>
          <w:p>
            <w:pPr>
              <w:spacing w:line="240" w:lineRule="auto" w:after="0"/>
              <w:jc w:val="center"/>
            </w:pPr>
            <w:r/>
            <w:r>
              <w:rPr>
                <w:b w:val="0"/>
                <w:i w:val="0"/>
                <w:sz w:val="17"/>
              </w:rPr>
              <w:t>25.83 ± 17.14</w:t>
            </w:r>
          </w:p>
        </w:tc>
        <w:tc>
          <w:tcPr>
            <w:tcW w:type="dxa" w:w="1417"/>
          </w:tcPr>
          <w:p>
            <w:pPr>
              <w:spacing w:line="240" w:lineRule="auto" w:after="0"/>
              <w:jc w:val="center"/>
            </w:pPr>
            <w:r/>
            <w:r>
              <w:rPr>
                <w:b w:val="0"/>
                <w:i w:val="0"/>
                <w:sz w:val="17"/>
              </w:rPr>
              <w:t>30.03 ± 12.35</w:t>
            </w:r>
          </w:p>
        </w:tc>
        <w:tc>
          <w:tcPr>
            <w:tcW w:type="dxa" w:w="1417"/>
          </w:tcPr>
          <w:p>
            <w:pPr>
              <w:spacing w:line="240" w:lineRule="auto" w:after="0"/>
              <w:jc w:val="center"/>
            </w:pPr>
            <w:r/>
            <w:r>
              <w:rPr>
                <w:b w:val="0"/>
                <w:i w:val="0"/>
                <w:sz w:val="17"/>
              </w:rPr>
              <w:t>31.47 ± 15.24</w:t>
            </w:r>
          </w:p>
        </w:tc>
        <w:tc>
          <w:tcPr>
            <w:tcW w:type="dxa" w:w="737"/>
          </w:tcPr>
          <w:p>
            <w:pPr>
              <w:spacing w:line="240" w:lineRule="auto" w:after="0"/>
              <w:jc w:val="center"/>
            </w:pPr>
            <w:r/>
            <w:r>
              <w:rPr>
                <w:b w:val="0"/>
                <w:i w:val="0"/>
                <w:sz w:val="17"/>
              </w:rPr>
              <w:t>.241</w:t>
            </w:r>
          </w:p>
        </w:tc>
      </w:tr>
      <w:tr>
        <w:tc>
          <w:tcPr>
            <w:tcW w:type="dxa" w:w="2381"/>
          </w:tcPr>
          <w:p>
            <w:pPr>
              <w:spacing w:line="240" w:lineRule="auto" w:after="0"/>
            </w:pPr>
            <w:r/>
            <w:r>
              <w:rPr>
                <w:b w:val="0"/>
                <w:i w:val="0"/>
                <w:sz w:val="17"/>
              </w:rPr>
              <w:t xml:space="preserve">  P (술전 vs 최종)</w:t>
            </w:r>
          </w:p>
        </w:tc>
        <w:tc>
          <w:tcPr>
            <w:tcW w:type="dxa" w:w="1417"/>
          </w:tcPr>
          <w:p>
            <w:pPr>
              <w:spacing w:line="240" w:lineRule="auto" w:after="0"/>
              <w:jc w:val="center"/>
            </w:pPr>
            <w:r/>
            <w:r>
              <w:rPr>
                <w:b w:val="0"/>
                <w:i w:val="0"/>
                <w:sz w:val="17"/>
              </w:rPr>
              <w:t>&lt;.001</w:t>
            </w:r>
          </w:p>
        </w:tc>
        <w:tc>
          <w:tcPr>
            <w:tcW w:type="dxa" w:w="1417"/>
          </w:tcPr>
          <w:p>
            <w:pPr>
              <w:spacing w:line="240" w:lineRule="auto" w:after="0"/>
              <w:jc w:val="center"/>
            </w:pPr>
            <w:r/>
            <w:r>
              <w:rPr>
                <w:b w:val="0"/>
                <w:i w:val="0"/>
                <w:sz w:val="17"/>
              </w:rPr>
              <w:t>&lt;.001</w:t>
            </w:r>
          </w:p>
        </w:tc>
        <w:tc>
          <w:tcPr>
            <w:tcW w:type="dxa" w:w="1417"/>
          </w:tcPr>
          <w:p>
            <w:pPr>
              <w:spacing w:line="240" w:lineRule="auto" w:after="0"/>
              <w:jc w:val="center"/>
            </w:pPr>
            <w:r/>
            <w:r>
              <w:rPr>
                <w:b w:val="0"/>
                <w:i w:val="0"/>
                <w:sz w:val="17"/>
              </w:rPr>
              <w:t>&lt;.001</w:t>
            </w:r>
          </w:p>
        </w:tc>
        <w:tc>
          <w:tcPr>
            <w:tcW w:type="dxa" w:w="1417"/>
          </w:tcPr>
          <w:p>
            <w:pPr>
              <w:spacing w:line="240" w:lineRule="auto" w:after="0"/>
              <w:jc w:val="center"/>
            </w:pPr>
            <w:r/>
            <w:r>
              <w:rPr>
                <w:b w:val="0"/>
                <w:i w:val="0"/>
                <w:sz w:val="17"/>
              </w:rPr>
              <w:t>&lt;.001</w:t>
            </w:r>
          </w:p>
        </w:tc>
        <w:tc>
          <w:tcPr>
            <w:tcW w:type="dxa" w:w="737"/>
          </w:tcPr>
          <w:p>
            <w:pPr>
              <w:spacing w:line="240" w:lineRule="auto" w:after="0"/>
              <w:jc w:val="center"/>
            </w:pPr>
            <w:r/>
          </w:p>
        </w:tc>
      </w:tr>
      <w:tr>
        <w:tc>
          <w:tcPr>
            <w:tcW w:type="dxa" w:w="2381"/>
          </w:tcPr>
          <w:p>
            <w:pPr>
              <w:spacing w:line="240" w:lineRule="auto" w:after="0"/>
            </w:pPr>
            <w:r/>
            <w:r>
              <w:rPr>
                <w:b/>
                <w:i w:val="0"/>
                <w:sz w:val="17"/>
              </w:rPr>
              <w:t>Tegner 점수</w:t>
            </w:r>
          </w:p>
        </w:tc>
        <w:tc>
          <w:tcPr>
            <w:tcW w:type="dxa" w:w="1417"/>
          </w:tcPr>
          <w:p>
            <w:pPr>
              <w:spacing w:line="240" w:lineRule="auto" w:after="0"/>
              <w:jc w:val="center"/>
            </w:pPr>
            <w:r/>
          </w:p>
        </w:tc>
        <w:tc>
          <w:tcPr>
            <w:tcW w:type="dxa" w:w="1417"/>
          </w:tcPr>
          <w:p>
            <w:pPr>
              <w:spacing w:line="240" w:lineRule="auto" w:after="0"/>
              <w:jc w:val="center"/>
            </w:pPr>
            <w:r/>
          </w:p>
        </w:tc>
        <w:tc>
          <w:tcPr>
            <w:tcW w:type="dxa" w:w="1417"/>
          </w:tcPr>
          <w:p>
            <w:pPr>
              <w:spacing w:line="240" w:lineRule="auto" w:after="0"/>
              <w:jc w:val="center"/>
            </w:pPr>
            <w:r/>
          </w:p>
        </w:tc>
        <w:tc>
          <w:tcPr>
            <w:tcW w:type="dxa" w:w="1417"/>
          </w:tcPr>
          <w:p>
            <w:pPr>
              <w:spacing w:line="240" w:lineRule="auto" w:after="0"/>
              <w:jc w:val="center"/>
            </w:pPr>
            <w:r/>
          </w:p>
        </w:tc>
        <w:tc>
          <w:tcPr>
            <w:tcW w:type="dxa" w:w="737"/>
          </w:tcPr>
          <w:p>
            <w:pPr>
              <w:spacing w:line="240" w:lineRule="auto" w:after="0"/>
              <w:jc w:val="center"/>
            </w:pPr>
            <w:r/>
          </w:p>
        </w:tc>
      </w:tr>
      <w:tr>
        <w:tc>
          <w:tcPr>
            <w:tcW w:type="dxa" w:w="2381"/>
          </w:tcPr>
          <w:p>
            <w:pPr>
              <w:spacing w:line="240" w:lineRule="auto" w:after="0"/>
            </w:pPr>
            <w:r/>
            <w:r>
              <w:rPr>
                <w:b w:val="0"/>
                <w:i w:val="0"/>
                <w:sz w:val="17"/>
              </w:rPr>
              <w:t xml:space="preserve">  술전</w:t>
            </w:r>
          </w:p>
        </w:tc>
        <w:tc>
          <w:tcPr>
            <w:tcW w:type="dxa" w:w="1417"/>
          </w:tcPr>
          <w:p>
            <w:pPr>
              <w:spacing w:line="240" w:lineRule="auto" w:after="0"/>
              <w:jc w:val="center"/>
            </w:pPr>
            <w:r/>
            <w:r>
              <w:rPr>
                <w:b w:val="0"/>
                <w:i w:val="0"/>
                <w:sz w:val="17"/>
              </w:rPr>
              <w:t>6.27 ± 1.63</w:t>
            </w:r>
          </w:p>
        </w:tc>
        <w:tc>
          <w:tcPr>
            <w:tcW w:type="dxa" w:w="1417"/>
          </w:tcPr>
          <w:p>
            <w:pPr>
              <w:spacing w:line="240" w:lineRule="auto" w:after="0"/>
              <w:jc w:val="center"/>
            </w:pPr>
            <w:r/>
            <w:r>
              <w:rPr>
                <w:b w:val="0"/>
                <w:i w:val="0"/>
                <w:sz w:val="17"/>
              </w:rPr>
              <w:t>5.97 ± 1.95</w:t>
            </w:r>
          </w:p>
        </w:tc>
        <w:tc>
          <w:tcPr>
            <w:tcW w:type="dxa" w:w="1417"/>
          </w:tcPr>
          <w:p>
            <w:pPr>
              <w:spacing w:line="240" w:lineRule="auto" w:after="0"/>
              <w:jc w:val="center"/>
            </w:pPr>
            <w:r/>
            <w:r>
              <w:rPr>
                <w:b w:val="0"/>
                <w:i w:val="0"/>
                <w:sz w:val="17"/>
              </w:rPr>
              <w:t>6.17 ± 1.40</w:t>
            </w:r>
          </w:p>
        </w:tc>
        <w:tc>
          <w:tcPr>
            <w:tcW w:type="dxa" w:w="1417"/>
          </w:tcPr>
          <w:p>
            <w:pPr>
              <w:spacing w:line="240" w:lineRule="auto" w:after="0"/>
              <w:jc w:val="center"/>
            </w:pPr>
            <w:r/>
            <w:r>
              <w:rPr>
                <w:b w:val="0"/>
                <w:i w:val="0"/>
                <w:sz w:val="17"/>
              </w:rPr>
              <w:t>7.00 ± 1.27</w:t>
            </w:r>
          </w:p>
        </w:tc>
        <w:tc>
          <w:tcPr>
            <w:tcW w:type="dxa" w:w="737"/>
          </w:tcPr>
          <w:p>
            <w:pPr>
              <w:spacing w:line="240" w:lineRule="auto" w:after="0"/>
              <w:jc w:val="center"/>
            </w:pPr>
            <w:r/>
            <w:r>
              <w:rPr>
                <w:b w:val="0"/>
                <w:i w:val="0"/>
                <w:sz w:val="17"/>
              </w:rPr>
              <w:t>.097</w:t>
            </w:r>
          </w:p>
        </w:tc>
      </w:tr>
      <w:tr>
        <w:tc>
          <w:tcPr>
            <w:tcW w:type="dxa" w:w="2381"/>
          </w:tcPr>
          <w:p>
            <w:pPr>
              <w:spacing w:line="240" w:lineRule="auto" w:after="0"/>
            </w:pPr>
            <w:r/>
            <w:r>
              <w:rPr>
                <w:b w:val="0"/>
                <w:i w:val="0"/>
                <w:sz w:val="17"/>
              </w:rPr>
              <w:t xml:space="preserve">  최종 추시</w:t>
            </w:r>
          </w:p>
        </w:tc>
        <w:tc>
          <w:tcPr>
            <w:tcW w:type="dxa" w:w="1417"/>
          </w:tcPr>
          <w:p>
            <w:pPr>
              <w:spacing w:line="240" w:lineRule="auto" w:after="0"/>
              <w:jc w:val="center"/>
            </w:pPr>
            <w:r/>
            <w:r>
              <w:rPr>
                <w:b w:val="0"/>
                <w:i w:val="0"/>
                <w:sz w:val="17"/>
              </w:rPr>
              <w:t>6.56 ± 1.43</w:t>
            </w:r>
          </w:p>
        </w:tc>
        <w:tc>
          <w:tcPr>
            <w:tcW w:type="dxa" w:w="1417"/>
          </w:tcPr>
          <w:p>
            <w:pPr>
              <w:spacing w:line="240" w:lineRule="auto" w:after="0"/>
              <w:jc w:val="center"/>
            </w:pPr>
            <w:r/>
            <w:r>
              <w:rPr>
                <w:b w:val="0"/>
                <w:i w:val="0"/>
                <w:sz w:val="17"/>
              </w:rPr>
              <w:t>6.21 ± 1.66</w:t>
            </w:r>
          </w:p>
        </w:tc>
        <w:tc>
          <w:tcPr>
            <w:tcW w:type="dxa" w:w="1417"/>
          </w:tcPr>
          <w:p>
            <w:pPr>
              <w:spacing w:line="240" w:lineRule="auto" w:after="0"/>
              <w:jc w:val="center"/>
            </w:pPr>
            <w:r/>
            <w:r>
              <w:rPr>
                <w:b w:val="0"/>
                <w:i w:val="0"/>
                <w:sz w:val="17"/>
              </w:rPr>
              <w:t>6.57 ± 1.20</w:t>
            </w:r>
          </w:p>
        </w:tc>
        <w:tc>
          <w:tcPr>
            <w:tcW w:type="dxa" w:w="1417"/>
          </w:tcPr>
          <w:p>
            <w:pPr>
              <w:spacing w:line="240" w:lineRule="auto" w:after="0"/>
              <w:jc w:val="center"/>
            </w:pPr>
            <w:r/>
            <w:r>
              <w:rPr>
                <w:b w:val="0"/>
                <w:i w:val="0"/>
                <w:sz w:val="17"/>
              </w:rPr>
              <w:t>7.12 ± 1.36</w:t>
            </w:r>
          </w:p>
        </w:tc>
        <w:tc>
          <w:tcPr>
            <w:tcW w:type="dxa" w:w="737"/>
          </w:tcPr>
          <w:p>
            <w:pPr>
              <w:spacing w:line="240" w:lineRule="auto" w:after="0"/>
              <w:jc w:val="center"/>
            </w:pPr>
            <w:r/>
            <w:r>
              <w:rPr>
                <w:b w:val="0"/>
                <w:i w:val="0"/>
                <w:sz w:val="17"/>
              </w:rPr>
              <w:t>.152</w:t>
            </w:r>
          </w:p>
        </w:tc>
      </w:tr>
      <w:tr>
        <w:tc>
          <w:tcPr>
            <w:tcW w:type="dxa" w:w="2381"/>
          </w:tcPr>
          <w:p>
            <w:pPr>
              <w:spacing w:line="240" w:lineRule="auto" w:after="0"/>
            </w:pPr>
            <w:r/>
            <w:r>
              <w:rPr>
                <w:b w:val="0"/>
                <w:i w:val="0"/>
                <w:sz w:val="17"/>
              </w:rPr>
              <w:t xml:space="preserve">  변화량</w:t>
            </w:r>
          </w:p>
        </w:tc>
        <w:tc>
          <w:tcPr>
            <w:tcW w:type="dxa" w:w="1417"/>
          </w:tcPr>
          <w:p>
            <w:pPr>
              <w:spacing w:line="240" w:lineRule="auto" w:after="0"/>
              <w:jc w:val="center"/>
            </w:pPr>
            <w:r/>
            <w:r>
              <w:rPr>
                <w:b w:val="0"/>
                <w:i w:val="0"/>
                <w:sz w:val="17"/>
              </w:rPr>
              <w:t>0.28 ± 0.87</w:t>
            </w:r>
          </w:p>
        </w:tc>
        <w:tc>
          <w:tcPr>
            <w:tcW w:type="dxa" w:w="1417"/>
          </w:tcPr>
          <w:p>
            <w:pPr>
              <w:spacing w:line="240" w:lineRule="auto" w:after="0"/>
              <w:jc w:val="center"/>
            </w:pPr>
            <w:r/>
            <w:r>
              <w:rPr>
                <w:b w:val="0"/>
                <w:i w:val="0"/>
                <w:sz w:val="17"/>
              </w:rPr>
              <w:t>0.24 ± 0.99</w:t>
            </w:r>
          </w:p>
        </w:tc>
        <w:tc>
          <w:tcPr>
            <w:tcW w:type="dxa" w:w="1417"/>
          </w:tcPr>
          <w:p>
            <w:pPr>
              <w:spacing w:line="240" w:lineRule="auto" w:after="0"/>
              <w:jc w:val="center"/>
            </w:pPr>
            <w:r/>
            <w:r>
              <w:rPr>
                <w:b w:val="0"/>
                <w:i w:val="0"/>
                <w:sz w:val="17"/>
              </w:rPr>
              <w:t>0.40 ± 0.77</w:t>
            </w:r>
          </w:p>
        </w:tc>
        <w:tc>
          <w:tcPr>
            <w:tcW w:type="dxa" w:w="1417"/>
          </w:tcPr>
          <w:p>
            <w:pPr>
              <w:spacing w:line="240" w:lineRule="auto" w:after="0"/>
              <w:jc w:val="center"/>
            </w:pPr>
            <w:r/>
            <w:r>
              <w:rPr>
                <w:b w:val="0"/>
                <w:i w:val="0"/>
                <w:sz w:val="17"/>
              </w:rPr>
              <w:t>0.12 ± 0.86</w:t>
            </w:r>
          </w:p>
        </w:tc>
        <w:tc>
          <w:tcPr>
            <w:tcW w:type="dxa" w:w="737"/>
          </w:tcPr>
          <w:p>
            <w:pPr>
              <w:spacing w:line="240" w:lineRule="auto" w:after="0"/>
              <w:jc w:val="center"/>
            </w:pPr>
            <w:r/>
            <w:r>
              <w:rPr>
                <w:b w:val="0"/>
                <w:i w:val="0"/>
                <w:sz w:val="17"/>
              </w:rPr>
              <w:t>.469</w:t>
            </w:r>
          </w:p>
        </w:tc>
      </w:tr>
      <w:tr>
        <w:tc>
          <w:tcPr>
            <w:tcW w:type="dxa" w:w="2381"/>
          </w:tcPr>
          <w:p>
            <w:pPr>
              <w:spacing w:line="240" w:lineRule="auto" w:after="0"/>
            </w:pPr>
            <w:r/>
            <w:r>
              <w:rPr>
                <w:b w:val="0"/>
                <w:i w:val="0"/>
                <w:sz w:val="17"/>
              </w:rPr>
              <w:t xml:space="preserve">  P (술전 vs 최종)</w:t>
            </w:r>
          </w:p>
        </w:tc>
        <w:tc>
          <w:tcPr>
            <w:tcW w:type="dxa" w:w="1417"/>
          </w:tcPr>
          <w:p>
            <w:pPr>
              <w:spacing w:line="240" w:lineRule="auto" w:after="0"/>
              <w:jc w:val="center"/>
            </w:pPr>
            <w:r/>
            <w:r>
              <w:rPr>
                <w:b w:val="0"/>
                <w:i w:val="0"/>
                <w:sz w:val="17"/>
              </w:rPr>
              <w:t>.005</w:t>
            </w:r>
          </w:p>
        </w:tc>
        <w:tc>
          <w:tcPr>
            <w:tcW w:type="dxa" w:w="1417"/>
          </w:tcPr>
          <w:p>
            <w:pPr>
              <w:spacing w:line="240" w:lineRule="auto" w:after="0"/>
              <w:jc w:val="center"/>
            </w:pPr>
            <w:r/>
            <w:r>
              <w:rPr>
                <w:b w:val="0"/>
                <w:i w:val="0"/>
                <w:sz w:val="17"/>
              </w:rPr>
              <w:t>.205</w:t>
            </w:r>
          </w:p>
        </w:tc>
        <w:tc>
          <w:tcPr>
            <w:tcW w:type="dxa" w:w="1417"/>
          </w:tcPr>
          <w:p>
            <w:pPr>
              <w:spacing w:line="240" w:lineRule="auto" w:after="0"/>
              <w:jc w:val="center"/>
            </w:pPr>
            <w:r/>
            <w:r>
              <w:rPr>
                <w:b w:val="0"/>
                <w:i w:val="0"/>
                <w:sz w:val="17"/>
              </w:rPr>
              <w:t>.005</w:t>
            </w:r>
          </w:p>
        </w:tc>
        <w:tc>
          <w:tcPr>
            <w:tcW w:type="dxa" w:w="1417"/>
          </w:tcPr>
          <w:p>
            <w:pPr>
              <w:spacing w:line="240" w:lineRule="auto" w:after="0"/>
              <w:jc w:val="center"/>
            </w:pPr>
            <w:r/>
            <w:r>
              <w:rPr>
                <w:b w:val="0"/>
                <w:i w:val="0"/>
                <w:sz w:val="17"/>
              </w:rPr>
              <w:t>.589</w:t>
            </w:r>
          </w:p>
        </w:tc>
        <w:tc>
          <w:tcPr>
            <w:tcW w:type="dxa" w:w="737"/>
          </w:tcPr>
          <w:p>
            <w:pPr>
              <w:spacing w:line="240" w:lineRule="auto" w:after="0"/>
              <w:jc w:val="center"/>
            </w:pPr>
            <w:r/>
          </w:p>
        </w:tc>
      </w:tr>
      <w:tr>
        <w:tc>
          <w:tcPr>
            <w:tcW w:type="dxa" w:w="2381"/>
          </w:tcPr>
          <w:p>
            <w:pPr>
              <w:spacing w:line="240" w:lineRule="auto" w:after="0"/>
            </w:pPr>
            <w:r/>
            <w:r>
              <w:rPr>
                <w:b w:val="0"/>
                <w:i w:val="0"/>
                <w:sz w:val="17"/>
              </w:rPr>
              <w:t>Tegner 향상/유지/감소 (예)</w:t>
            </w:r>
          </w:p>
        </w:tc>
        <w:tc>
          <w:tcPr>
            <w:tcW w:type="dxa" w:w="1417"/>
          </w:tcPr>
          <w:p>
            <w:pPr>
              <w:spacing w:line="240" w:lineRule="auto" w:after="0"/>
              <w:jc w:val="center"/>
            </w:pPr>
            <w:r/>
            <w:r>
              <w:rPr>
                <w:b w:val="0"/>
                <w:i w:val="0"/>
                <w:sz w:val="17"/>
              </w:rPr>
              <w:t>26/45/10</w:t>
            </w:r>
          </w:p>
        </w:tc>
        <w:tc>
          <w:tcPr>
            <w:tcW w:type="dxa" w:w="1417"/>
          </w:tcPr>
          <w:p>
            <w:pPr>
              <w:spacing w:line="240" w:lineRule="auto" w:after="0"/>
              <w:jc w:val="center"/>
            </w:pPr>
            <w:r/>
            <w:r>
              <w:rPr>
                <w:b w:val="0"/>
                <w:i w:val="0"/>
                <w:sz w:val="17"/>
              </w:rPr>
              <w:t>9/14/6</w:t>
            </w:r>
          </w:p>
        </w:tc>
        <w:tc>
          <w:tcPr>
            <w:tcW w:type="dxa" w:w="1417"/>
          </w:tcPr>
          <w:p>
            <w:pPr>
              <w:spacing w:line="240" w:lineRule="auto" w:after="0"/>
              <w:jc w:val="center"/>
            </w:pPr>
            <w:r/>
            <w:r>
              <w:rPr>
                <w:b w:val="0"/>
                <w:i w:val="0"/>
                <w:sz w:val="17"/>
              </w:rPr>
              <w:t>13/20/2</w:t>
            </w:r>
          </w:p>
        </w:tc>
        <w:tc>
          <w:tcPr>
            <w:tcW w:type="dxa" w:w="1417"/>
          </w:tcPr>
          <w:p>
            <w:pPr>
              <w:spacing w:line="240" w:lineRule="auto" w:after="0"/>
              <w:jc w:val="center"/>
            </w:pPr>
            <w:r/>
            <w:r>
              <w:rPr>
                <w:b w:val="0"/>
                <w:i w:val="0"/>
                <w:sz w:val="17"/>
              </w:rPr>
              <w:t>4/11/2</w:t>
            </w:r>
          </w:p>
        </w:tc>
        <w:tc>
          <w:tcPr>
            <w:tcW w:type="dxa" w:w="737"/>
          </w:tcPr>
          <w:p>
            <w:pPr>
              <w:spacing w:line="240" w:lineRule="auto" w:after="0"/>
              <w:jc w:val="center"/>
            </w:pPr>
            <w:r/>
            <w:r>
              <w:rPr>
                <w:b w:val="0"/>
                <w:i w:val="0"/>
                <w:sz w:val="17"/>
              </w:rPr>
              <w:t>.391</w:t>
            </w:r>
          </w:p>
        </w:tc>
      </w:tr>
      <w:tr>
        <w:tc>
          <w:tcPr>
            <w:tcW w:type="dxa" w:w="2381"/>
          </w:tcPr>
          <w:p>
            <w:pPr>
              <w:spacing w:line="240" w:lineRule="auto" w:after="0"/>
            </w:pPr>
            <w:r/>
            <w:r>
              <w:rPr>
                <w:b w:val="0"/>
                <w:i w:val="0"/>
                <w:sz w:val="17"/>
              </w:rPr>
              <w:t>Tegner 유지 또는 향상, 예 (%)</w:t>
            </w:r>
          </w:p>
        </w:tc>
        <w:tc>
          <w:tcPr>
            <w:tcW w:type="dxa" w:w="1417"/>
          </w:tcPr>
          <w:p>
            <w:pPr>
              <w:spacing w:line="240" w:lineRule="auto" w:after="0"/>
              <w:jc w:val="center"/>
            </w:pPr>
            <w:r/>
            <w:r>
              <w:rPr>
                <w:b w:val="0"/>
                <w:i w:val="0"/>
                <w:sz w:val="17"/>
              </w:rPr>
              <w:t>71 (87.7)</w:t>
            </w:r>
          </w:p>
        </w:tc>
        <w:tc>
          <w:tcPr>
            <w:tcW w:type="dxa" w:w="1417"/>
          </w:tcPr>
          <w:p>
            <w:pPr>
              <w:spacing w:line="240" w:lineRule="auto" w:after="0"/>
              <w:jc w:val="center"/>
            </w:pPr>
            <w:r/>
            <w:r>
              <w:rPr>
                <w:b w:val="0"/>
                <w:i w:val="0"/>
                <w:sz w:val="17"/>
              </w:rPr>
              <w:t>23 (79.3)</w:t>
            </w:r>
          </w:p>
        </w:tc>
        <w:tc>
          <w:tcPr>
            <w:tcW w:type="dxa" w:w="1417"/>
          </w:tcPr>
          <w:p>
            <w:pPr>
              <w:spacing w:line="240" w:lineRule="auto" w:after="0"/>
              <w:jc w:val="center"/>
            </w:pPr>
            <w:r/>
            <w:r>
              <w:rPr>
                <w:b w:val="0"/>
                <w:i w:val="0"/>
                <w:sz w:val="17"/>
              </w:rPr>
              <w:t>33 (94.3)</w:t>
            </w:r>
          </w:p>
        </w:tc>
        <w:tc>
          <w:tcPr>
            <w:tcW w:type="dxa" w:w="1417"/>
          </w:tcPr>
          <w:p>
            <w:pPr>
              <w:spacing w:line="240" w:lineRule="auto" w:after="0"/>
              <w:jc w:val="center"/>
            </w:pPr>
            <w:r/>
            <w:r>
              <w:rPr>
                <w:b w:val="0"/>
                <w:i w:val="0"/>
                <w:sz w:val="17"/>
              </w:rPr>
              <w:t>15 (88.2)</w:t>
            </w:r>
          </w:p>
        </w:tc>
        <w:tc>
          <w:tcPr>
            <w:tcW w:type="dxa" w:w="737"/>
          </w:tcPr>
          <w:p>
            <w:pPr>
              <w:spacing w:line="240" w:lineRule="auto" w:after="0"/>
              <w:jc w:val="center"/>
            </w:pPr>
            <w:r/>
            <w:r>
              <w:rPr>
                <w:b w:val="0"/>
                <w:i w:val="0"/>
                <w:sz w:val="17"/>
              </w:rPr>
              <w:t>.193</w:t>
            </w:r>
          </w:p>
        </w:tc>
      </w:tr>
    </w:tbl>
    <w:p>
      <w:pPr>
        <w:spacing w:after="240" w:line="240" w:lineRule="auto"/>
      </w:pPr>
      <w:r>
        <w:rPr>
          <w:b w:val="0"/>
          <w:i w:val="0"/>
          <w:sz w:val="17"/>
        </w:rPr>
        <w:t>값은 평균 ± 표준편차 또는 증례 수. 군 간 P 값은 Kruskal-Wallis 검정(Tegner 범주는 카이제곱 검정), 술전 vs 최종 P 값은 Wilcoxon 부호순위 검정. 변화량 = 최종 − 술전.</w:t>
      </w:r>
    </w:p>
    <w:p>
      <w:pPr>
        <w:spacing w:after="60" w:line="240" w:lineRule="auto"/>
      </w:pPr>
      <w:r>
        <w:rPr>
          <w:b/>
          <w:i w:val="0"/>
          <w:sz w:val="20"/>
        </w:rPr>
        <w:t>표 3. 최종 추시 시 환자 보고 결과</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2381"/>
          </w:tcPr>
          <w:p>
            <w:pPr>
              <w:spacing w:line="240" w:lineRule="auto" w:after="0"/>
            </w:pPr>
            <w:r/>
            <w:r>
              <w:rPr>
                <w:b/>
                <w:i w:val="0"/>
                <w:sz w:val="17"/>
              </w:rPr>
              <w:t>변수</w:t>
            </w:r>
          </w:p>
        </w:tc>
        <w:tc>
          <w:tcPr>
            <w:tcW w:type="dxa" w:w="1417"/>
          </w:tcPr>
          <w:p>
            <w:pPr>
              <w:spacing w:line="240" w:lineRule="auto" w:after="0"/>
              <w:jc w:val="center"/>
            </w:pPr>
            <w:r/>
            <w:r>
              <w:rPr>
                <w:b/>
                <w:i w:val="0"/>
                <w:sz w:val="17"/>
              </w:rPr>
              <w:t>전체 (n = 81)</w:t>
            </w:r>
          </w:p>
        </w:tc>
        <w:tc>
          <w:tcPr>
            <w:tcW w:type="dxa" w:w="1417"/>
          </w:tcPr>
          <w:p>
            <w:pPr>
              <w:spacing w:line="240" w:lineRule="auto" w:after="0"/>
              <w:jc w:val="center"/>
            </w:pPr>
            <w:r/>
            <w:r>
              <w:rPr>
                <w:b/>
                <w:i w:val="0"/>
                <w:sz w:val="17"/>
              </w:rPr>
              <w:t>해부학적군 (n = 29)</w:t>
            </w:r>
          </w:p>
        </w:tc>
        <w:tc>
          <w:tcPr>
            <w:tcW w:type="dxa" w:w="1417"/>
          </w:tcPr>
          <w:p>
            <w:pPr>
              <w:spacing w:line="240" w:lineRule="auto" w:after="0"/>
              <w:jc w:val="center"/>
            </w:pPr>
            <w:r/>
            <w:r>
              <w:rPr>
                <w:b/>
                <w:i w:val="0"/>
                <w:sz w:val="17"/>
              </w:rPr>
              <w:t>준해부학적군 (n = 35)</w:t>
            </w:r>
          </w:p>
        </w:tc>
        <w:tc>
          <w:tcPr>
            <w:tcW w:type="dxa" w:w="1417"/>
          </w:tcPr>
          <w:p>
            <w:pPr>
              <w:spacing w:line="240" w:lineRule="auto" w:after="0"/>
              <w:jc w:val="center"/>
            </w:pPr>
            <w:r/>
            <w:r>
              <w:rPr>
                <w:b/>
                <w:i w:val="0"/>
                <w:sz w:val="17"/>
              </w:rPr>
              <w:t>비해부학적군 (n = 17)</w:t>
            </w:r>
          </w:p>
        </w:tc>
        <w:tc>
          <w:tcPr>
            <w:tcW w:type="dxa" w:w="737"/>
          </w:tcPr>
          <w:p>
            <w:pPr>
              <w:spacing w:line="240" w:lineRule="auto" w:after="0"/>
              <w:jc w:val="center"/>
            </w:pPr>
            <w:r/>
            <w:r>
              <w:rPr>
                <w:b/>
                <w:i w:val="0"/>
                <w:sz w:val="17"/>
              </w:rPr>
              <w:t>P</w:t>
            </w:r>
          </w:p>
        </w:tc>
      </w:tr>
      <w:tr>
        <w:tc>
          <w:tcPr>
            <w:tcW w:type="dxa" w:w="2381"/>
          </w:tcPr>
          <w:p>
            <w:pPr>
              <w:spacing w:line="240" w:lineRule="auto" w:after="0"/>
            </w:pPr>
            <w:r/>
            <w:r>
              <w:rPr>
                <w:b/>
                <w:i w:val="0"/>
                <w:sz w:val="17"/>
              </w:rPr>
              <w:t>FFI</w:t>
            </w:r>
          </w:p>
        </w:tc>
        <w:tc>
          <w:tcPr>
            <w:tcW w:type="dxa" w:w="1417"/>
          </w:tcPr>
          <w:p>
            <w:pPr>
              <w:spacing w:line="240" w:lineRule="auto" w:after="0"/>
              <w:jc w:val="center"/>
            </w:pPr>
            <w:r/>
            <w:r>
              <w:rPr>
                <w:b w:val="0"/>
                <w:i w:val="0"/>
                <w:sz w:val="17"/>
              </w:rPr>
              <w:t>2.95 ± 4.17</w:t>
            </w:r>
          </w:p>
        </w:tc>
        <w:tc>
          <w:tcPr>
            <w:tcW w:type="dxa" w:w="1417"/>
          </w:tcPr>
          <w:p>
            <w:pPr>
              <w:spacing w:line="240" w:lineRule="auto" w:after="0"/>
              <w:jc w:val="center"/>
            </w:pPr>
            <w:r/>
            <w:r>
              <w:rPr>
                <w:b w:val="0"/>
                <w:i w:val="0"/>
                <w:sz w:val="17"/>
              </w:rPr>
              <w:t>3.72 ± 4.16</w:t>
            </w:r>
          </w:p>
        </w:tc>
        <w:tc>
          <w:tcPr>
            <w:tcW w:type="dxa" w:w="1417"/>
          </w:tcPr>
          <w:p>
            <w:pPr>
              <w:spacing w:line="240" w:lineRule="auto" w:after="0"/>
              <w:jc w:val="center"/>
            </w:pPr>
            <w:r/>
            <w:r>
              <w:rPr>
                <w:b w:val="0"/>
                <w:i w:val="0"/>
                <w:sz w:val="17"/>
              </w:rPr>
              <w:t>2.06 ± 3.57</w:t>
            </w:r>
          </w:p>
        </w:tc>
        <w:tc>
          <w:tcPr>
            <w:tcW w:type="dxa" w:w="1417"/>
          </w:tcPr>
          <w:p>
            <w:pPr>
              <w:spacing w:line="240" w:lineRule="auto" w:after="0"/>
              <w:jc w:val="center"/>
            </w:pPr>
            <w:r/>
            <w:r>
              <w:rPr>
                <w:b w:val="0"/>
                <w:i w:val="0"/>
                <w:sz w:val="17"/>
              </w:rPr>
              <w:t>3.47 ± 5.12</w:t>
            </w:r>
          </w:p>
        </w:tc>
        <w:tc>
          <w:tcPr>
            <w:tcW w:type="dxa" w:w="737"/>
          </w:tcPr>
          <w:p>
            <w:pPr>
              <w:spacing w:line="240" w:lineRule="auto" w:after="0"/>
              <w:jc w:val="center"/>
            </w:pPr>
            <w:r/>
            <w:r>
              <w:rPr>
                <w:b w:val="0"/>
                <w:i w:val="0"/>
                <w:sz w:val="17"/>
              </w:rPr>
              <w:t>.041</w:t>
            </w:r>
          </w:p>
        </w:tc>
      </w:tr>
      <w:tr>
        <w:tc>
          <w:tcPr>
            <w:tcW w:type="dxa" w:w="2381"/>
          </w:tcPr>
          <w:p>
            <w:pPr>
              <w:spacing w:line="240" w:lineRule="auto" w:after="0"/>
            </w:pPr>
            <w:r/>
            <w:r>
              <w:rPr>
                <w:b/>
                <w:i w:val="0"/>
                <w:sz w:val="17"/>
              </w:rPr>
              <w:t>FAOS (5개 하위척도 평균)</w:t>
            </w:r>
          </w:p>
        </w:tc>
        <w:tc>
          <w:tcPr>
            <w:tcW w:type="dxa" w:w="1417"/>
          </w:tcPr>
          <w:p>
            <w:pPr>
              <w:spacing w:line="240" w:lineRule="auto" w:after="0"/>
              <w:jc w:val="center"/>
            </w:pPr>
            <w:r/>
            <w:r>
              <w:rPr>
                <w:b w:val="0"/>
                <w:i w:val="0"/>
                <w:sz w:val="17"/>
              </w:rPr>
              <w:t>95.81 ± 5.00</w:t>
            </w:r>
          </w:p>
        </w:tc>
        <w:tc>
          <w:tcPr>
            <w:tcW w:type="dxa" w:w="1417"/>
          </w:tcPr>
          <w:p>
            <w:pPr>
              <w:spacing w:line="240" w:lineRule="auto" w:after="0"/>
              <w:jc w:val="center"/>
            </w:pPr>
            <w:r/>
            <w:r>
              <w:rPr>
                <w:b w:val="0"/>
                <w:i w:val="0"/>
                <w:sz w:val="17"/>
              </w:rPr>
              <w:t>94.75 ± 5.66</w:t>
            </w:r>
          </w:p>
        </w:tc>
        <w:tc>
          <w:tcPr>
            <w:tcW w:type="dxa" w:w="1417"/>
          </w:tcPr>
          <w:p>
            <w:pPr>
              <w:spacing w:line="240" w:lineRule="auto" w:after="0"/>
              <w:jc w:val="center"/>
            </w:pPr>
            <w:r/>
            <w:r>
              <w:rPr>
                <w:b w:val="0"/>
                <w:i w:val="0"/>
                <w:sz w:val="17"/>
              </w:rPr>
              <w:t>97.19 ± 2.97</w:t>
            </w:r>
          </w:p>
        </w:tc>
        <w:tc>
          <w:tcPr>
            <w:tcW w:type="dxa" w:w="1417"/>
          </w:tcPr>
          <w:p>
            <w:pPr>
              <w:spacing w:line="240" w:lineRule="auto" w:after="0"/>
              <w:jc w:val="center"/>
            </w:pPr>
            <w:r/>
            <w:r>
              <w:rPr>
                <w:b w:val="0"/>
                <w:i w:val="0"/>
                <w:sz w:val="17"/>
              </w:rPr>
              <w:t>94.78 ± 6.53</w:t>
            </w:r>
          </w:p>
        </w:tc>
        <w:tc>
          <w:tcPr>
            <w:tcW w:type="dxa" w:w="737"/>
          </w:tcPr>
          <w:p>
            <w:pPr>
              <w:spacing w:line="240" w:lineRule="auto" w:after="0"/>
              <w:jc w:val="center"/>
            </w:pPr>
            <w:r/>
            <w:r>
              <w:rPr>
                <w:b w:val="0"/>
                <w:i w:val="0"/>
                <w:sz w:val="17"/>
              </w:rPr>
              <w:t>.183</w:t>
            </w:r>
          </w:p>
        </w:tc>
      </w:tr>
      <w:tr>
        <w:tc>
          <w:tcPr>
            <w:tcW w:type="dxa" w:w="2381"/>
          </w:tcPr>
          <w:p>
            <w:pPr>
              <w:spacing w:line="240" w:lineRule="auto" w:after="0"/>
            </w:pPr>
            <w:r/>
            <w:r>
              <w:rPr>
                <w:b w:val="0"/>
                <w:i w:val="0"/>
                <w:sz w:val="17"/>
              </w:rPr>
              <w:t xml:space="preserve">  통증</w:t>
            </w:r>
          </w:p>
        </w:tc>
        <w:tc>
          <w:tcPr>
            <w:tcW w:type="dxa" w:w="1417"/>
          </w:tcPr>
          <w:p>
            <w:pPr>
              <w:spacing w:line="240" w:lineRule="auto" w:after="0"/>
              <w:jc w:val="center"/>
            </w:pPr>
            <w:r/>
            <w:r>
              <w:rPr>
                <w:b w:val="0"/>
                <w:i w:val="0"/>
                <w:sz w:val="17"/>
              </w:rPr>
              <w:t>97.36 ± 5.57</w:t>
            </w:r>
          </w:p>
        </w:tc>
        <w:tc>
          <w:tcPr>
            <w:tcW w:type="dxa" w:w="1417"/>
          </w:tcPr>
          <w:p>
            <w:pPr>
              <w:spacing w:line="240" w:lineRule="auto" w:after="0"/>
              <w:jc w:val="center"/>
            </w:pPr>
            <w:r/>
            <w:r>
              <w:rPr>
                <w:b w:val="0"/>
                <w:i w:val="0"/>
                <w:sz w:val="17"/>
              </w:rPr>
              <w:t>97.32 ± 3.25</w:t>
            </w:r>
          </w:p>
        </w:tc>
        <w:tc>
          <w:tcPr>
            <w:tcW w:type="dxa" w:w="1417"/>
          </w:tcPr>
          <w:p>
            <w:pPr>
              <w:spacing w:line="240" w:lineRule="auto" w:after="0"/>
              <w:jc w:val="center"/>
            </w:pPr>
            <w:r/>
            <w:r>
              <w:rPr>
                <w:b w:val="0"/>
                <w:i w:val="0"/>
                <w:sz w:val="17"/>
              </w:rPr>
              <w:t>98.57 ± 3.19</w:t>
            </w:r>
          </w:p>
        </w:tc>
        <w:tc>
          <w:tcPr>
            <w:tcW w:type="dxa" w:w="1417"/>
          </w:tcPr>
          <w:p>
            <w:pPr>
              <w:spacing w:line="240" w:lineRule="auto" w:after="0"/>
              <w:jc w:val="center"/>
            </w:pPr>
            <w:r/>
            <w:r>
              <w:rPr>
                <w:b w:val="0"/>
                <w:i w:val="0"/>
                <w:sz w:val="17"/>
              </w:rPr>
              <w:t>94.93 ± 10.22</w:t>
            </w:r>
          </w:p>
        </w:tc>
        <w:tc>
          <w:tcPr>
            <w:tcW w:type="dxa" w:w="737"/>
          </w:tcPr>
          <w:p>
            <w:pPr>
              <w:spacing w:line="240" w:lineRule="auto" w:after="0"/>
              <w:jc w:val="center"/>
            </w:pPr>
            <w:r/>
            <w:r>
              <w:rPr>
                <w:b w:val="0"/>
                <w:i w:val="0"/>
                <w:sz w:val="17"/>
              </w:rPr>
              <w:t>.169</w:t>
            </w:r>
          </w:p>
        </w:tc>
      </w:tr>
      <w:tr>
        <w:tc>
          <w:tcPr>
            <w:tcW w:type="dxa" w:w="2381"/>
          </w:tcPr>
          <w:p>
            <w:pPr>
              <w:spacing w:line="240" w:lineRule="auto" w:after="0"/>
            </w:pPr>
            <w:r/>
            <w:r>
              <w:rPr>
                <w:b w:val="0"/>
                <w:i w:val="0"/>
                <w:sz w:val="17"/>
              </w:rPr>
              <w:t xml:space="preserve">  증상</w:t>
            </w:r>
          </w:p>
        </w:tc>
        <w:tc>
          <w:tcPr>
            <w:tcW w:type="dxa" w:w="1417"/>
          </w:tcPr>
          <w:p>
            <w:pPr>
              <w:spacing w:line="240" w:lineRule="auto" w:after="0"/>
              <w:jc w:val="center"/>
            </w:pPr>
            <w:r/>
            <w:r>
              <w:rPr>
                <w:b w:val="0"/>
                <w:i w:val="0"/>
                <w:sz w:val="17"/>
              </w:rPr>
              <w:t>96.83 ± 5.11</w:t>
            </w:r>
          </w:p>
        </w:tc>
        <w:tc>
          <w:tcPr>
            <w:tcW w:type="dxa" w:w="1417"/>
          </w:tcPr>
          <w:p>
            <w:pPr>
              <w:spacing w:line="240" w:lineRule="auto" w:after="0"/>
              <w:jc w:val="center"/>
            </w:pPr>
            <w:r/>
            <w:r>
              <w:rPr>
                <w:b w:val="0"/>
                <w:i w:val="0"/>
                <w:sz w:val="17"/>
              </w:rPr>
              <w:t>95.94 ± 5.37</w:t>
            </w:r>
          </w:p>
        </w:tc>
        <w:tc>
          <w:tcPr>
            <w:tcW w:type="dxa" w:w="1417"/>
          </w:tcPr>
          <w:p>
            <w:pPr>
              <w:spacing w:line="240" w:lineRule="auto" w:after="0"/>
              <w:jc w:val="center"/>
            </w:pPr>
            <w:r/>
            <w:r>
              <w:rPr>
                <w:b w:val="0"/>
                <w:i w:val="0"/>
                <w:sz w:val="17"/>
              </w:rPr>
              <w:t>97.55 ± 4.14</w:t>
            </w:r>
          </w:p>
        </w:tc>
        <w:tc>
          <w:tcPr>
            <w:tcW w:type="dxa" w:w="1417"/>
          </w:tcPr>
          <w:p>
            <w:pPr>
              <w:spacing w:line="240" w:lineRule="auto" w:after="0"/>
              <w:jc w:val="center"/>
            </w:pPr>
            <w:r/>
            <w:r>
              <w:rPr>
                <w:b w:val="0"/>
                <w:i w:val="0"/>
                <w:sz w:val="17"/>
              </w:rPr>
              <w:t>96.85 ± 6.42</w:t>
            </w:r>
          </w:p>
        </w:tc>
        <w:tc>
          <w:tcPr>
            <w:tcW w:type="dxa" w:w="737"/>
          </w:tcPr>
          <w:p>
            <w:pPr>
              <w:spacing w:line="240" w:lineRule="auto" w:after="0"/>
              <w:jc w:val="center"/>
            </w:pPr>
            <w:r/>
            <w:r>
              <w:rPr>
                <w:b w:val="0"/>
                <w:i w:val="0"/>
                <w:sz w:val="17"/>
              </w:rPr>
              <w:t>.559</w:t>
            </w:r>
          </w:p>
        </w:tc>
      </w:tr>
      <w:tr>
        <w:tc>
          <w:tcPr>
            <w:tcW w:type="dxa" w:w="2381"/>
          </w:tcPr>
          <w:p>
            <w:pPr>
              <w:spacing w:line="240" w:lineRule="auto" w:after="0"/>
            </w:pPr>
            <w:r/>
            <w:r>
              <w:rPr>
                <w:b w:val="0"/>
                <w:i w:val="0"/>
                <w:sz w:val="17"/>
              </w:rPr>
              <w:t xml:space="preserve">  일상생활</w:t>
            </w:r>
          </w:p>
        </w:tc>
        <w:tc>
          <w:tcPr>
            <w:tcW w:type="dxa" w:w="1417"/>
          </w:tcPr>
          <w:p>
            <w:pPr>
              <w:spacing w:line="240" w:lineRule="auto" w:after="0"/>
              <w:jc w:val="center"/>
            </w:pPr>
            <w:r/>
            <w:r>
              <w:rPr>
                <w:b w:val="0"/>
                <w:i w:val="0"/>
                <w:sz w:val="17"/>
              </w:rPr>
              <w:t>98.43 ± 2.93</w:t>
            </w:r>
          </w:p>
        </w:tc>
        <w:tc>
          <w:tcPr>
            <w:tcW w:type="dxa" w:w="1417"/>
          </w:tcPr>
          <w:p>
            <w:pPr>
              <w:spacing w:line="240" w:lineRule="auto" w:after="0"/>
              <w:jc w:val="center"/>
            </w:pPr>
            <w:r/>
            <w:r>
              <w:rPr>
                <w:b w:val="0"/>
                <w:i w:val="0"/>
                <w:sz w:val="17"/>
              </w:rPr>
              <w:t>98.00 ± 3.10</w:t>
            </w:r>
          </w:p>
        </w:tc>
        <w:tc>
          <w:tcPr>
            <w:tcW w:type="dxa" w:w="1417"/>
          </w:tcPr>
          <w:p>
            <w:pPr>
              <w:spacing w:line="240" w:lineRule="auto" w:after="0"/>
              <w:jc w:val="center"/>
            </w:pPr>
            <w:r/>
            <w:r>
              <w:rPr>
                <w:b w:val="0"/>
                <w:i w:val="0"/>
                <w:sz w:val="17"/>
              </w:rPr>
              <w:t>98.86 ± 2.32</w:t>
            </w:r>
          </w:p>
        </w:tc>
        <w:tc>
          <w:tcPr>
            <w:tcW w:type="dxa" w:w="1417"/>
          </w:tcPr>
          <w:p>
            <w:pPr>
              <w:spacing w:line="240" w:lineRule="auto" w:after="0"/>
              <w:jc w:val="center"/>
            </w:pPr>
            <w:r/>
            <w:r>
              <w:rPr>
                <w:b w:val="0"/>
                <w:i w:val="0"/>
                <w:sz w:val="17"/>
              </w:rPr>
              <w:t>98.25 ± 3.75</w:t>
            </w:r>
          </w:p>
        </w:tc>
        <w:tc>
          <w:tcPr>
            <w:tcW w:type="dxa" w:w="737"/>
          </w:tcPr>
          <w:p>
            <w:pPr>
              <w:spacing w:line="240" w:lineRule="auto" w:after="0"/>
              <w:jc w:val="center"/>
            </w:pPr>
            <w:r/>
            <w:r>
              <w:rPr>
                <w:b w:val="0"/>
                <w:i w:val="0"/>
                <w:sz w:val="17"/>
              </w:rPr>
              <w:t>.626</w:t>
            </w:r>
          </w:p>
        </w:tc>
      </w:tr>
      <w:tr>
        <w:tc>
          <w:tcPr>
            <w:tcW w:type="dxa" w:w="2381"/>
          </w:tcPr>
          <w:p>
            <w:pPr>
              <w:spacing w:line="240" w:lineRule="auto" w:after="0"/>
            </w:pPr>
            <w:r/>
            <w:r>
              <w:rPr>
                <w:b w:val="0"/>
                <w:i w:val="0"/>
                <w:sz w:val="17"/>
              </w:rPr>
              <w:t xml:space="preserve">  스포츠/여가</w:t>
            </w:r>
          </w:p>
        </w:tc>
        <w:tc>
          <w:tcPr>
            <w:tcW w:type="dxa" w:w="1417"/>
          </w:tcPr>
          <w:p>
            <w:pPr>
              <w:spacing w:line="240" w:lineRule="auto" w:after="0"/>
              <w:jc w:val="center"/>
            </w:pPr>
            <w:r/>
            <w:r>
              <w:rPr>
                <w:b w:val="0"/>
                <w:i w:val="0"/>
                <w:sz w:val="17"/>
              </w:rPr>
              <w:t>93.56 ± 9.65</w:t>
            </w:r>
          </w:p>
        </w:tc>
        <w:tc>
          <w:tcPr>
            <w:tcW w:type="dxa" w:w="1417"/>
          </w:tcPr>
          <w:p>
            <w:pPr>
              <w:spacing w:line="240" w:lineRule="auto" w:after="0"/>
              <w:jc w:val="center"/>
            </w:pPr>
            <w:r/>
            <w:r>
              <w:rPr>
                <w:b w:val="0"/>
                <w:i w:val="0"/>
                <w:sz w:val="17"/>
              </w:rPr>
              <w:t>90.71 ± 12.15</w:t>
            </w:r>
          </w:p>
        </w:tc>
        <w:tc>
          <w:tcPr>
            <w:tcW w:type="dxa" w:w="1417"/>
          </w:tcPr>
          <w:p>
            <w:pPr>
              <w:spacing w:line="240" w:lineRule="auto" w:after="0"/>
              <w:jc w:val="center"/>
            </w:pPr>
            <w:r/>
            <w:r>
              <w:rPr>
                <w:b w:val="0"/>
                <w:i w:val="0"/>
                <w:sz w:val="17"/>
              </w:rPr>
              <w:t>96.14 ± 5.57</w:t>
            </w:r>
          </w:p>
        </w:tc>
        <w:tc>
          <w:tcPr>
            <w:tcW w:type="dxa" w:w="1417"/>
          </w:tcPr>
          <w:p>
            <w:pPr>
              <w:spacing w:line="240" w:lineRule="auto" w:after="0"/>
              <w:jc w:val="center"/>
            </w:pPr>
            <w:r/>
            <w:r>
              <w:rPr>
                <w:b w:val="0"/>
                <w:i w:val="0"/>
                <w:sz w:val="17"/>
              </w:rPr>
              <w:t>92.94 ± 10.76</w:t>
            </w:r>
          </w:p>
        </w:tc>
        <w:tc>
          <w:tcPr>
            <w:tcW w:type="dxa" w:w="737"/>
          </w:tcPr>
          <w:p>
            <w:pPr>
              <w:spacing w:line="240" w:lineRule="auto" w:after="0"/>
              <w:jc w:val="center"/>
            </w:pPr>
            <w:r/>
            <w:r>
              <w:rPr>
                <w:b w:val="0"/>
                <w:i w:val="0"/>
                <w:sz w:val="17"/>
              </w:rPr>
              <w:t>.308</w:t>
            </w:r>
          </w:p>
        </w:tc>
      </w:tr>
      <w:tr>
        <w:tc>
          <w:tcPr>
            <w:tcW w:type="dxa" w:w="2381"/>
          </w:tcPr>
          <w:p>
            <w:pPr>
              <w:spacing w:line="240" w:lineRule="auto" w:after="0"/>
            </w:pPr>
            <w:r/>
            <w:r>
              <w:rPr>
                <w:b w:val="0"/>
                <w:i w:val="0"/>
                <w:sz w:val="17"/>
              </w:rPr>
              <w:t xml:space="preserve">  삶의 질</w:t>
            </w:r>
          </w:p>
        </w:tc>
        <w:tc>
          <w:tcPr>
            <w:tcW w:type="dxa" w:w="1417"/>
          </w:tcPr>
          <w:p>
            <w:pPr>
              <w:spacing w:line="240" w:lineRule="auto" w:after="0"/>
              <w:jc w:val="center"/>
            </w:pPr>
            <w:r/>
            <w:r>
              <w:rPr>
                <w:b w:val="0"/>
                <w:i w:val="0"/>
                <w:sz w:val="17"/>
              </w:rPr>
              <w:t>92.81 ± 11.21</w:t>
            </w:r>
          </w:p>
        </w:tc>
        <w:tc>
          <w:tcPr>
            <w:tcW w:type="dxa" w:w="1417"/>
          </w:tcPr>
          <w:p>
            <w:pPr>
              <w:spacing w:line="240" w:lineRule="auto" w:after="0"/>
              <w:jc w:val="center"/>
            </w:pPr>
            <w:r/>
            <w:r>
              <w:rPr>
                <w:b w:val="0"/>
                <w:i w:val="0"/>
                <w:sz w:val="17"/>
              </w:rPr>
              <w:t>91.29 ± 12.07</w:t>
            </w:r>
          </w:p>
        </w:tc>
        <w:tc>
          <w:tcPr>
            <w:tcW w:type="dxa" w:w="1417"/>
          </w:tcPr>
          <w:p>
            <w:pPr>
              <w:spacing w:line="240" w:lineRule="auto" w:after="0"/>
              <w:jc w:val="center"/>
            </w:pPr>
            <w:r/>
            <w:r>
              <w:rPr>
                <w:b w:val="0"/>
                <w:i w:val="0"/>
                <w:sz w:val="17"/>
              </w:rPr>
              <w:t>94.82 ± 10.34</w:t>
            </w:r>
          </w:p>
        </w:tc>
        <w:tc>
          <w:tcPr>
            <w:tcW w:type="dxa" w:w="1417"/>
          </w:tcPr>
          <w:p>
            <w:pPr>
              <w:spacing w:line="240" w:lineRule="auto" w:after="0"/>
              <w:jc w:val="center"/>
            </w:pPr>
            <w:r/>
            <w:r>
              <w:rPr>
                <w:b w:val="0"/>
                <w:i w:val="0"/>
                <w:sz w:val="17"/>
              </w:rPr>
              <w:t>91.18 ± 11.49</w:t>
            </w:r>
          </w:p>
        </w:tc>
        <w:tc>
          <w:tcPr>
            <w:tcW w:type="dxa" w:w="737"/>
          </w:tcPr>
          <w:p>
            <w:pPr>
              <w:spacing w:line="240" w:lineRule="auto" w:after="0"/>
              <w:jc w:val="center"/>
            </w:pPr>
            <w:r/>
            <w:r>
              <w:rPr>
                <w:b w:val="0"/>
                <w:i w:val="0"/>
                <w:sz w:val="17"/>
              </w:rPr>
              <w:t>.241</w:t>
            </w:r>
          </w:p>
        </w:tc>
      </w:tr>
      <w:tr>
        <w:tc>
          <w:tcPr>
            <w:tcW w:type="dxa" w:w="2381"/>
          </w:tcPr>
          <w:p>
            <w:pPr>
              <w:spacing w:line="240" w:lineRule="auto" w:after="0"/>
            </w:pPr>
            <w:r/>
            <w:r>
              <w:rPr>
                <w:b/>
                <w:i w:val="0"/>
                <w:sz w:val="17"/>
              </w:rPr>
              <w:t>FAAM 일상생활</w:t>
            </w:r>
          </w:p>
        </w:tc>
        <w:tc>
          <w:tcPr>
            <w:tcW w:type="dxa" w:w="1417"/>
          </w:tcPr>
          <w:p>
            <w:pPr>
              <w:spacing w:line="240" w:lineRule="auto" w:after="0"/>
              <w:jc w:val="center"/>
            </w:pPr>
            <w:r/>
            <w:r>
              <w:rPr>
                <w:b w:val="0"/>
                <w:i w:val="0"/>
                <w:sz w:val="17"/>
              </w:rPr>
              <w:t>97.52 ± 3.26</w:t>
            </w:r>
          </w:p>
        </w:tc>
        <w:tc>
          <w:tcPr>
            <w:tcW w:type="dxa" w:w="1417"/>
          </w:tcPr>
          <w:p>
            <w:pPr>
              <w:spacing w:line="240" w:lineRule="auto" w:after="0"/>
              <w:jc w:val="center"/>
            </w:pPr>
            <w:r/>
            <w:r>
              <w:rPr>
                <w:b w:val="0"/>
                <w:i w:val="0"/>
                <w:sz w:val="17"/>
              </w:rPr>
              <w:t>96.87 ± 3.42</w:t>
            </w:r>
          </w:p>
        </w:tc>
        <w:tc>
          <w:tcPr>
            <w:tcW w:type="dxa" w:w="1417"/>
          </w:tcPr>
          <w:p>
            <w:pPr>
              <w:spacing w:line="240" w:lineRule="auto" w:after="0"/>
              <w:jc w:val="center"/>
            </w:pPr>
            <w:r/>
            <w:r>
              <w:rPr>
                <w:b w:val="0"/>
                <w:i w:val="0"/>
                <w:sz w:val="17"/>
              </w:rPr>
              <w:t>97.85 ± 3.20</w:t>
            </w:r>
          </w:p>
        </w:tc>
        <w:tc>
          <w:tcPr>
            <w:tcW w:type="dxa" w:w="1417"/>
          </w:tcPr>
          <w:p>
            <w:pPr>
              <w:spacing w:line="240" w:lineRule="auto" w:after="0"/>
              <w:jc w:val="center"/>
            </w:pPr>
            <w:r/>
            <w:r>
              <w:rPr>
                <w:b w:val="0"/>
                <w:i w:val="0"/>
                <w:sz w:val="17"/>
              </w:rPr>
              <w:t>97.93 ± 3.14</w:t>
            </w:r>
          </w:p>
        </w:tc>
        <w:tc>
          <w:tcPr>
            <w:tcW w:type="dxa" w:w="737"/>
          </w:tcPr>
          <w:p>
            <w:pPr>
              <w:spacing w:line="240" w:lineRule="auto" w:after="0"/>
              <w:jc w:val="center"/>
            </w:pPr>
            <w:r/>
            <w:r>
              <w:rPr>
                <w:b w:val="0"/>
                <w:i w:val="0"/>
                <w:sz w:val="17"/>
              </w:rPr>
              <w:t>.207</w:t>
            </w:r>
          </w:p>
        </w:tc>
      </w:tr>
      <w:tr>
        <w:tc>
          <w:tcPr>
            <w:tcW w:type="dxa" w:w="2381"/>
          </w:tcPr>
          <w:p>
            <w:pPr>
              <w:spacing w:line="240" w:lineRule="auto" w:after="0"/>
            </w:pPr>
            <w:r/>
            <w:r>
              <w:rPr>
                <w:b/>
                <w:i w:val="0"/>
                <w:sz w:val="17"/>
              </w:rPr>
              <w:t>FAAM 스포츠</w:t>
            </w:r>
          </w:p>
        </w:tc>
        <w:tc>
          <w:tcPr>
            <w:tcW w:type="dxa" w:w="1417"/>
          </w:tcPr>
          <w:p>
            <w:pPr>
              <w:spacing w:line="240" w:lineRule="auto" w:after="0"/>
              <w:jc w:val="center"/>
            </w:pPr>
            <w:r/>
            <w:r>
              <w:rPr>
                <w:b w:val="0"/>
                <w:i w:val="0"/>
                <w:sz w:val="17"/>
              </w:rPr>
              <w:t>93.67 ± 9.32</w:t>
            </w:r>
          </w:p>
        </w:tc>
        <w:tc>
          <w:tcPr>
            <w:tcW w:type="dxa" w:w="1417"/>
          </w:tcPr>
          <w:p>
            <w:pPr>
              <w:spacing w:line="240" w:lineRule="auto" w:after="0"/>
              <w:jc w:val="center"/>
            </w:pPr>
            <w:r/>
            <w:r>
              <w:rPr>
                <w:b w:val="0"/>
                <w:i w:val="0"/>
                <w:sz w:val="17"/>
              </w:rPr>
              <w:t>90.80 ± 12.81</w:t>
            </w:r>
          </w:p>
        </w:tc>
        <w:tc>
          <w:tcPr>
            <w:tcW w:type="dxa" w:w="1417"/>
          </w:tcPr>
          <w:p>
            <w:pPr>
              <w:spacing w:line="240" w:lineRule="auto" w:after="0"/>
              <w:jc w:val="center"/>
            </w:pPr>
            <w:r/>
            <w:r>
              <w:rPr>
                <w:b w:val="0"/>
                <w:i w:val="0"/>
                <w:sz w:val="17"/>
              </w:rPr>
              <w:t>95.80 ± 4.91</w:t>
            </w:r>
          </w:p>
        </w:tc>
        <w:tc>
          <w:tcPr>
            <w:tcW w:type="dxa" w:w="1417"/>
          </w:tcPr>
          <w:p>
            <w:pPr>
              <w:spacing w:line="240" w:lineRule="auto" w:after="0"/>
              <w:jc w:val="center"/>
            </w:pPr>
            <w:r/>
            <w:r>
              <w:rPr>
                <w:b w:val="0"/>
                <w:i w:val="0"/>
                <w:sz w:val="17"/>
              </w:rPr>
              <w:t>94.16 ± 8.41</w:t>
            </w:r>
          </w:p>
        </w:tc>
        <w:tc>
          <w:tcPr>
            <w:tcW w:type="dxa" w:w="737"/>
          </w:tcPr>
          <w:p>
            <w:pPr>
              <w:spacing w:line="240" w:lineRule="auto" w:after="0"/>
              <w:jc w:val="center"/>
            </w:pPr>
            <w:r/>
            <w:r>
              <w:rPr>
                <w:b w:val="0"/>
                <w:i w:val="0"/>
                <w:sz w:val="17"/>
              </w:rPr>
              <w:t>.320</w:t>
            </w:r>
          </w:p>
        </w:tc>
      </w:tr>
      <w:tr>
        <w:tc>
          <w:tcPr>
            <w:tcW w:type="dxa" w:w="2381"/>
          </w:tcPr>
          <w:p>
            <w:pPr>
              <w:spacing w:line="240" w:lineRule="auto" w:after="0"/>
            </w:pPr>
            <w:r/>
            <w:r>
              <w:rPr>
                <w:b/>
                <w:i w:val="0"/>
                <w:sz w:val="17"/>
              </w:rPr>
              <w:t>EQ-5D-5L (수준 합)</w:t>
            </w:r>
          </w:p>
        </w:tc>
        <w:tc>
          <w:tcPr>
            <w:tcW w:type="dxa" w:w="1417"/>
          </w:tcPr>
          <w:p>
            <w:pPr>
              <w:spacing w:line="240" w:lineRule="auto" w:after="0"/>
              <w:jc w:val="center"/>
            </w:pPr>
            <w:r/>
            <w:r>
              <w:rPr>
                <w:b w:val="0"/>
                <w:i w:val="0"/>
                <w:sz w:val="17"/>
              </w:rPr>
              <w:t>5.46 ± 0.95</w:t>
            </w:r>
          </w:p>
        </w:tc>
        <w:tc>
          <w:tcPr>
            <w:tcW w:type="dxa" w:w="1417"/>
          </w:tcPr>
          <w:p>
            <w:pPr>
              <w:spacing w:line="240" w:lineRule="auto" w:after="0"/>
              <w:jc w:val="center"/>
            </w:pPr>
            <w:r/>
            <w:r>
              <w:rPr>
                <w:b w:val="0"/>
                <w:i w:val="0"/>
                <w:sz w:val="17"/>
              </w:rPr>
              <w:t>5.69 ± 1.28</w:t>
            </w:r>
          </w:p>
        </w:tc>
        <w:tc>
          <w:tcPr>
            <w:tcW w:type="dxa" w:w="1417"/>
          </w:tcPr>
          <w:p>
            <w:pPr>
              <w:spacing w:line="240" w:lineRule="auto" w:after="0"/>
              <w:jc w:val="center"/>
            </w:pPr>
            <w:r/>
            <w:r>
              <w:rPr>
                <w:b w:val="0"/>
                <w:i w:val="0"/>
                <w:sz w:val="17"/>
              </w:rPr>
              <w:t>5.23 ± 0.49</w:t>
            </w:r>
          </w:p>
        </w:tc>
        <w:tc>
          <w:tcPr>
            <w:tcW w:type="dxa" w:w="1417"/>
          </w:tcPr>
          <w:p>
            <w:pPr>
              <w:spacing w:line="240" w:lineRule="auto" w:after="0"/>
              <w:jc w:val="center"/>
            </w:pPr>
            <w:r/>
            <w:r>
              <w:rPr>
                <w:b w:val="0"/>
                <w:i w:val="0"/>
                <w:sz w:val="17"/>
              </w:rPr>
              <w:t>5.53 ± 0.94</w:t>
            </w:r>
          </w:p>
        </w:tc>
        <w:tc>
          <w:tcPr>
            <w:tcW w:type="dxa" w:w="737"/>
          </w:tcPr>
          <w:p>
            <w:pPr>
              <w:spacing w:line="240" w:lineRule="auto" w:after="0"/>
              <w:jc w:val="center"/>
            </w:pPr>
            <w:r/>
            <w:r>
              <w:rPr>
                <w:b w:val="0"/>
                <w:i w:val="0"/>
                <w:sz w:val="17"/>
              </w:rPr>
              <w:t>.284</w:t>
            </w:r>
          </w:p>
        </w:tc>
      </w:tr>
    </w:tbl>
    <w:p>
      <w:pPr>
        <w:spacing w:after="240" w:line="240" w:lineRule="auto"/>
      </w:pPr>
      <w:r>
        <w:rPr>
          <w:b w:val="0"/>
          <w:i w:val="0"/>
          <w:sz w:val="17"/>
        </w:rPr>
        <w:t xml:space="preserve">값은 평균 ± 표준편차. P 값은 Kruskal-Wallis 검정. FFI 사후 Mann-Whitney U 검정: 해부학적군 vs 준해부학적군 P = .011, 해부학적군 vs 비해부학적군 P = .373, 준해부학적군 vs 비해부학적군 P = .298 (유의수준 P &lt; .017). 해부학적군 1예에서 FAOS 하위척도 결측(n = 28). FFI와 EQ-5D-5L 수준 합은 낮을수록 양호. FAAM, Foot and Ankle Ability Measure; FAOS, Foot and Ankle Outcome Score; FFI, Foot Function Index. </w:t>
      </w:r>
      <w:r>
        <w:rPr>
          <w:b w:val="0"/>
          <w:i w:val="0"/>
          <w:sz w:val="17"/>
          <w:highlight w:val="cyan"/>
        </w:rPr>
        <w:t>[FFI 척도 범위(0–100?)와 EQ-5D-5L 산출 방식 확인]</w:t>
      </w:r>
    </w:p>
    <w:p>
      <w:pPr>
        <w:spacing w:after="60" w:line="240" w:lineRule="auto"/>
      </w:pPr>
      <w:r>
        <w:rPr>
          <w:b/>
          <w:i w:val="0"/>
          <w:sz w:val="20"/>
        </w:rPr>
        <w:t>표 4. 스트레스 방사선 결과</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2381"/>
          </w:tcPr>
          <w:p>
            <w:pPr>
              <w:spacing w:line="240" w:lineRule="auto" w:after="0"/>
            </w:pPr>
            <w:r/>
            <w:r>
              <w:rPr>
                <w:b/>
                <w:i w:val="0"/>
                <w:sz w:val="17"/>
              </w:rPr>
              <w:t>변수</w:t>
            </w:r>
          </w:p>
        </w:tc>
        <w:tc>
          <w:tcPr>
            <w:tcW w:type="dxa" w:w="1417"/>
          </w:tcPr>
          <w:p>
            <w:pPr>
              <w:spacing w:line="240" w:lineRule="auto" w:after="0"/>
              <w:jc w:val="center"/>
            </w:pPr>
            <w:r/>
            <w:r>
              <w:rPr>
                <w:b/>
                <w:i w:val="0"/>
                <w:sz w:val="17"/>
              </w:rPr>
              <w:t>전체 (n = 72)</w:t>
            </w:r>
          </w:p>
        </w:tc>
        <w:tc>
          <w:tcPr>
            <w:tcW w:type="dxa" w:w="1417"/>
          </w:tcPr>
          <w:p>
            <w:pPr>
              <w:spacing w:line="240" w:lineRule="auto" w:after="0"/>
              <w:jc w:val="center"/>
            </w:pPr>
            <w:r/>
            <w:r>
              <w:rPr>
                <w:b/>
                <w:i w:val="0"/>
                <w:sz w:val="17"/>
              </w:rPr>
              <w:t>해부학적군 (n = 27)</w:t>
            </w:r>
          </w:p>
        </w:tc>
        <w:tc>
          <w:tcPr>
            <w:tcW w:type="dxa" w:w="1417"/>
          </w:tcPr>
          <w:p>
            <w:pPr>
              <w:spacing w:line="240" w:lineRule="auto" w:after="0"/>
              <w:jc w:val="center"/>
            </w:pPr>
            <w:r/>
            <w:r>
              <w:rPr>
                <w:b/>
                <w:i w:val="0"/>
                <w:sz w:val="17"/>
              </w:rPr>
              <w:t>준해부학적군 (n = 33)</w:t>
            </w:r>
          </w:p>
        </w:tc>
        <w:tc>
          <w:tcPr>
            <w:tcW w:type="dxa" w:w="1417"/>
          </w:tcPr>
          <w:p>
            <w:pPr>
              <w:spacing w:line="240" w:lineRule="auto" w:after="0"/>
              <w:jc w:val="center"/>
            </w:pPr>
            <w:r/>
            <w:r>
              <w:rPr>
                <w:b/>
                <w:i w:val="0"/>
                <w:sz w:val="17"/>
              </w:rPr>
              <w:t>비해부학적군 (n = 12)</w:t>
            </w:r>
          </w:p>
        </w:tc>
        <w:tc>
          <w:tcPr>
            <w:tcW w:type="dxa" w:w="737"/>
          </w:tcPr>
          <w:p>
            <w:pPr>
              <w:spacing w:line="240" w:lineRule="auto" w:after="0"/>
              <w:jc w:val="center"/>
            </w:pPr>
            <w:r/>
            <w:r>
              <w:rPr>
                <w:b/>
                <w:i w:val="0"/>
                <w:sz w:val="17"/>
              </w:rPr>
              <w:t>P</w:t>
            </w:r>
          </w:p>
        </w:tc>
      </w:tr>
      <w:tr>
        <w:tc>
          <w:tcPr>
            <w:tcW w:type="dxa" w:w="2381"/>
          </w:tcPr>
          <w:p>
            <w:pPr>
              <w:spacing w:line="240" w:lineRule="auto" w:after="0"/>
            </w:pPr>
            <w:r/>
            <w:r>
              <w:rPr>
                <w:b/>
                <w:i w:val="0"/>
                <w:sz w:val="17"/>
              </w:rPr>
              <w:t>거골경사각 (°)</w:t>
            </w:r>
          </w:p>
        </w:tc>
        <w:tc>
          <w:tcPr>
            <w:tcW w:type="dxa" w:w="1417"/>
          </w:tcPr>
          <w:p>
            <w:pPr>
              <w:spacing w:line="240" w:lineRule="auto" w:after="0"/>
              <w:jc w:val="center"/>
            </w:pPr>
            <w:r/>
          </w:p>
        </w:tc>
        <w:tc>
          <w:tcPr>
            <w:tcW w:type="dxa" w:w="1417"/>
          </w:tcPr>
          <w:p>
            <w:pPr>
              <w:spacing w:line="240" w:lineRule="auto" w:after="0"/>
              <w:jc w:val="center"/>
            </w:pPr>
            <w:r/>
          </w:p>
        </w:tc>
        <w:tc>
          <w:tcPr>
            <w:tcW w:type="dxa" w:w="1417"/>
          </w:tcPr>
          <w:p>
            <w:pPr>
              <w:spacing w:line="240" w:lineRule="auto" w:after="0"/>
              <w:jc w:val="center"/>
            </w:pPr>
            <w:r/>
          </w:p>
        </w:tc>
        <w:tc>
          <w:tcPr>
            <w:tcW w:type="dxa" w:w="1417"/>
          </w:tcPr>
          <w:p>
            <w:pPr>
              <w:spacing w:line="240" w:lineRule="auto" w:after="0"/>
              <w:jc w:val="center"/>
            </w:pPr>
            <w:r/>
          </w:p>
        </w:tc>
        <w:tc>
          <w:tcPr>
            <w:tcW w:type="dxa" w:w="737"/>
          </w:tcPr>
          <w:p>
            <w:pPr>
              <w:spacing w:line="240" w:lineRule="auto" w:after="0"/>
              <w:jc w:val="center"/>
            </w:pPr>
            <w:r/>
          </w:p>
        </w:tc>
      </w:tr>
      <w:tr>
        <w:tc>
          <w:tcPr>
            <w:tcW w:type="dxa" w:w="2381"/>
          </w:tcPr>
          <w:p>
            <w:pPr>
              <w:spacing w:line="240" w:lineRule="auto" w:after="0"/>
            </w:pPr>
            <w:r/>
            <w:r>
              <w:rPr>
                <w:b w:val="0"/>
                <w:i w:val="0"/>
                <w:sz w:val="17"/>
              </w:rPr>
              <w:t xml:space="preserve">  술전</w:t>
            </w:r>
          </w:p>
        </w:tc>
        <w:tc>
          <w:tcPr>
            <w:tcW w:type="dxa" w:w="1417"/>
          </w:tcPr>
          <w:p>
            <w:pPr>
              <w:spacing w:line="240" w:lineRule="auto" w:after="0"/>
              <w:jc w:val="center"/>
            </w:pPr>
            <w:r/>
            <w:r>
              <w:rPr>
                <w:b w:val="0"/>
                <w:i w:val="0"/>
                <w:sz w:val="17"/>
              </w:rPr>
              <w:t>9.33 ± 4.56</w:t>
            </w:r>
          </w:p>
        </w:tc>
        <w:tc>
          <w:tcPr>
            <w:tcW w:type="dxa" w:w="1417"/>
          </w:tcPr>
          <w:p>
            <w:pPr>
              <w:spacing w:line="240" w:lineRule="auto" w:after="0"/>
              <w:jc w:val="center"/>
            </w:pPr>
            <w:r/>
            <w:r>
              <w:rPr>
                <w:b w:val="0"/>
                <w:i w:val="0"/>
                <w:sz w:val="17"/>
              </w:rPr>
              <w:t>10.70 ± 4.67</w:t>
            </w:r>
          </w:p>
        </w:tc>
        <w:tc>
          <w:tcPr>
            <w:tcW w:type="dxa" w:w="1417"/>
          </w:tcPr>
          <w:p>
            <w:pPr>
              <w:spacing w:line="240" w:lineRule="auto" w:after="0"/>
              <w:jc w:val="center"/>
            </w:pPr>
            <w:r/>
            <w:r>
              <w:rPr>
                <w:b w:val="0"/>
                <w:i w:val="0"/>
                <w:sz w:val="17"/>
              </w:rPr>
              <w:t>8.18 ± 3.92</w:t>
            </w:r>
          </w:p>
        </w:tc>
        <w:tc>
          <w:tcPr>
            <w:tcW w:type="dxa" w:w="1417"/>
          </w:tcPr>
          <w:p>
            <w:pPr>
              <w:spacing w:line="240" w:lineRule="auto" w:after="0"/>
              <w:jc w:val="center"/>
            </w:pPr>
            <w:r/>
            <w:r>
              <w:rPr>
                <w:b w:val="0"/>
                <w:i w:val="0"/>
                <w:sz w:val="17"/>
              </w:rPr>
              <w:t>9.42 ± 5.44</w:t>
            </w:r>
          </w:p>
        </w:tc>
        <w:tc>
          <w:tcPr>
            <w:tcW w:type="dxa" w:w="737"/>
          </w:tcPr>
          <w:p>
            <w:pPr>
              <w:spacing w:line="240" w:lineRule="auto" w:after="0"/>
              <w:jc w:val="center"/>
            </w:pPr>
            <w:r/>
            <w:r>
              <w:rPr>
                <w:b w:val="0"/>
                <w:i w:val="0"/>
                <w:sz w:val="17"/>
              </w:rPr>
              <w:t>.183</w:t>
            </w:r>
          </w:p>
        </w:tc>
      </w:tr>
      <w:tr>
        <w:tc>
          <w:tcPr>
            <w:tcW w:type="dxa" w:w="2381"/>
          </w:tcPr>
          <w:p>
            <w:pPr>
              <w:spacing w:line="240" w:lineRule="auto" w:after="0"/>
            </w:pPr>
            <w:r/>
            <w:r>
              <w:rPr>
                <w:b w:val="0"/>
                <w:i w:val="0"/>
                <w:sz w:val="17"/>
              </w:rPr>
              <w:t xml:space="preserve">  최종 추시</w:t>
            </w:r>
          </w:p>
        </w:tc>
        <w:tc>
          <w:tcPr>
            <w:tcW w:type="dxa" w:w="1417"/>
          </w:tcPr>
          <w:p>
            <w:pPr>
              <w:spacing w:line="240" w:lineRule="auto" w:after="0"/>
              <w:jc w:val="center"/>
            </w:pPr>
            <w:r/>
            <w:r>
              <w:rPr>
                <w:b w:val="0"/>
                <w:i w:val="0"/>
                <w:sz w:val="17"/>
              </w:rPr>
              <w:t>6.51 ± 3.62</w:t>
            </w:r>
          </w:p>
        </w:tc>
        <w:tc>
          <w:tcPr>
            <w:tcW w:type="dxa" w:w="1417"/>
          </w:tcPr>
          <w:p>
            <w:pPr>
              <w:spacing w:line="240" w:lineRule="auto" w:after="0"/>
              <w:jc w:val="center"/>
            </w:pPr>
            <w:r/>
            <w:r>
              <w:rPr>
                <w:b w:val="0"/>
                <w:i w:val="0"/>
                <w:sz w:val="17"/>
              </w:rPr>
              <w:t>7.00 ± 3.78</w:t>
            </w:r>
          </w:p>
        </w:tc>
        <w:tc>
          <w:tcPr>
            <w:tcW w:type="dxa" w:w="1417"/>
          </w:tcPr>
          <w:p>
            <w:pPr>
              <w:spacing w:line="240" w:lineRule="auto" w:after="0"/>
              <w:jc w:val="center"/>
            </w:pPr>
            <w:r/>
            <w:r>
              <w:rPr>
                <w:b w:val="0"/>
                <w:i w:val="0"/>
                <w:sz w:val="17"/>
              </w:rPr>
              <w:t>5.90 ± 3.06</w:t>
            </w:r>
          </w:p>
        </w:tc>
        <w:tc>
          <w:tcPr>
            <w:tcW w:type="dxa" w:w="1417"/>
          </w:tcPr>
          <w:p>
            <w:pPr>
              <w:spacing w:line="240" w:lineRule="auto" w:after="0"/>
              <w:jc w:val="center"/>
            </w:pPr>
            <w:r/>
            <w:r>
              <w:rPr>
                <w:b w:val="0"/>
                <w:i w:val="0"/>
                <w:sz w:val="17"/>
              </w:rPr>
              <w:t>7.09 ± 4.65</w:t>
            </w:r>
          </w:p>
        </w:tc>
        <w:tc>
          <w:tcPr>
            <w:tcW w:type="dxa" w:w="737"/>
          </w:tcPr>
          <w:p>
            <w:pPr>
              <w:spacing w:line="240" w:lineRule="auto" w:after="0"/>
              <w:jc w:val="center"/>
            </w:pPr>
            <w:r/>
            <w:r>
              <w:rPr>
                <w:b w:val="0"/>
                <w:i w:val="0"/>
                <w:sz w:val="17"/>
              </w:rPr>
              <w:t>.642</w:t>
            </w:r>
          </w:p>
        </w:tc>
      </w:tr>
      <w:tr>
        <w:tc>
          <w:tcPr>
            <w:tcW w:type="dxa" w:w="2381"/>
          </w:tcPr>
          <w:p>
            <w:pPr>
              <w:spacing w:line="240" w:lineRule="auto" w:after="0"/>
            </w:pPr>
            <w:r/>
            <w:r>
              <w:rPr>
                <w:b w:val="0"/>
                <w:i w:val="0"/>
                <w:sz w:val="17"/>
              </w:rPr>
              <w:t xml:space="preserve">  변화량</w:t>
            </w:r>
          </w:p>
        </w:tc>
        <w:tc>
          <w:tcPr>
            <w:tcW w:type="dxa" w:w="1417"/>
          </w:tcPr>
          <w:p>
            <w:pPr>
              <w:spacing w:line="240" w:lineRule="auto" w:after="0"/>
              <w:jc w:val="center"/>
            </w:pPr>
            <w:r/>
            <w:r>
              <w:rPr>
                <w:b w:val="0"/>
                <w:i w:val="0"/>
                <w:sz w:val="17"/>
              </w:rPr>
              <w:t>-2.82 ± 2.76</w:t>
            </w:r>
          </w:p>
        </w:tc>
        <w:tc>
          <w:tcPr>
            <w:tcW w:type="dxa" w:w="1417"/>
          </w:tcPr>
          <w:p>
            <w:pPr>
              <w:spacing w:line="240" w:lineRule="auto" w:after="0"/>
              <w:jc w:val="center"/>
            </w:pPr>
            <w:r/>
            <w:r>
              <w:rPr>
                <w:b w:val="0"/>
                <w:i w:val="0"/>
                <w:sz w:val="17"/>
              </w:rPr>
              <w:t>-3.70 ± 2.82</w:t>
            </w:r>
          </w:p>
        </w:tc>
        <w:tc>
          <w:tcPr>
            <w:tcW w:type="dxa" w:w="1417"/>
          </w:tcPr>
          <w:p>
            <w:pPr>
              <w:spacing w:line="240" w:lineRule="auto" w:after="0"/>
              <w:jc w:val="center"/>
            </w:pPr>
            <w:r/>
            <w:r>
              <w:rPr>
                <w:b w:val="0"/>
                <w:i w:val="0"/>
                <w:sz w:val="17"/>
              </w:rPr>
              <w:t>-2.28 ± 2.59</w:t>
            </w:r>
          </w:p>
        </w:tc>
        <w:tc>
          <w:tcPr>
            <w:tcW w:type="dxa" w:w="1417"/>
          </w:tcPr>
          <w:p>
            <w:pPr>
              <w:spacing w:line="240" w:lineRule="auto" w:after="0"/>
              <w:jc w:val="center"/>
            </w:pPr>
            <w:r/>
            <w:r>
              <w:rPr>
                <w:b w:val="0"/>
                <w:i w:val="0"/>
                <w:sz w:val="17"/>
              </w:rPr>
              <w:t>-2.33 ± 2.79</w:t>
            </w:r>
          </w:p>
        </w:tc>
        <w:tc>
          <w:tcPr>
            <w:tcW w:type="dxa" w:w="737"/>
          </w:tcPr>
          <w:p>
            <w:pPr>
              <w:spacing w:line="240" w:lineRule="auto" w:after="0"/>
              <w:jc w:val="center"/>
            </w:pPr>
            <w:r/>
            <w:r>
              <w:rPr>
                <w:b w:val="0"/>
                <w:i w:val="0"/>
                <w:sz w:val="17"/>
              </w:rPr>
              <w:t>.112</w:t>
            </w:r>
          </w:p>
        </w:tc>
      </w:tr>
      <w:tr>
        <w:tc>
          <w:tcPr>
            <w:tcW w:type="dxa" w:w="2381"/>
          </w:tcPr>
          <w:p>
            <w:pPr>
              <w:spacing w:line="240" w:lineRule="auto" w:after="0"/>
            </w:pPr>
            <w:r/>
            <w:r>
              <w:rPr>
                <w:b w:val="0"/>
                <w:i w:val="0"/>
                <w:sz w:val="17"/>
              </w:rPr>
              <w:t xml:space="preserve">  P (술전 vs 최종)</w:t>
            </w:r>
          </w:p>
        </w:tc>
        <w:tc>
          <w:tcPr>
            <w:tcW w:type="dxa" w:w="1417"/>
          </w:tcPr>
          <w:p>
            <w:pPr>
              <w:spacing w:line="240" w:lineRule="auto" w:after="0"/>
              <w:jc w:val="center"/>
            </w:pPr>
            <w:r/>
            <w:r>
              <w:rPr>
                <w:b w:val="0"/>
                <w:i w:val="0"/>
                <w:sz w:val="17"/>
              </w:rPr>
              <w:t>&lt;.001</w:t>
            </w:r>
          </w:p>
        </w:tc>
        <w:tc>
          <w:tcPr>
            <w:tcW w:type="dxa" w:w="1417"/>
          </w:tcPr>
          <w:p>
            <w:pPr>
              <w:spacing w:line="240" w:lineRule="auto" w:after="0"/>
              <w:jc w:val="center"/>
            </w:pPr>
            <w:r/>
            <w:r>
              <w:rPr>
                <w:b w:val="0"/>
                <w:i w:val="0"/>
                <w:sz w:val="17"/>
              </w:rPr>
              <w:t>&lt;.001</w:t>
            </w:r>
          </w:p>
        </w:tc>
        <w:tc>
          <w:tcPr>
            <w:tcW w:type="dxa" w:w="1417"/>
          </w:tcPr>
          <w:p>
            <w:pPr>
              <w:spacing w:line="240" w:lineRule="auto" w:after="0"/>
              <w:jc w:val="center"/>
            </w:pPr>
            <w:r/>
            <w:r>
              <w:rPr>
                <w:b w:val="0"/>
                <w:i w:val="0"/>
                <w:sz w:val="17"/>
              </w:rPr>
              <w:t>&lt;.001</w:t>
            </w:r>
          </w:p>
        </w:tc>
        <w:tc>
          <w:tcPr>
            <w:tcW w:type="dxa" w:w="1417"/>
          </w:tcPr>
          <w:p>
            <w:pPr>
              <w:spacing w:line="240" w:lineRule="auto" w:after="0"/>
              <w:jc w:val="center"/>
            </w:pPr>
            <w:r/>
            <w:r>
              <w:rPr>
                <w:b w:val="0"/>
                <w:i w:val="0"/>
                <w:sz w:val="17"/>
              </w:rPr>
              <w:t>.021</w:t>
            </w:r>
          </w:p>
        </w:tc>
        <w:tc>
          <w:tcPr>
            <w:tcW w:type="dxa" w:w="737"/>
          </w:tcPr>
          <w:p>
            <w:pPr>
              <w:spacing w:line="240" w:lineRule="auto" w:after="0"/>
              <w:jc w:val="center"/>
            </w:pPr>
            <w:r/>
          </w:p>
        </w:tc>
      </w:tr>
      <w:tr>
        <w:tc>
          <w:tcPr>
            <w:tcW w:type="dxa" w:w="2381"/>
          </w:tcPr>
          <w:p>
            <w:pPr>
              <w:spacing w:line="240" w:lineRule="auto" w:after="0"/>
            </w:pPr>
            <w:r/>
            <w:r>
              <w:rPr>
                <w:b/>
                <w:i w:val="0"/>
                <w:sz w:val="17"/>
              </w:rPr>
              <w:t>전방 전위 (mm)</w:t>
            </w:r>
          </w:p>
        </w:tc>
        <w:tc>
          <w:tcPr>
            <w:tcW w:type="dxa" w:w="1417"/>
          </w:tcPr>
          <w:p>
            <w:pPr>
              <w:spacing w:line="240" w:lineRule="auto" w:after="0"/>
              <w:jc w:val="center"/>
            </w:pPr>
            <w:r/>
          </w:p>
        </w:tc>
        <w:tc>
          <w:tcPr>
            <w:tcW w:type="dxa" w:w="1417"/>
          </w:tcPr>
          <w:p>
            <w:pPr>
              <w:spacing w:line="240" w:lineRule="auto" w:after="0"/>
              <w:jc w:val="center"/>
            </w:pPr>
            <w:r/>
          </w:p>
        </w:tc>
        <w:tc>
          <w:tcPr>
            <w:tcW w:type="dxa" w:w="1417"/>
          </w:tcPr>
          <w:p>
            <w:pPr>
              <w:spacing w:line="240" w:lineRule="auto" w:after="0"/>
              <w:jc w:val="center"/>
            </w:pPr>
            <w:r/>
          </w:p>
        </w:tc>
        <w:tc>
          <w:tcPr>
            <w:tcW w:type="dxa" w:w="1417"/>
          </w:tcPr>
          <w:p>
            <w:pPr>
              <w:spacing w:line="240" w:lineRule="auto" w:after="0"/>
              <w:jc w:val="center"/>
            </w:pPr>
            <w:r/>
          </w:p>
        </w:tc>
        <w:tc>
          <w:tcPr>
            <w:tcW w:type="dxa" w:w="737"/>
          </w:tcPr>
          <w:p>
            <w:pPr>
              <w:spacing w:line="240" w:lineRule="auto" w:after="0"/>
              <w:jc w:val="center"/>
            </w:pPr>
            <w:r/>
          </w:p>
        </w:tc>
      </w:tr>
      <w:tr>
        <w:tc>
          <w:tcPr>
            <w:tcW w:type="dxa" w:w="2381"/>
          </w:tcPr>
          <w:p>
            <w:pPr>
              <w:spacing w:line="240" w:lineRule="auto" w:after="0"/>
            </w:pPr>
            <w:r/>
            <w:r>
              <w:rPr>
                <w:b w:val="0"/>
                <w:i w:val="0"/>
                <w:sz w:val="17"/>
              </w:rPr>
              <w:t xml:space="preserve">  술전</w:t>
            </w:r>
          </w:p>
        </w:tc>
        <w:tc>
          <w:tcPr>
            <w:tcW w:type="dxa" w:w="1417"/>
          </w:tcPr>
          <w:p>
            <w:pPr>
              <w:spacing w:line="240" w:lineRule="auto" w:after="0"/>
              <w:jc w:val="center"/>
            </w:pPr>
            <w:r/>
            <w:r>
              <w:rPr>
                <w:b w:val="0"/>
                <w:i w:val="0"/>
                <w:sz w:val="17"/>
              </w:rPr>
              <w:t>6.01 ± 1.91</w:t>
            </w:r>
          </w:p>
        </w:tc>
        <w:tc>
          <w:tcPr>
            <w:tcW w:type="dxa" w:w="1417"/>
          </w:tcPr>
          <w:p>
            <w:pPr>
              <w:spacing w:line="240" w:lineRule="auto" w:after="0"/>
              <w:jc w:val="center"/>
            </w:pPr>
            <w:r/>
            <w:r>
              <w:rPr>
                <w:b w:val="0"/>
                <w:i w:val="0"/>
                <w:sz w:val="17"/>
              </w:rPr>
              <w:t>6.27 ± 1.90</w:t>
            </w:r>
          </w:p>
        </w:tc>
        <w:tc>
          <w:tcPr>
            <w:tcW w:type="dxa" w:w="1417"/>
          </w:tcPr>
          <w:p>
            <w:pPr>
              <w:spacing w:line="240" w:lineRule="auto" w:after="0"/>
              <w:jc w:val="center"/>
            </w:pPr>
            <w:r/>
            <w:r>
              <w:rPr>
                <w:b w:val="0"/>
                <w:i w:val="0"/>
                <w:sz w:val="17"/>
              </w:rPr>
              <w:t>5.93 ± 2.03</w:t>
            </w:r>
          </w:p>
        </w:tc>
        <w:tc>
          <w:tcPr>
            <w:tcW w:type="dxa" w:w="1417"/>
          </w:tcPr>
          <w:p>
            <w:pPr>
              <w:spacing w:line="240" w:lineRule="auto" w:after="0"/>
              <w:jc w:val="center"/>
            </w:pPr>
            <w:r/>
            <w:r>
              <w:rPr>
                <w:b w:val="0"/>
                <w:i w:val="0"/>
                <w:sz w:val="17"/>
              </w:rPr>
              <w:t>5.67 ± 1.61</w:t>
            </w:r>
          </w:p>
        </w:tc>
        <w:tc>
          <w:tcPr>
            <w:tcW w:type="dxa" w:w="737"/>
          </w:tcPr>
          <w:p>
            <w:pPr>
              <w:spacing w:line="240" w:lineRule="auto" w:after="0"/>
              <w:jc w:val="center"/>
            </w:pPr>
            <w:r/>
            <w:r>
              <w:rPr>
                <w:b w:val="0"/>
                <w:i w:val="0"/>
                <w:sz w:val="17"/>
              </w:rPr>
              <w:t>.690</w:t>
            </w:r>
          </w:p>
        </w:tc>
      </w:tr>
      <w:tr>
        <w:tc>
          <w:tcPr>
            <w:tcW w:type="dxa" w:w="2381"/>
          </w:tcPr>
          <w:p>
            <w:pPr>
              <w:spacing w:line="240" w:lineRule="auto" w:after="0"/>
            </w:pPr>
            <w:r/>
            <w:r>
              <w:rPr>
                <w:b w:val="0"/>
                <w:i w:val="0"/>
                <w:sz w:val="17"/>
              </w:rPr>
              <w:t xml:space="preserve">  최종 추시</w:t>
            </w:r>
          </w:p>
        </w:tc>
        <w:tc>
          <w:tcPr>
            <w:tcW w:type="dxa" w:w="1417"/>
          </w:tcPr>
          <w:p>
            <w:pPr>
              <w:spacing w:line="240" w:lineRule="auto" w:after="0"/>
              <w:jc w:val="center"/>
            </w:pPr>
            <w:r/>
            <w:r>
              <w:rPr>
                <w:b w:val="0"/>
                <w:i w:val="0"/>
                <w:sz w:val="17"/>
              </w:rPr>
              <w:t>4.94 ± 1.37</w:t>
            </w:r>
          </w:p>
        </w:tc>
        <w:tc>
          <w:tcPr>
            <w:tcW w:type="dxa" w:w="1417"/>
          </w:tcPr>
          <w:p>
            <w:pPr>
              <w:spacing w:line="240" w:lineRule="auto" w:after="0"/>
              <w:jc w:val="center"/>
            </w:pPr>
            <w:r/>
            <w:r>
              <w:rPr>
                <w:b w:val="0"/>
                <w:i w:val="0"/>
                <w:sz w:val="17"/>
              </w:rPr>
              <w:t>4.98 ± 1.10</w:t>
            </w:r>
          </w:p>
        </w:tc>
        <w:tc>
          <w:tcPr>
            <w:tcW w:type="dxa" w:w="1417"/>
          </w:tcPr>
          <w:p>
            <w:pPr>
              <w:spacing w:line="240" w:lineRule="auto" w:after="0"/>
              <w:jc w:val="center"/>
            </w:pPr>
            <w:r/>
            <w:r>
              <w:rPr>
                <w:b w:val="0"/>
                <w:i w:val="0"/>
                <w:sz w:val="17"/>
              </w:rPr>
              <w:t>4.67 ± 1.39</w:t>
            </w:r>
          </w:p>
        </w:tc>
        <w:tc>
          <w:tcPr>
            <w:tcW w:type="dxa" w:w="1417"/>
          </w:tcPr>
          <w:p>
            <w:pPr>
              <w:spacing w:line="240" w:lineRule="auto" w:after="0"/>
              <w:jc w:val="center"/>
            </w:pPr>
            <w:r/>
            <w:r>
              <w:rPr>
                <w:b w:val="0"/>
                <w:i w:val="0"/>
                <w:sz w:val="17"/>
              </w:rPr>
              <w:t>5.58 ± 1.70</w:t>
            </w:r>
          </w:p>
        </w:tc>
        <w:tc>
          <w:tcPr>
            <w:tcW w:type="dxa" w:w="737"/>
          </w:tcPr>
          <w:p>
            <w:pPr>
              <w:spacing w:line="240" w:lineRule="auto" w:after="0"/>
              <w:jc w:val="center"/>
            </w:pPr>
            <w:r/>
            <w:r>
              <w:rPr>
                <w:b w:val="0"/>
                <w:i w:val="0"/>
                <w:sz w:val="17"/>
              </w:rPr>
              <w:t>.168</w:t>
            </w:r>
          </w:p>
        </w:tc>
      </w:tr>
      <w:tr>
        <w:tc>
          <w:tcPr>
            <w:tcW w:type="dxa" w:w="2381"/>
          </w:tcPr>
          <w:p>
            <w:pPr>
              <w:spacing w:line="240" w:lineRule="auto" w:after="0"/>
            </w:pPr>
            <w:r/>
            <w:r>
              <w:rPr>
                <w:b w:val="0"/>
                <w:i w:val="0"/>
                <w:sz w:val="17"/>
              </w:rPr>
              <w:t xml:space="preserve">  변화량</w:t>
            </w:r>
          </w:p>
        </w:tc>
        <w:tc>
          <w:tcPr>
            <w:tcW w:type="dxa" w:w="1417"/>
          </w:tcPr>
          <w:p>
            <w:pPr>
              <w:spacing w:line="240" w:lineRule="auto" w:after="0"/>
              <w:jc w:val="center"/>
            </w:pPr>
            <w:r/>
            <w:r>
              <w:rPr>
                <w:b w:val="0"/>
                <w:i w:val="0"/>
                <w:sz w:val="17"/>
              </w:rPr>
              <w:t>-1.08 ± 1.88</w:t>
            </w:r>
          </w:p>
        </w:tc>
        <w:tc>
          <w:tcPr>
            <w:tcW w:type="dxa" w:w="1417"/>
          </w:tcPr>
          <w:p>
            <w:pPr>
              <w:spacing w:line="240" w:lineRule="auto" w:after="0"/>
              <w:jc w:val="center"/>
            </w:pPr>
            <w:r/>
            <w:r>
              <w:rPr>
                <w:b w:val="0"/>
                <w:i w:val="0"/>
                <w:sz w:val="17"/>
              </w:rPr>
              <w:t>-1.29 ± 2.00</w:t>
            </w:r>
          </w:p>
        </w:tc>
        <w:tc>
          <w:tcPr>
            <w:tcW w:type="dxa" w:w="1417"/>
          </w:tcPr>
          <w:p>
            <w:pPr>
              <w:spacing w:line="240" w:lineRule="auto" w:after="0"/>
              <w:jc w:val="center"/>
            </w:pPr>
            <w:r/>
            <w:r>
              <w:rPr>
                <w:b w:val="0"/>
                <w:i w:val="0"/>
                <w:sz w:val="17"/>
              </w:rPr>
              <w:t>-1.26 ± 1.64</w:t>
            </w:r>
          </w:p>
        </w:tc>
        <w:tc>
          <w:tcPr>
            <w:tcW w:type="dxa" w:w="1417"/>
          </w:tcPr>
          <w:p>
            <w:pPr>
              <w:spacing w:line="240" w:lineRule="auto" w:after="0"/>
              <w:jc w:val="center"/>
            </w:pPr>
            <w:r/>
            <w:r>
              <w:rPr>
                <w:b w:val="0"/>
                <w:i w:val="0"/>
                <w:sz w:val="17"/>
              </w:rPr>
              <w:t>-0.09 ± 2.07</w:t>
            </w:r>
          </w:p>
        </w:tc>
        <w:tc>
          <w:tcPr>
            <w:tcW w:type="dxa" w:w="737"/>
          </w:tcPr>
          <w:p>
            <w:pPr>
              <w:spacing w:line="240" w:lineRule="auto" w:after="0"/>
              <w:jc w:val="center"/>
            </w:pPr>
            <w:r/>
            <w:r>
              <w:rPr>
                <w:b w:val="0"/>
                <w:i w:val="0"/>
                <w:sz w:val="17"/>
              </w:rPr>
              <w:t>.202</w:t>
            </w:r>
          </w:p>
        </w:tc>
      </w:tr>
      <w:tr>
        <w:tc>
          <w:tcPr>
            <w:tcW w:type="dxa" w:w="2381"/>
          </w:tcPr>
          <w:p>
            <w:pPr>
              <w:spacing w:line="240" w:lineRule="auto" w:after="0"/>
            </w:pPr>
            <w:r/>
            <w:r>
              <w:rPr>
                <w:b w:val="0"/>
                <w:i w:val="0"/>
                <w:sz w:val="17"/>
              </w:rPr>
              <w:t xml:space="preserve">  P (술전 vs 최종)</w:t>
            </w:r>
          </w:p>
        </w:tc>
        <w:tc>
          <w:tcPr>
            <w:tcW w:type="dxa" w:w="1417"/>
          </w:tcPr>
          <w:p>
            <w:pPr>
              <w:spacing w:line="240" w:lineRule="auto" w:after="0"/>
              <w:jc w:val="center"/>
            </w:pPr>
            <w:r/>
            <w:r>
              <w:rPr>
                <w:b w:val="0"/>
                <w:i w:val="0"/>
                <w:sz w:val="17"/>
              </w:rPr>
              <w:t>&lt;.001</w:t>
            </w:r>
          </w:p>
        </w:tc>
        <w:tc>
          <w:tcPr>
            <w:tcW w:type="dxa" w:w="1417"/>
          </w:tcPr>
          <w:p>
            <w:pPr>
              <w:spacing w:line="240" w:lineRule="auto" w:after="0"/>
              <w:jc w:val="center"/>
            </w:pPr>
            <w:r/>
            <w:r>
              <w:rPr>
                <w:b w:val="0"/>
                <w:i w:val="0"/>
                <w:sz w:val="17"/>
              </w:rPr>
              <w:t>.001</w:t>
            </w:r>
          </w:p>
        </w:tc>
        <w:tc>
          <w:tcPr>
            <w:tcW w:type="dxa" w:w="1417"/>
          </w:tcPr>
          <w:p>
            <w:pPr>
              <w:spacing w:line="240" w:lineRule="auto" w:after="0"/>
              <w:jc w:val="center"/>
            </w:pPr>
            <w:r/>
            <w:r>
              <w:rPr>
                <w:b w:val="0"/>
                <w:i w:val="0"/>
                <w:sz w:val="17"/>
              </w:rPr>
              <w:t>&lt;.001</w:t>
            </w:r>
          </w:p>
        </w:tc>
        <w:tc>
          <w:tcPr>
            <w:tcW w:type="dxa" w:w="1417"/>
          </w:tcPr>
          <w:p>
            <w:pPr>
              <w:spacing w:line="240" w:lineRule="auto" w:after="0"/>
              <w:jc w:val="center"/>
            </w:pPr>
            <w:r/>
            <w:r>
              <w:rPr>
                <w:b w:val="0"/>
                <w:i w:val="0"/>
                <w:sz w:val="17"/>
              </w:rPr>
              <w:t>.850</w:t>
            </w:r>
          </w:p>
        </w:tc>
        <w:tc>
          <w:tcPr>
            <w:tcW w:type="dxa" w:w="737"/>
          </w:tcPr>
          <w:p>
            <w:pPr>
              <w:spacing w:line="240" w:lineRule="auto" w:after="0"/>
              <w:jc w:val="center"/>
            </w:pPr>
            <w:r/>
          </w:p>
        </w:tc>
      </w:tr>
      <w:tr>
        <w:tc>
          <w:tcPr>
            <w:tcW w:type="dxa" w:w="2381"/>
          </w:tcPr>
          <w:p>
            <w:pPr>
              <w:spacing w:line="240" w:lineRule="auto" w:after="0"/>
            </w:pPr>
            <w:r/>
            <w:r>
              <w:rPr>
                <w:b/>
                <w:i w:val="0"/>
                <w:sz w:val="17"/>
              </w:rPr>
              <w:t>건측과의 거골경사각 차이 (°)</w:t>
            </w:r>
          </w:p>
        </w:tc>
        <w:tc>
          <w:tcPr>
            <w:tcW w:type="dxa" w:w="1417"/>
          </w:tcPr>
          <w:p>
            <w:pPr>
              <w:spacing w:line="240" w:lineRule="auto" w:after="0"/>
              <w:jc w:val="center"/>
            </w:pPr>
            <w:r/>
          </w:p>
        </w:tc>
        <w:tc>
          <w:tcPr>
            <w:tcW w:type="dxa" w:w="1417"/>
          </w:tcPr>
          <w:p>
            <w:pPr>
              <w:spacing w:line="240" w:lineRule="auto" w:after="0"/>
              <w:jc w:val="center"/>
            </w:pPr>
            <w:r/>
          </w:p>
        </w:tc>
        <w:tc>
          <w:tcPr>
            <w:tcW w:type="dxa" w:w="1417"/>
          </w:tcPr>
          <w:p>
            <w:pPr>
              <w:spacing w:line="240" w:lineRule="auto" w:after="0"/>
              <w:jc w:val="center"/>
            </w:pPr>
            <w:r/>
          </w:p>
        </w:tc>
        <w:tc>
          <w:tcPr>
            <w:tcW w:type="dxa" w:w="1417"/>
          </w:tcPr>
          <w:p>
            <w:pPr>
              <w:spacing w:line="240" w:lineRule="auto" w:after="0"/>
              <w:jc w:val="center"/>
            </w:pPr>
            <w:r/>
          </w:p>
        </w:tc>
        <w:tc>
          <w:tcPr>
            <w:tcW w:type="dxa" w:w="737"/>
          </w:tcPr>
          <w:p>
            <w:pPr>
              <w:spacing w:line="240" w:lineRule="auto" w:after="0"/>
              <w:jc w:val="center"/>
            </w:pPr>
            <w:r/>
          </w:p>
        </w:tc>
      </w:tr>
      <w:tr>
        <w:tc>
          <w:tcPr>
            <w:tcW w:type="dxa" w:w="2381"/>
          </w:tcPr>
          <w:p>
            <w:pPr>
              <w:spacing w:line="240" w:lineRule="auto" w:after="0"/>
            </w:pPr>
            <w:r/>
            <w:r>
              <w:rPr>
                <w:b w:val="0"/>
                <w:i w:val="0"/>
                <w:sz w:val="17"/>
              </w:rPr>
              <w:t xml:space="preserve">  술전</w:t>
            </w:r>
          </w:p>
        </w:tc>
        <w:tc>
          <w:tcPr>
            <w:tcW w:type="dxa" w:w="1417"/>
          </w:tcPr>
          <w:p>
            <w:pPr>
              <w:spacing w:line="240" w:lineRule="auto" w:after="0"/>
              <w:jc w:val="center"/>
            </w:pPr>
            <w:r/>
            <w:r>
              <w:rPr>
                <w:b w:val="0"/>
                <w:i w:val="0"/>
                <w:sz w:val="17"/>
              </w:rPr>
              <w:t>4.14 ± 4.78</w:t>
            </w:r>
          </w:p>
        </w:tc>
        <w:tc>
          <w:tcPr>
            <w:tcW w:type="dxa" w:w="1417"/>
          </w:tcPr>
          <w:p>
            <w:pPr>
              <w:spacing w:line="240" w:lineRule="auto" w:after="0"/>
              <w:jc w:val="center"/>
            </w:pPr>
            <w:r/>
            <w:r>
              <w:rPr>
                <w:b w:val="0"/>
                <w:i w:val="0"/>
                <w:sz w:val="17"/>
              </w:rPr>
              <w:t>5.13 ± 5.09</w:t>
            </w:r>
          </w:p>
        </w:tc>
        <w:tc>
          <w:tcPr>
            <w:tcW w:type="dxa" w:w="1417"/>
          </w:tcPr>
          <w:p>
            <w:pPr>
              <w:spacing w:line="240" w:lineRule="auto" w:after="0"/>
              <w:jc w:val="center"/>
            </w:pPr>
            <w:r/>
            <w:r>
              <w:rPr>
                <w:b w:val="0"/>
                <w:i w:val="0"/>
                <w:sz w:val="17"/>
              </w:rPr>
              <w:t>3.33 ± 4.57</w:t>
            </w:r>
          </w:p>
        </w:tc>
        <w:tc>
          <w:tcPr>
            <w:tcW w:type="dxa" w:w="1417"/>
          </w:tcPr>
          <w:p>
            <w:pPr>
              <w:spacing w:line="240" w:lineRule="auto" w:after="0"/>
              <w:jc w:val="center"/>
            </w:pPr>
            <w:r/>
            <w:r>
              <w:rPr>
                <w:b w:val="0"/>
                <w:i w:val="0"/>
                <w:sz w:val="17"/>
              </w:rPr>
              <w:t>4.23 ± 4.62</w:t>
            </w:r>
          </w:p>
        </w:tc>
        <w:tc>
          <w:tcPr>
            <w:tcW w:type="dxa" w:w="737"/>
          </w:tcPr>
          <w:p>
            <w:pPr>
              <w:spacing w:line="240" w:lineRule="auto" w:after="0"/>
              <w:jc w:val="center"/>
            </w:pPr>
            <w:r/>
            <w:r>
              <w:rPr>
                <w:b w:val="0"/>
                <w:i w:val="0"/>
                <w:sz w:val="17"/>
              </w:rPr>
              <w:t>.476</w:t>
            </w:r>
          </w:p>
        </w:tc>
      </w:tr>
      <w:tr>
        <w:tc>
          <w:tcPr>
            <w:tcW w:type="dxa" w:w="2381"/>
          </w:tcPr>
          <w:p>
            <w:pPr>
              <w:spacing w:line="240" w:lineRule="auto" w:after="0"/>
            </w:pPr>
            <w:r/>
            <w:r>
              <w:rPr>
                <w:b w:val="0"/>
                <w:i w:val="0"/>
                <w:sz w:val="17"/>
              </w:rPr>
              <w:t xml:space="preserve">  최종 추시</w:t>
            </w:r>
          </w:p>
        </w:tc>
        <w:tc>
          <w:tcPr>
            <w:tcW w:type="dxa" w:w="1417"/>
          </w:tcPr>
          <w:p>
            <w:pPr>
              <w:spacing w:line="240" w:lineRule="auto" w:after="0"/>
              <w:jc w:val="center"/>
            </w:pPr>
            <w:r/>
            <w:r>
              <w:rPr>
                <w:b w:val="0"/>
                <w:i w:val="0"/>
                <w:sz w:val="17"/>
              </w:rPr>
              <w:t>1.48 ± 3.24</w:t>
            </w:r>
          </w:p>
        </w:tc>
        <w:tc>
          <w:tcPr>
            <w:tcW w:type="dxa" w:w="1417"/>
          </w:tcPr>
          <w:p>
            <w:pPr>
              <w:spacing w:line="240" w:lineRule="auto" w:after="0"/>
              <w:jc w:val="center"/>
            </w:pPr>
            <w:r/>
            <w:r>
              <w:rPr>
                <w:b w:val="0"/>
                <w:i w:val="0"/>
                <w:sz w:val="17"/>
              </w:rPr>
              <w:t>1.78 ± 2.78</w:t>
            </w:r>
          </w:p>
        </w:tc>
        <w:tc>
          <w:tcPr>
            <w:tcW w:type="dxa" w:w="1417"/>
          </w:tcPr>
          <w:p>
            <w:pPr>
              <w:spacing w:line="240" w:lineRule="auto" w:after="0"/>
              <w:jc w:val="center"/>
            </w:pPr>
            <w:r/>
            <w:r>
              <w:rPr>
                <w:b w:val="0"/>
                <w:i w:val="0"/>
                <w:sz w:val="17"/>
              </w:rPr>
              <w:t>1.46 ± 3.19</w:t>
            </w:r>
          </w:p>
        </w:tc>
        <w:tc>
          <w:tcPr>
            <w:tcW w:type="dxa" w:w="1417"/>
          </w:tcPr>
          <w:p>
            <w:pPr>
              <w:spacing w:line="240" w:lineRule="auto" w:after="0"/>
              <w:jc w:val="center"/>
            </w:pPr>
            <w:r/>
            <w:r>
              <w:rPr>
                <w:b w:val="0"/>
                <w:i w:val="0"/>
                <w:sz w:val="17"/>
              </w:rPr>
              <w:t>0.90 ± 4.36</w:t>
            </w:r>
          </w:p>
        </w:tc>
        <w:tc>
          <w:tcPr>
            <w:tcW w:type="dxa" w:w="737"/>
          </w:tcPr>
          <w:p>
            <w:pPr>
              <w:spacing w:line="240" w:lineRule="auto" w:after="0"/>
              <w:jc w:val="center"/>
            </w:pPr>
            <w:r/>
            <w:r>
              <w:rPr>
                <w:b w:val="0"/>
                <w:i w:val="0"/>
                <w:sz w:val="17"/>
              </w:rPr>
              <w:t>.158</w:t>
            </w:r>
          </w:p>
        </w:tc>
      </w:tr>
      <w:tr>
        <w:tc>
          <w:tcPr>
            <w:tcW w:type="dxa" w:w="2381"/>
          </w:tcPr>
          <w:p>
            <w:pPr>
              <w:spacing w:line="240" w:lineRule="auto" w:after="0"/>
            </w:pPr>
            <w:r/>
            <w:r>
              <w:rPr>
                <w:b w:val="0"/>
                <w:i w:val="0"/>
                <w:sz w:val="17"/>
              </w:rPr>
              <w:t xml:space="preserve">  P (술전 vs 최종)</w:t>
            </w:r>
          </w:p>
        </w:tc>
        <w:tc>
          <w:tcPr>
            <w:tcW w:type="dxa" w:w="1417"/>
          </w:tcPr>
          <w:p>
            <w:pPr>
              <w:spacing w:line="240" w:lineRule="auto" w:after="0"/>
              <w:jc w:val="center"/>
            </w:pPr>
            <w:r/>
            <w:r>
              <w:rPr>
                <w:b w:val="0"/>
                <w:i w:val="0"/>
                <w:sz w:val="17"/>
              </w:rPr>
              <w:t>&lt;.001</w:t>
            </w:r>
          </w:p>
        </w:tc>
        <w:tc>
          <w:tcPr>
            <w:tcW w:type="dxa" w:w="1417"/>
          </w:tcPr>
          <w:p>
            <w:pPr>
              <w:spacing w:line="240" w:lineRule="auto" w:after="0"/>
              <w:jc w:val="center"/>
            </w:pPr>
            <w:r/>
            <w:r>
              <w:rPr>
                <w:b w:val="0"/>
                <w:i w:val="0"/>
                <w:sz w:val="17"/>
              </w:rPr>
              <w:t>&lt;.001</w:t>
            </w:r>
          </w:p>
        </w:tc>
        <w:tc>
          <w:tcPr>
            <w:tcW w:type="dxa" w:w="1417"/>
          </w:tcPr>
          <w:p>
            <w:pPr>
              <w:spacing w:line="240" w:lineRule="auto" w:after="0"/>
              <w:jc w:val="center"/>
            </w:pPr>
            <w:r/>
            <w:r>
              <w:rPr>
                <w:b w:val="0"/>
                <w:i w:val="0"/>
                <w:sz w:val="17"/>
              </w:rPr>
              <w:t>&lt;.001</w:t>
            </w:r>
          </w:p>
        </w:tc>
        <w:tc>
          <w:tcPr>
            <w:tcW w:type="dxa" w:w="1417"/>
          </w:tcPr>
          <w:p>
            <w:pPr>
              <w:spacing w:line="240" w:lineRule="auto" w:after="0"/>
              <w:jc w:val="center"/>
            </w:pPr>
            <w:r/>
            <w:r>
              <w:rPr>
                <w:b w:val="0"/>
                <w:i w:val="0"/>
                <w:sz w:val="17"/>
              </w:rPr>
              <w:t>.005</w:t>
            </w:r>
          </w:p>
        </w:tc>
        <w:tc>
          <w:tcPr>
            <w:tcW w:type="dxa" w:w="737"/>
          </w:tcPr>
          <w:p>
            <w:pPr>
              <w:spacing w:line="240" w:lineRule="auto" w:after="0"/>
              <w:jc w:val="center"/>
            </w:pPr>
            <w:r/>
          </w:p>
        </w:tc>
      </w:tr>
      <w:tr>
        <w:tc>
          <w:tcPr>
            <w:tcW w:type="dxa" w:w="2381"/>
          </w:tcPr>
          <w:p>
            <w:pPr>
              <w:spacing w:line="240" w:lineRule="auto" w:after="0"/>
            </w:pPr>
            <w:r/>
            <w:r>
              <w:rPr>
                <w:b/>
                <w:i w:val="0"/>
                <w:sz w:val="17"/>
              </w:rPr>
              <w:t>건측과의 전방 전위 차이 (mm)</w:t>
            </w:r>
          </w:p>
        </w:tc>
        <w:tc>
          <w:tcPr>
            <w:tcW w:type="dxa" w:w="1417"/>
          </w:tcPr>
          <w:p>
            <w:pPr>
              <w:spacing w:line="240" w:lineRule="auto" w:after="0"/>
              <w:jc w:val="center"/>
            </w:pPr>
            <w:r/>
          </w:p>
        </w:tc>
        <w:tc>
          <w:tcPr>
            <w:tcW w:type="dxa" w:w="1417"/>
          </w:tcPr>
          <w:p>
            <w:pPr>
              <w:spacing w:line="240" w:lineRule="auto" w:after="0"/>
              <w:jc w:val="center"/>
            </w:pPr>
            <w:r/>
          </w:p>
        </w:tc>
        <w:tc>
          <w:tcPr>
            <w:tcW w:type="dxa" w:w="1417"/>
          </w:tcPr>
          <w:p>
            <w:pPr>
              <w:spacing w:line="240" w:lineRule="auto" w:after="0"/>
              <w:jc w:val="center"/>
            </w:pPr>
            <w:r/>
          </w:p>
        </w:tc>
        <w:tc>
          <w:tcPr>
            <w:tcW w:type="dxa" w:w="1417"/>
          </w:tcPr>
          <w:p>
            <w:pPr>
              <w:spacing w:line="240" w:lineRule="auto" w:after="0"/>
              <w:jc w:val="center"/>
            </w:pPr>
            <w:r/>
          </w:p>
        </w:tc>
        <w:tc>
          <w:tcPr>
            <w:tcW w:type="dxa" w:w="737"/>
          </w:tcPr>
          <w:p>
            <w:pPr>
              <w:spacing w:line="240" w:lineRule="auto" w:after="0"/>
              <w:jc w:val="center"/>
            </w:pPr>
            <w:r/>
          </w:p>
        </w:tc>
      </w:tr>
      <w:tr>
        <w:tc>
          <w:tcPr>
            <w:tcW w:type="dxa" w:w="2381"/>
          </w:tcPr>
          <w:p>
            <w:pPr>
              <w:spacing w:line="240" w:lineRule="auto" w:after="0"/>
            </w:pPr>
            <w:r/>
            <w:r>
              <w:rPr>
                <w:b w:val="0"/>
                <w:i w:val="0"/>
                <w:sz w:val="17"/>
              </w:rPr>
              <w:t xml:space="preserve">  술전</w:t>
            </w:r>
          </w:p>
        </w:tc>
        <w:tc>
          <w:tcPr>
            <w:tcW w:type="dxa" w:w="1417"/>
          </w:tcPr>
          <w:p>
            <w:pPr>
              <w:spacing w:line="240" w:lineRule="auto" w:after="0"/>
              <w:jc w:val="center"/>
            </w:pPr>
            <w:r/>
            <w:r>
              <w:rPr>
                <w:b w:val="0"/>
                <w:i w:val="0"/>
                <w:sz w:val="17"/>
              </w:rPr>
              <w:t>0.52 ± 1.62</w:t>
            </w:r>
          </w:p>
        </w:tc>
        <w:tc>
          <w:tcPr>
            <w:tcW w:type="dxa" w:w="1417"/>
          </w:tcPr>
          <w:p>
            <w:pPr>
              <w:spacing w:line="240" w:lineRule="auto" w:after="0"/>
              <w:jc w:val="center"/>
            </w:pPr>
            <w:r/>
            <w:r>
              <w:rPr>
                <w:b w:val="0"/>
                <w:i w:val="0"/>
                <w:sz w:val="17"/>
              </w:rPr>
              <w:t>0.56 ± 1.61</w:t>
            </w:r>
          </w:p>
        </w:tc>
        <w:tc>
          <w:tcPr>
            <w:tcW w:type="dxa" w:w="1417"/>
          </w:tcPr>
          <w:p>
            <w:pPr>
              <w:spacing w:line="240" w:lineRule="auto" w:after="0"/>
              <w:jc w:val="center"/>
            </w:pPr>
            <w:r/>
            <w:r>
              <w:rPr>
                <w:b w:val="0"/>
                <w:i w:val="0"/>
                <w:sz w:val="17"/>
              </w:rPr>
              <w:t>0.38 ± 1.68</w:t>
            </w:r>
          </w:p>
        </w:tc>
        <w:tc>
          <w:tcPr>
            <w:tcW w:type="dxa" w:w="1417"/>
          </w:tcPr>
          <w:p>
            <w:pPr>
              <w:spacing w:line="240" w:lineRule="auto" w:after="0"/>
              <w:jc w:val="center"/>
            </w:pPr>
            <w:r/>
            <w:r>
              <w:rPr>
                <w:b w:val="0"/>
                <w:i w:val="0"/>
                <w:sz w:val="17"/>
              </w:rPr>
              <w:t>0.82 ± 1.54</w:t>
            </w:r>
          </w:p>
        </w:tc>
        <w:tc>
          <w:tcPr>
            <w:tcW w:type="dxa" w:w="737"/>
          </w:tcPr>
          <w:p>
            <w:pPr>
              <w:spacing w:line="240" w:lineRule="auto" w:after="0"/>
              <w:jc w:val="center"/>
            </w:pPr>
            <w:r/>
            <w:r>
              <w:rPr>
                <w:b w:val="0"/>
                <w:i w:val="0"/>
                <w:sz w:val="17"/>
              </w:rPr>
              <w:t>.674</w:t>
            </w:r>
          </w:p>
        </w:tc>
      </w:tr>
      <w:tr>
        <w:tc>
          <w:tcPr>
            <w:tcW w:type="dxa" w:w="2381"/>
          </w:tcPr>
          <w:p>
            <w:pPr>
              <w:spacing w:line="240" w:lineRule="auto" w:after="0"/>
            </w:pPr>
            <w:r/>
            <w:r>
              <w:rPr>
                <w:b w:val="0"/>
                <w:i w:val="0"/>
                <w:sz w:val="17"/>
              </w:rPr>
              <w:t xml:space="preserve">  최종 추시</w:t>
            </w:r>
          </w:p>
        </w:tc>
        <w:tc>
          <w:tcPr>
            <w:tcW w:type="dxa" w:w="1417"/>
          </w:tcPr>
          <w:p>
            <w:pPr>
              <w:spacing w:line="240" w:lineRule="auto" w:after="0"/>
              <w:jc w:val="center"/>
            </w:pPr>
            <w:r/>
            <w:r>
              <w:rPr>
                <w:b w:val="0"/>
                <w:i w:val="0"/>
                <w:sz w:val="17"/>
              </w:rPr>
              <w:t>-0.02 ± 1.28</w:t>
            </w:r>
          </w:p>
        </w:tc>
        <w:tc>
          <w:tcPr>
            <w:tcW w:type="dxa" w:w="1417"/>
          </w:tcPr>
          <w:p>
            <w:pPr>
              <w:spacing w:line="240" w:lineRule="auto" w:after="0"/>
              <w:jc w:val="center"/>
            </w:pPr>
            <w:r/>
            <w:r>
              <w:rPr>
                <w:b w:val="0"/>
                <w:i w:val="0"/>
                <w:sz w:val="17"/>
              </w:rPr>
              <w:t>-0.39 ± 1.17</w:t>
            </w:r>
          </w:p>
        </w:tc>
        <w:tc>
          <w:tcPr>
            <w:tcW w:type="dxa" w:w="1417"/>
          </w:tcPr>
          <w:p>
            <w:pPr>
              <w:spacing w:line="240" w:lineRule="auto" w:after="0"/>
              <w:jc w:val="center"/>
            </w:pPr>
            <w:r/>
            <w:r>
              <w:rPr>
                <w:b w:val="0"/>
                <w:i w:val="0"/>
                <w:sz w:val="17"/>
              </w:rPr>
              <w:t>0.12 ± 1.36</w:t>
            </w:r>
          </w:p>
        </w:tc>
        <w:tc>
          <w:tcPr>
            <w:tcW w:type="dxa" w:w="1417"/>
          </w:tcPr>
          <w:p>
            <w:pPr>
              <w:spacing w:line="240" w:lineRule="auto" w:after="0"/>
              <w:jc w:val="center"/>
            </w:pPr>
            <w:r/>
            <w:r>
              <w:rPr>
                <w:b w:val="0"/>
                <w:i w:val="0"/>
                <w:sz w:val="17"/>
              </w:rPr>
              <w:t>0.42 ± 1.15</w:t>
            </w:r>
          </w:p>
        </w:tc>
        <w:tc>
          <w:tcPr>
            <w:tcW w:type="dxa" w:w="737"/>
          </w:tcPr>
          <w:p>
            <w:pPr>
              <w:spacing w:line="240" w:lineRule="auto" w:after="0"/>
              <w:jc w:val="center"/>
            </w:pPr>
            <w:r/>
            <w:r>
              <w:rPr>
                <w:b w:val="0"/>
                <w:i w:val="0"/>
                <w:sz w:val="17"/>
              </w:rPr>
              <w:t>.226</w:t>
            </w:r>
          </w:p>
        </w:tc>
      </w:tr>
      <w:tr>
        <w:tc>
          <w:tcPr>
            <w:tcW w:type="dxa" w:w="2381"/>
          </w:tcPr>
          <w:p>
            <w:pPr>
              <w:spacing w:line="240" w:lineRule="auto" w:after="0"/>
            </w:pPr>
            <w:r/>
            <w:r>
              <w:rPr>
                <w:b w:val="0"/>
                <w:i w:val="0"/>
                <w:sz w:val="17"/>
              </w:rPr>
              <w:t xml:space="preserve">  P (술전 vs 최종)</w:t>
            </w:r>
          </w:p>
        </w:tc>
        <w:tc>
          <w:tcPr>
            <w:tcW w:type="dxa" w:w="1417"/>
          </w:tcPr>
          <w:p>
            <w:pPr>
              <w:spacing w:line="240" w:lineRule="auto" w:after="0"/>
              <w:jc w:val="center"/>
            </w:pPr>
            <w:r/>
            <w:r>
              <w:rPr>
                <w:b w:val="0"/>
                <w:i w:val="0"/>
                <w:sz w:val="17"/>
              </w:rPr>
              <w:t>.010</w:t>
            </w:r>
          </w:p>
        </w:tc>
        <w:tc>
          <w:tcPr>
            <w:tcW w:type="dxa" w:w="1417"/>
          </w:tcPr>
          <w:p>
            <w:pPr>
              <w:spacing w:line="240" w:lineRule="auto" w:after="0"/>
              <w:jc w:val="center"/>
            </w:pPr>
            <w:r/>
            <w:r>
              <w:rPr>
                <w:b w:val="0"/>
                <w:i w:val="0"/>
                <w:sz w:val="17"/>
              </w:rPr>
              <w:t>.013</w:t>
            </w:r>
          </w:p>
        </w:tc>
        <w:tc>
          <w:tcPr>
            <w:tcW w:type="dxa" w:w="1417"/>
          </w:tcPr>
          <w:p>
            <w:pPr>
              <w:spacing w:line="240" w:lineRule="auto" w:after="0"/>
              <w:jc w:val="center"/>
            </w:pPr>
            <w:r/>
            <w:r>
              <w:rPr>
                <w:b w:val="0"/>
                <w:i w:val="0"/>
                <w:sz w:val="17"/>
              </w:rPr>
              <w:t>.313</w:t>
            </w:r>
          </w:p>
        </w:tc>
        <w:tc>
          <w:tcPr>
            <w:tcW w:type="dxa" w:w="1417"/>
          </w:tcPr>
          <w:p>
            <w:pPr>
              <w:spacing w:line="240" w:lineRule="auto" w:after="0"/>
              <w:jc w:val="center"/>
            </w:pPr>
            <w:r/>
            <w:r>
              <w:rPr>
                <w:b w:val="0"/>
                <w:i w:val="0"/>
                <w:sz w:val="17"/>
              </w:rPr>
              <w:t>.519</w:t>
            </w:r>
          </w:p>
        </w:tc>
        <w:tc>
          <w:tcPr>
            <w:tcW w:type="dxa" w:w="737"/>
          </w:tcPr>
          <w:p>
            <w:pPr>
              <w:spacing w:line="240" w:lineRule="auto" w:after="0"/>
              <w:jc w:val="center"/>
            </w:pPr>
            <w:r/>
          </w:p>
        </w:tc>
      </w:tr>
    </w:tbl>
    <w:p>
      <w:pPr>
        <w:spacing w:after="240" w:line="240" w:lineRule="auto"/>
      </w:pPr>
      <w:r>
        <w:rPr>
          <w:b w:val="0"/>
          <w:i w:val="0"/>
          <w:sz w:val="17"/>
        </w:rPr>
        <w:t>값은 평균 ± 표준편차. 최종 스트레스 사진이 있는 증례만 포함(n = 72). 건측과의 차이 = 환측 − 건측; 해당 행은 건측 최종 사진이 있는 증례만 포함(n = 71; 해부학적 26, 준해부학적 33, 비해부학적 12). 군 간 P 값은 Kruskal-Wallis 검정, 술전 vs 최종 P 값은 Wilcoxon 부호순위 검정.</w:t>
      </w:r>
    </w:p>
    <w:p>
      <w:pPr>
        <w:spacing w:after="60" w:line="240" w:lineRule="auto"/>
      </w:pPr>
      <w:r>
        <w:rPr>
          <w:b/>
          <w:i w:val="0"/>
          <w:sz w:val="20"/>
        </w:rPr>
        <w:t>표 5. 봉합나사 위치 비율(연속변수)과 결과 변수 간 상관관계</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3685"/>
          </w:tcPr>
          <w:p>
            <w:pPr>
              <w:spacing w:line="240" w:lineRule="auto" w:after="0"/>
            </w:pPr>
            <w:r/>
            <w:r>
              <w:rPr>
                <w:b/>
                <w:i w:val="0"/>
                <w:sz w:val="17"/>
              </w:rPr>
              <w:t>결과 변수</w:t>
            </w:r>
          </w:p>
        </w:tc>
        <w:tc>
          <w:tcPr>
            <w:tcW w:type="dxa" w:w="850"/>
          </w:tcPr>
          <w:p>
            <w:pPr>
              <w:spacing w:line="240" w:lineRule="auto" w:after="0"/>
              <w:jc w:val="center"/>
            </w:pPr>
            <w:r/>
            <w:r>
              <w:rPr>
                <w:b/>
                <w:i w:val="0"/>
                <w:sz w:val="17"/>
              </w:rPr>
              <w:t>n</w:t>
            </w:r>
          </w:p>
        </w:tc>
        <w:tc>
          <w:tcPr>
            <w:tcW w:type="dxa" w:w="1417"/>
          </w:tcPr>
          <w:p>
            <w:pPr>
              <w:spacing w:line="240" w:lineRule="auto" w:after="0"/>
              <w:jc w:val="center"/>
            </w:pPr>
            <w:r/>
            <w:r>
              <w:rPr>
                <w:b/>
                <w:i w:val="0"/>
                <w:sz w:val="17"/>
              </w:rPr>
              <w:t>Spearman ρ</w:t>
            </w:r>
          </w:p>
        </w:tc>
        <w:tc>
          <w:tcPr>
            <w:tcW w:type="dxa" w:w="1134"/>
          </w:tcPr>
          <w:p>
            <w:pPr>
              <w:spacing w:line="240" w:lineRule="auto" w:after="0"/>
              <w:jc w:val="center"/>
            </w:pPr>
            <w:r/>
            <w:r>
              <w:rPr>
                <w:b/>
                <w:i w:val="0"/>
                <w:sz w:val="17"/>
              </w:rPr>
              <w:t>P</w:t>
            </w:r>
          </w:p>
        </w:tc>
      </w:tr>
      <w:tr>
        <w:tc>
          <w:tcPr>
            <w:tcW w:type="dxa" w:w="3685"/>
          </w:tcPr>
          <w:p>
            <w:pPr>
              <w:spacing w:line="240" w:lineRule="auto" w:after="0"/>
            </w:pPr>
            <w:r/>
            <w:r>
              <w:rPr>
                <w:b/>
                <w:i w:val="0"/>
                <w:sz w:val="17"/>
              </w:rPr>
              <w:t>최종 VAS</w:t>
            </w:r>
          </w:p>
        </w:tc>
        <w:tc>
          <w:tcPr>
            <w:tcW w:type="dxa" w:w="850"/>
          </w:tcPr>
          <w:p>
            <w:pPr>
              <w:spacing w:line="240" w:lineRule="auto" w:after="0"/>
              <w:jc w:val="center"/>
            </w:pPr>
            <w:r/>
            <w:r>
              <w:rPr>
                <w:b w:val="0"/>
                <w:i w:val="0"/>
                <w:sz w:val="17"/>
              </w:rPr>
              <w:t>81</w:t>
            </w:r>
          </w:p>
        </w:tc>
        <w:tc>
          <w:tcPr>
            <w:tcW w:type="dxa" w:w="1417"/>
          </w:tcPr>
          <w:p>
            <w:pPr>
              <w:spacing w:line="240" w:lineRule="auto" w:after="0"/>
              <w:jc w:val="center"/>
            </w:pPr>
            <w:r/>
            <w:r>
              <w:rPr>
                <w:b w:val="0"/>
                <w:i w:val="0"/>
                <w:sz w:val="17"/>
              </w:rPr>
              <w:t>-0.01</w:t>
            </w:r>
          </w:p>
        </w:tc>
        <w:tc>
          <w:tcPr>
            <w:tcW w:type="dxa" w:w="1134"/>
          </w:tcPr>
          <w:p>
            <w:pPr>
              <w:spacing w:line="240" w:lineRule="auto" w:after="0"/>
              <w:jc w:val="center"/>
            </w:pPr>
            <w:r/>
            <w:r>
              <w:rPr>
                <w:b w:val="0"/>
                <w:i w:val="0"/>
                <w:sz w:val="17"/>
              </w:rPr>
              <w:t>.926</w:t>
            </w:r>
          </w:p>
        </w:tc>
      </w:tr>
      <w:tr>
        <w:tc>
          <w:tcPr>
            <w:tcW w:type="dxa" w:w="3685"/>
          </w:tcPr>
          <w:p>
            <w:pPr>
              <w:spacing w:line="240" w:lineRule="auto" w:after="0"/>
            </w:pPr>
            <w:r/>
            <w:r>
              <w:rPr>
                <w:b/>
                <w:i w:val="0"/>
                <w:sz w:val="17"/>
              </w:rPr>
              <w:t>최종 KP 점수</w:t>
            </w:r>
          </w:p>
        </w:tc>
        <w:tc>
          <w:tcPr>
            <w:tcW w:type="dxa" w:w="850"/>
          </w:tcPr>
          <w:p>
            <w:pPr>
              <w:spacing w:line="240" w:lineRule="auto" w:after="0"/>
              <w:jc w:val="center"/>
            </w:pPr>
            <w:r/>
            <w:r>
              <w:rPr>
                <w:b w:val="0"/>
                <w:i w:val="0"/>
                <w:sz w:val="17"/>
              </w:rPr>
              <w:t>81</w:t>
            </w:r>
          </w:p>
        </w:tc>
        <w:tc>
          <w:tcPr>
            <w:tcW w:type="dxa" w:w="1417"/>
          </w:tcPr>
          <w:p>
            <w:pPr>
              <w:spacing w:line="240" w:lineRule="auto" w:after="0"/>
              <w:jc w:val="center"/>
            </w:pPr>
            <w:r/>
            <w:r>
              <w:rPr>
                <w:b w:val="0"/>
                <w:i w:val="0"/>
                <w:sz w:val="17"/>
              </w:rPr>
              <w:t>0.11</w:t>
            </w:r>
          </w:p>
        </w:tc>
        <w:tc>
          <w:tcPr>
            <w:tcW w:type="dxa" w:w="1134"/>
          </w:tcPr>
          <w:p>
            <w:pPr>
              <w:spacing w:line="240" w:lineRule="auto" w:after="0"/>
              <w:jc w:val="center"/>
            </w:pPr>
            <w:r/>
            <w:r>
              <w:rPr>
                <w:b w:val="0"/>
                <w:i w:val="0"/>
                <w:sz w:val="17"/>
              </w:rPr>
              <w:t>.335</w:t>
            </w:r>
          </w:p>
        </w:tc>
      </w:tr>
      <w:tr>
        <w:tc>
          <w:tcPr>
            <w:tcW w:type="dxa" w:w="3685"/>
          </w:tcPr>
          <w:p>
            <w:pPr>
              <w:spacing w:line="240" w:lineRule="auto" w:after="0"/>
            </w:pPr>
            <w:r/>
            <w:r>
              <w:rPr>
                <w:b/>
                <w:i w:val="0"/>
                <w:sz w:val="17"/>
              </w:rPr>
              <w:t>최종 AOFAS 점수</w:t>
            </w:r>
          </w:p>
        </w:tc>
        <w:tc>
          <w:tcPr>
            <w:tcW w:type="dxa" w:w="850"/>
          </w:tcPr>
          <w:p>
            <w:pPr>
              <w:spacing w:line="240" w:lineRule="auto" w:after="0"/>
              <w:jc w:val="center"/>
            </w:pPr>
            <w:r/>
            <w:r>
              <w:rPr>
                <w:b w:val="0"/>
                <w:i w:val="0"/>
                <w:sz w:val="17"/>
              </w:rPr>
              <w:t>81</w:t>
            </w:r>
          </w:p>
        </w:tc>
        <w:tc>
          <w:tcPr>
            <w:tcW w:type="dxa" w:w="1417"/>
          </w:tcPr>
          <w:p>
            <w:pPr>
              <w:spacing w:line="240" w:lineRule="auto" w:after="0"/>
              <w:jc w:val="center"/>
            </w:pPr>
            <w:r/>
            <w:r>
              <w:rPr>
                <w:b w:val="0"/>
                <w:i w:val="0"/>
                <w:sz w:val="17"/>
              </w:rPr>
              <w:t>0.10</w:t>
            </w:r>
          </w:p>
        </w:tc>
        <w:tc>
          <w:tcPr>
            <w:tcW w:type="dxa" w:w="1134"/>
          </w:tcPr>
          <w:p>
            <w:pPr>
              <w:spacing w:line="240" w:lineRule="auto" w:after="0"/>
              <w:jc w:val="center"/>
            </w:pPr>
            <w:r/>
            <w:r>
              <w:rPr>
                <w:b w:val="0"/>
                <w:i w:val="0"/>
                <w:sz w:val="17"/>
              </w:rPr>
              <w:t>.399</w:t>
            </w:r>
          </w:p>
        </w:tc>
      </w:tr>
      <w:tr>
        <w:tc>
          <w:tcPr>
            <w:tcW w:type="dxa" w:w="3685"/>
          </w:tcPr>
          <w:p>
            <w:pPr>
              <w:spacing w:line="240" w:lineRule="auto" w:after="0"/>
            </w:pPr>
            <w:r/>
            <w:r>
              <w:rPr>
                <w:b w:val="0"/>
                <w:i w:val="0"/>
                <w:sz w:val="17"/>
              </w:rPr>
              <w:t>최종 Tegner 점수</w:t>
            </w:r>
          </w:p>
        </w:tc>
        <w:tc>
          <w:tcPr>
            <w:tcW w:type="dxa" w:w="850"/>
          </w:tcPr>
          <w:p>
            <w:pPr>
              <w:spacing w:line="240" w:lineRule="auto" w:after="0"/>
              <w:jc w:val="center"/>
            </w:pPr>
            <w:r/>
            <w:r>
              <w:rPr>
                <w:b w:val="0"/>
                <w:i w:val="0"/>
                <w:sz w:val="17"/>
              </w:rPr>
              <w:t>81</w:t>
            </w:r>
          </w:p>
        </w:tc>
        <w:tc>
          <w:tcPr>
            <w:tcW w:type="dxa" w:w="1417"/>
          </w:tcPr>
          <w:p>
            <w:pPr>
              <w:spacing w:line="240" w:lineRule="auto" w:after="0"/>
              <w:jc w:val="center"/>
            </w:pPr>
            <w:r/>
            <w:r>
              <w:rPr>
                <w:b w:val="0"/>
                <w:i w:val="0"/>
                <w:sz w:val="17"/>
              </w:rPr>
              <w:t>0.18</w:t>
            </w:r>
          </w:p>
        </w:tc>
        <w:tc>
          <w:tcPr>
            <w:tcW w:type="dxa" w:w="1134"/>
          </w:tcPr>
          <w:p>
            <w:pPr>
              <w:spacing w:line="240" w:lineRule="auto" w:after="0"/>
              <w:jc w:val="center"/>
            </w:pPr>
            <w:r/>
            <w:r>
              <w:rPr>
                <w:b w:val="0"/>
                <w:i w:val="0"/>
                <w:sz w:val="17"/>
              </w:rPr>
              <w:t>.099</w:t>
            </w:r>
          </w:p>
        </w:tc>
      </w:tr>
      <w:tr>
        <w:tc>
          <w:tcPr>
            <w:tcW w:type="dxa" w:w="3685"/>
          </w:tcPr>
          <w:p>
            <w:pPr>
              <w:spacing w:line="240" w:lineRule="auto" w:after="0"/>
            </w:pPr>
            <w:r/>
            <w:r>
              <w:rPr>
                <w:b/>
                <w:i w:val="0"/>
                <w:sz w:val="17"/>
              </w:rPr>
              <w:t>VAS 변화량</w:t>
            </w:r>
          </w:p>
        </w:tc>
        <w:tc>
          <w:tcPr>
            <w:tcW w:type="dxa" w:w="850"/>
          </w:tcPr>
          <w:p>
            <w:pPr>
              <w:spacing w:line="240" w:lineRule="auto" w:after="0"/>
              <w:jc w:val="center"/>
            </w:pPr>
            <w:r/>
            <w:r>
              <w:rPr>
                <w:b w:val="0"/>
                <w:i w:val="0"/>
                <w:sz w:val="17"/>
              </w:rPr>
              <w:t>81</w:t>
            </w:r>
          </w:p>
        </w:tc>
        <w:tc>
          <w:tcPr>
            <w:tcW w:type="dxa" w:w="1417"/>
          </w:tcPr>
          <w:p>
            <w:pPr>
              <w:spacing w:line="240" w:lineRule="auto" w:after="0"/>
              <w:jc w:val="center"/>
            </w:pPr>
            <w:r/>
            <w:r>
              <w:rPr>
                <w:b w:val="0"/>
                <w:i w:val="0"/>
                <w:sz w:val="17"/>
              </w:rPr>
              <w:t>-0.18</w:t>
            </w:r>
          </w:p>
        </w:tc>
        <w:tc>
          <w:tcPr>
            <w:tcW w:type="dxa" w:w="1134"/>
          </w:tcPr>
          <w:p>
            <w:pPr>
              <w:spacing w:line="240" w:lineRule="auto" w:after="0"/>
              <w:jc w:val="center"/>
            </w:pPr>
            <w:r/>
            <w:r>
              <w:rPr>
                <w:b w:val="0"/>
                <w:i w:val="0"/>
                <w:sz w:val="17"/>
              </w:rPr>
              <w:t>.106</w:t>
            </w:r>
          </w:p>
        </w:tc>
      </w:tr>
      <w:tr>
        <w:tc>
          <w:tcPr>
            <w:tcW w:type="dxa" w:w="3685"/>
          </w:tcPr>
          <w:p>
            <w:pPr>
              <w:spacing w:line="240" w:lineRule="auto" w:after="0"/>
            </w:pPr>
            <w:r/>
            <w:r>
              <w:rPr>
                <w:b/>
                <w:i w:val="0"/>
                <w:sz w:val="17"/>
              </w:rPr>
              <w:t>KP 점수 변화량</w:t>
            </w:r>
          </w:p>
        </w:tc>
        <w:tc>
          <w:tcPr>
            <w:tcW w:type="dxa" w:w="850"/>
          </w:tcPr>
          <w:p>
            <w:pPr>
              <w:spacing w:line="240" w:lineRule="auto" w:after="0"/>
              <w:jc w:val="center"/>
            </w:pPr>
            <w:r/>
            <w:r>
              <w:rPr>
                <w:b w:val="0"/>
                <w:i w:val="0"/>
                <w:sz w:val="17"/>
              </w:rPr>
              <w:t>81</w:t>
            </w:r>
          </w:p>
        </w:tc>
        <w:tc>
          <w:tcPr>
            <w:tcW w:type="dxa" w:w="1417"/>
          </w:tcPr>
          <w:p>
            <w:pPr>
              <w:spacing w:line="240" w:lineRule="auto" w:after="0"/>
              <w:jc w:val="center"/>
            </w:pPr>
            <w:r/>
            <w:r>
              <w:rPr>
                <w:b w:val="0"/>
                <w:i w:val="0"/>
                <w:sz w:val="17"/>
              </w:rPr>
              <w:t>-0.02</w:t>
            </w:r>
          </w:p>
        </w:tc>
        <w:tc>
          <w:tcPr>
            <w:tcW w:type="dxa" w:w="1134"/>
          </w:tcPr>
          <w:p>
            <w:pPr>
              <w:spacing w:line="240" w:lineRule="auto" w:after="0"/>
              <w:jc w:val="center"/>
            </w:pPr>
            <w:r/>
            <w:r>
              <w:rPr>
                <w:b w:val="0"/>
                <w:i w:val="0"/>
                <w:sz w:val="17"/>
              </w:rPr>
              <w:t>.869</w:t>
            </w:r>
          </w:p>
        </w:tc>
      </w:tr>
      <w:tr>
        <w:tc>
          <w:tcPr>
            <w:tcW w:type="dxa" w:w="3685"/>
          </w:tcPr>
          <w:p>
            <w:pPr>
              <w:spacing w:line="240" w:lineRule="auto" w:after="0"/>
            </w:pPr>
            <w:r/>
            <w:r>
              <w:rPr>
                <w:b/>
                <w:i w:val="0"/>
                <w:sz w:val="17"/>
              </w:rPr>
              <w:t>AOFAS 점수 변화량</w:t>
            </w:r>
          </w:p>
        </w:tc>
        <w:tc>
          <w:tcPr>
            <w:tcW w:type="dxa" w:w="850"/>
          </w:tcPr>
          <w:p>
            <w:pPr>
              <w:spacing w:line="240" w:lineRule="auto" w:after="0"/>
              <w:jc w:val="center"/>
            </w:pPr>
            <w:r/>
            <w:r>
              <w:rPr>
                <w:b w:val="0"/>
                <w:i w:val="0"/>
                <w:sz w:val="17"/>
              </w:rPr>
              <w:t>81</w:t>
            </w:r>
          </w:p>
        </w:tc>
        <w:tc>
          <w:tcPr>
            <w:tcW w:type="dxa" w:w="1417"/>
          </w:tcPr>
          <w:p>
            <w:pPr>
              <w:spacing w:line="240" w:lineRule="auto" w:after="0"/>
              <w:jc w:val="center"/>
            </w:pPr>
            <w:r/>
            <w:r>
              <w:rPr>
                <w:b w:val="0"/>
                <w:i w:val="0"/>
                <w:sz w:val="17"/>
              </w:rPr>
              <w:t>0.23</w:t>
            </w:r>
          </w:p>
        </w:tc>
        <w:tc>
          <w:tcPr>
            <w:tcW w:type="dxa" w:w="1134"/>
          </w:tcPr>
          <w:p>
            <w:pPr>
              <w:spacing w:line="240" w:lineRule="auto" w:after="0"/>
              <w:jc w:val="center"/>
            </w:pPr>
            <w:r/>
            <w:r>
              <w:rPr>
                <w:b w:val="0"/>
                <w:i w:val="0"/>
                <w:sz w:val="17"/>
              </w:rPr>
              <w:t>.037</w:t>
            </w:r>
          </w:p>
        </w:tc>
      </w:tr>
      <w:tr>
        <w:tc>
          <w:tcPr>
            <w:tcW w:type="dxa" w:w="3685"/>
          </w:tcPr>
          <w:p>
            <w:pPr>
              <w:spacing w:line="240" w:lineRule="auto" w:after="0"/>
            </w:pPr>
            <w:r/>
            <w:r>
              <w:rPr>
                <w:b w:val="0"/>
                <w:i w:val="0"/>
                <w:sz w:val="17"/>
              </w:rPr>
              <w:t>Tegner 점수 변화량</w:t>
            </w:r>
          </w:p>
        </w:tc>
        <w:tc>
          <w:tcPr>
            <w:tcW w:type="dxa" w:w="850"/>
          </w:tcPr>
          <w:p>
            <w:pPr>
              <w:spacing w:line="240" w:lineRule="auto" w:after="0"/>
              <w:jc w:val="center"/>
            </w:pPr>
            <w:r/>
            <w:r>
              <w:rPr>
                <w:b w:val="0"/>
                <w:i w:val="0"/>
                <w:sz w:val="17"/>
              </w:rPr>
              <w:t>81</w:t>
            </w:r>
          </w:p>
        </w:tc>
        <w:tc>
          <w:tcPr>
            <w:tcW w:type="dxa" w:w="1417"/>
          </w:tcPr>
          <w:p>
            <w:pPr>
              <w:spacing w:line="240" w:lineRule="auto" w:after="0"/>
              <w:jc w:val="center"/>
            </w:pPr>
            <w:r/>
            <w:r>
              <w:rPr>
                <w:b w:val="0"/>
                <w:i w:val="0"/>
                <w:sz w:val="17"/>
              </w:rPr>
              <w:t>-0.03</w:t>
            </w:r>
          </w:p>
        </w:tc>
        <w:tc>
          <w:tcPr>
            <w:tcW w:type="dxa" w:w="1134"/>
          </w:tcPr>
          <w:p>
            <w:pPr>
              <w:spacing w:line="240" w:lineRule="auto" w:after="0"/>
              <w:jc w:val="center"/>
            </w:pPr>
            <w:r/>
            <w:r>
              <w:rPr>
                <w:b w:val="0"/>
                <w:i w:val="0"/>
                <w:sz w:val="17"/>
              </w:rPr>
              <w:t>.819</w:t>
            </w:r>
          </w:p>
        </w:tc>
      </w:tr>
      <w:tr>
        <w:tc>
          <w:tcPr>
            <w:tcW w:type="dxa" w:w="3685"/>
          </w:tcPr>
          <w:p>
            <w:pPr>
              <w:spacing w:line="240" w:lineRule="auto" w:after="0"/>
            </w:pPr>
            <w:r/>
            <w:r>
              <w:rPr>
                <w:b/>
                <w:i w:val="0"/>
                <w:sz w:val="17"/>
              </w:rPr>
              <w:t>FFI</w:t>
            </w:r>
          </w:p>
        </w:tc>
        <w:tc>
          <w:tcPr>
            <w:tcW w:type="dxa" w:w="850"/>
          </w:tcPr>
          <w:p>
            <w:pPr>
              <w:spacing w:line="240" w:lineRule="auto" w:after="0"/>
              <w:jc w:val="center"/>
            </w:pPr>
            <w:r/>
            <w:r>
              <w:rPr>
                <w:b w:val="0"/>
                <w:i w:val="0"/>
                <w:sz w:val="17"/>
              </w:rPr>
              <w:t>81</w:t>
            </w:r>
          </w:p>
        </w:tc>
        <w:tc>
          <w:tcPr>
            <w:tcW w:type="dxa" w:w="1417"/>
          </w:tcPr>
          <w:p>
            <w:pPr>
              <w:spacing w:line="240" w:lineRule="auto" w:after="0"/>
              <w:jc w:val="center"/>
            </w:pPr>
            <w:r/>
            <w:r>
              <w:rPr>
                <w:b w:val="0"/>
                <w:i w:val="0"/>
                <w:sz w:val="17"/>
              </w:rPr>
              <w:t>-0.14</w:t>
            </w:r>
          </w:p>
        </w:tc>
        <w:tc>
          <w:tcPr>
            <w:tcW w:type="dxa" w:w="1134"/>
          </w:tcPr>
          <w:p>
            <w:pPr>
              <w:spacing w:line="240" w:lineRule="auto" w:after="0"/>
              <w:jc w:val="center"/>
            </w:pPr>
            <w:r/>
            <w:r>
              <w:rPr>
                <w:b w:val="0"/>
                <w:i w:val="0"/>
                <w:sz w:val="17"/>
              </w:rPr>
              <w:t>.217</w:t>
            </w:r>
          </w:p>
        </w:tc>
      </w:tr>
      <w:tr>
        <w:tc>
          <w:tcPr>
            <w:tcW w:type="dxa" w:w="3685"/>
          </w:tcPr>
          <w:p>
            <w:pPr>
              <w:spacing w:line="240" w:lineRule="auto" w:after="0"/>
            </w:pPr>
            <w:r/>
            <w:r>
              <w:rPr>
                <w:b/>
                <w:i w:val="0"/>
                <w:sz w:val="17"/>
              </w:rPr>
              <w:t>FAOS (평균)</w:t>
            </w:r>
          </w:p>
        </w:tc>
        <w:tc>
          <w:tcPr>
            <w:tcW w:type="dxa" w:w="850"/>
          </w:tcPr>
          <w:p>
            <w:pPr>
              <w:spacing w:line="240" w:lineRule="auto" w:after="0"/>
              <w:jc w:val="center"/>
            </w:pPr>
            <w:r/>
            <w:r>
              <w:rPr>
                <w:b w:val="0"/>
                <w:i w:val="0"/>
                <w:sz w:val="17"/>
              </w:rPr>
              <w:t>81</w:t>
            </w:r>
          </w:p>
        </w:tc>
        <w:tc>
          <w:tcPr>
            <w:tcW w:type="dxa" w:w="1417"/>
          </w:tcPr>
          <w:p>
            <w:pPr>
              <w:spacing w:line="240" w:lineRule="auto" w:after="0"/>
              <w:jc w:val="center"/>
            </w:pPr>
            <w:r/>
            <w:r>
              <w:rPr>
                <w:b w:val="0"/>
                <w:i w:val="0"/>
                <w:sz w:val="17"/>
              </w:rPr>
              <w:t>0.08</w:t>
            </w:r>
          </w:p>
        </w:tc>
        <w:tc>
          <w:tcPr>
            <w:tcW w:type="dxa" w:w="1134"/>
          </w:tcPr>
          <w:p>
            <w:pPr>
              <w:spacing w:line="240" w:lineRule="auto" w:after="0"/>
              <w:jc w:val="center"/>
            </w:pPr>
            <w:r/>
            <w:r>
              <w:rPr>
                <w:b w:val="0"/>
                <w:i w:val="0"/>
                <w:sz w:val="17"/>
              </w:rPr>
              <w:t>.471</w:t>
            </w:r>
          </w:p>
        </w:tc>
      </w:tr>
      <w:tr>
        <w:tc>
          <w:tcPr>
            <w:tcW w:type="dxa" w:w="3685"/>
          </w:tcPr>
          <w:p>
            <w:pPr>
              <w:spacing w:line="240" w:lineRule="auto" w:after="0"/>
            </w:pPr>
            <w:r/>
            <w:r>
              <w:rPr>
                <w:b/>
                <w:i w:val="0"/>
                <w:sz w:val="17"/>
              </w:rPr>
              <w:t>FAAM 일상생활</w:t>
            </w:r>
          </w:p>
        </w:tc>
        <w:tc>
          <w:tcPr>
            <w:tcW w:type="dxa" w:w="850"/>
          </w:tcPr>
          <w:p>
            <w:pPr>
              <w:spacing w:line="240" w:lineRule="auto" w:after="0"/>
              <w:jc w:val="center"/>
            </w:pPr>
            <w:r/>
            <w:r>
              <w:rPr>
                <w:b w:val="0"/>
                <w:i w:val="0"/>
                <w:sz w:val="17"/>
              </w:rPr>
              <w:t>81</w:t>
            </w:r>
          </w:p>
        </w:tc>
        <w:tc>
          <w:tcPr>
            <w:tcW w:type="dxa" w:w="1417"/>
          </w:tcPr>
          <w:p>
            <w:pPr>
              <w:spacing w:line="240" w:lineRule="auto" w:after="0"/>
              <w:jc w:val="center"/>
            </w:pPr>
            <w:r/>
            <w:r>
              <w:rPr>
                <w:b w:val="0"/>
                <w:i w:val="0"/>
                <w:sz w:val="17"/>
              </w:rPr>
              <w:t>0.19</w:t>
            </w:r>
          </w:p>
        </w:tc>
        <w:tc>
          <w:tcPr>
            <w:tcW w:type="dxa" w:w="1134"/>
          </w:tcPr>
          <w:p>
            <w:pPr>
              <w:spacing w:line="240" w:lineRule="auto" w:after="0"/>
              <w:jc w:val="center"/>
            </w:pPr>
            <w:r/>
            <w:r>
              <w:rPr>
                <w:b w:val="0"/>
                <w:i w:val="0"/>
                <w:sz w:val="17"/>
              </w:rPr>
              <w:t>.094</w:t>
            </w:r>
          </w:p>
        </w:tc>
      </w:tr>
      <w:tr>
        <w:tc>
          <w:tcPr>
            <w:tcW w:type="dxa" w:w="3685"/>
          </w:tcPr>
          <w:p>
            <w:pPr>
              <w:spacing w:line="240" w:lineRule="auto" w:after="0"/>
            </w:pPr>
            <w:r/>
            <w:r>
              <w:rPr>
                <w:b/>
                <w:i w:val="0"/>
                <w:sz w:val="17"/>
              </w:rPr>
              <w:t>FAAM 스포츠</w:t>
            </w:r>
          </w:p>
        </w:tc>
        <w:tc>
          <w:tcPr>
            <w:tcW w:type="dxa" w:w="850"/>
          </w:tcPr>
          <w:p>
            <w:pPr>
              <w:spacing w:line="240" w:lineRule="auto" w:after="0"/>
              <w:jc w:val="center"/>
            </w:pPr>
            <w:r/>
            <w:r>
              <w:rPr>
                <w:b w:val="0"/>
                <w:i w:val="0"/>
                <w:sz w:val="17"/>
              </w:rPr>
              <w:t>81</w:t>
            </w:r>
          </w:p>
        </w:tc>
        <w:tc>
          <w:tcPr>
            <w:tcW w:type="dxa" w:w="1417"/>
          </w:tcPr>
          <w:p>
            <w:pPr>
              <w:spacing w:line="240" w:lineRule="auto" w:after="0"/>
              <w:jc w:val="center"/>
            </w:pPr>
            <w:r/>
            <w:r>
              <w:rPr>
                <w:b w:val="0"/>
                <w:i w:val="0"/>
                <w:sz w:val="17"/>
              </w:rPr>
              <w:t>0.15</w:t>
            </w:r>
          </w:p>
        </w:tc>
        <w:tc>
          <w:tcPr>
            <w:tcW w:type="dxa" w:w="1134"/>
          </w:tcPr>
          <w:p>
            <w:pPr>
              <w:spacing w:line="240" w:lineRule="auto" w:after="0"/>
              <w:jc w:val="center"/>
            </w:pPr>
            <w:r/>
            <w:r>
              <w:rPr>
                <w:b w:val="0"/>
                <w:i w:val="0"/>
                <w:sz w:val="17"/>
              </w:rPr>
              <w:t>.180</w:t>
            </w:r>
          </w:p>
        </w:tc>
      </w:tr>
      <w:tr>
        <w:tc>
          <w:tcPr>
            <w:tcW w:type="dxa" w:w="3685"/>
          </w:tcPr>
          <w:p>
            <w:pPr>
              <w:spacing w:line="240" w:lineRule="auto" w:after="0"/>
            </w:pPr>
            <w:r/>
            <w:r>
              <w:rPr>
                <w:b/>
                <w:i w:val="0"/>
                <w:sz w:val="17"/>
              </w:rPr>
              <w:t>EQ-5D-5L</w:t>
            </w:r>
          </w:p>
        </w:tc>
        <w:tc>
          <w:tcPr>
            <w:tcW w:type="dxa" w:w="850"/>
          </w:tcPr>
          <w:p>
            <w:pPr>
              <w:spacing w:line="240" w:lineRule="auto" w:after="0"/>
              <w:jc w:val="center"/>
            </w:pPr>
            <w:r/>
            <w:r>
              <w:rPr>
                <w:b w:val="0"/>
                <w:i w:val="0"/>
                <w:sz w:val="17"/>
              </w:rPr>
              <w:t>81</w:t>
            </w:r>
          </w:p>
        </w:tc>
        <w:tc>
          <w:tcPr>
            <w:tcW w:type="dxa" w:w="1417"/>
          </w:tcPr>
          <w:p>
            <w:pPr>
              <w:spacing w:line="240" w:lineRule="auto" w:after="0"/>
              <w:jc w:val="center"/>
            </w:pPr>
            <w:r/>
            <w:r>
              <w:rPr>
                <w:b w:val="0"/>
                <w:i w:val="0"/>
                <w:sz w:val="17"/>
              </w:rPr>
              <w:t>-0.01</w:t>
            </w:r>
          </w:p>
        </w:tc>
        <w:tc>
          <w:tcPr>
            <w:tcW w:type="dxa" w:w="1134"/>
          </w:tcPr>
          <w:p>
            <w:pPr>
              <w:spacing w:line="240" w:lineRule="auto" w:after="0"/>
              <w:jc w:val="center"/>
            </w:pPr>
            <w:r/>
            <w:r>
              <w:rPr>
                <w:b w:val="0"/>
                <w:i w:val="0"/>
                <w:sz w:val="17"/>
              </w:rPr>
              <w:t>.919</w:t>
            </w:r>
          </w:p>
        </w:tc>
      </w:tr>
      <w:tr>
        <w:tc>
          <w:tcPr>
            <w:tcW w:type="dxa" w:w="3685"/>
          </w:tcPr>
          <w:p>
            <w:pPr>
              <w:spacing w:line="240" w:lineRule="auto" w:after="0"/>
            </w:pPr>
            <w:r/>
            <w:r>
              <w:rPr>
                <w:b w:val="0"/>
                <w:i w:val="0"/>
                <w:sz w:val="17"/>
              </w:rPr>
              <w:t>최종 거골경사각</w:t>
            </w:r>
          </w:p>
        </w:tc>
        <w:tc>
          <w:tcPr>
            <w:tcW w:type="dxa" w:w="850"/>
          </w:tcPr>
          <w:p>
            <w:pPr>
              <w:spacing w:line="240" w:lineRule="auto" w:after="0"/>
              <w:jc w:val="center"/>
            </w:pPr>
            <w:r/>
            <w:r>
              <w:rPr>
                <w:b w:val="0"/>
                <w:i w:val="0"/>
                <w:sz w:val="17"/>
              </w:rPr>
              <w:t>72</w:t>
            </w:r>
          </w:p>
        </w:tc>
        <w:tc>
          <w:tcPr>
            <w:tcW w:type="dxa" w:w="1417"/>
          </w:tcPr>
          <w:p>
            <w:pPr>
              <w:spacing w:line="240" w:lineRule="auto" w:after="0"/>
              <w:jc w:val="center"/>
            </w:pPr>
            <w:r/>
            <w:r>
              <w:rPr>
                <w:b w:val="0"/>
                <w:i w:val="0"/>
                <w:sz w:val="17"/>
              </w:rPr>
              <w:t>-0.08</w:t>
            </w:r>
          </w:p>
        </w:tc>
        <w:tc>
          <w:tcPr>
            <w:tcW w:type="dxa" w:w="1134"/>
          </w:tcPr>
          <w:p>
            <w:pPr>
              <w:spacing w:line="240" w:lineRule="auto" w:after="0"/>
              <w:jc w:val="center"/>
            </w:pPr>
            <w:r/>
            <w:r>
              <w:rPr>
                <w:b w:val="0"/>
                <w:i w:val="0"/>
                <w:sz w:val="17"/>
              </w:rPr>
              <w:t>.525</w:t>
            </w:r>
          </w:p>
        </w:tc>
      </w:tr>
      <w:tr>
        <w:tc>
          <w:tcPr>
            <w:tcW w:type="dxa" w:w="3685"/>
          </w:tcPr>
          <w:p>
            <w:pPr>
              <w:spacing w:line="240" w:lineRule="auto" w:after="0"/>
            </w:pPr>
            <w:r/>
            <w:r>
              <w:rPr>
                <w:b w:val="0"/>
                <w:i w:val="0"/>
                <w:sz w:val="17"/>
              </w:rPr>
              <w:t>최종 전방 전위</w:t>
            </w:r>
          </w:p>
        </w:tc>
        <w:tc>
          <w:tcPr>
            <w:tcW w:type="dxa" w:w="850"/>
          </w:tcPr>
          <w:p>
            <w:pPr>
              <w:spacing w:line="240" w:lineRule="auto" w:after="0"/>
              <w:jc w:val="center"/>
            </w:pPr>
            <w:r/>
            <w:r>
              <w:rPr>
                <w:b w:val="0"/>
                <w:i w:val="0"/>
                <w:sz w:val="17"/>
              </w:rPr>
              <w:t>72</w:t>
            </w:r>
          </w:p>
        </w:tc>
        <w:tc>
          <w:tcPr>
            <w:tcW w:type="dxa" w:w="1417"/>
          </w:tcPr>
          <w:p>
            <w:pPr>
              <w:spacing w:line="240" w:lineRule="auto" w:after="0"/>
              <w:jc w:val="center"/>
            </w:pPr>
            <w:r/>
            <w:r>
              <w:rPr>
                <w:b w:val="0"/>
                <w:i w:val="0"/>
                <w:sz w:val="17"/>
              </w:rPr>
              <w:t>0.00</w:t>
            </w:r>
          </w:p>
        </w:tc>
        <w:tc>
          <w:tcPr>
            <w:tcW w:type="dxa" w:w="1134"/>
          </w:tcPr>
          <w:p>
            <w:pPr>
              <w:spacing w:line="240" w:lineRule="auto" w:after="0"/>
              <w:jc w:val="center"/>
            </w:pPr>
            <w:r/>
            <w:r>
              <w:rPr>
                <w:b w:val="0"/>
                <w:i w:val="0"/>
                <w:sz w:val="17"/>
              </w:rPr>
              <w:t>.969</w:t>
            </w:r>
          </w:p>
        </w:tc>
      </w:tr>
      <w:tr>
        <w:tc>
          <w:tcPr>
            <w:tcW w:type="dxa" w:w="3685"/>
          </w:tcPr>
          <w:p>
            <w:pPr>
              <w:spacing w:line="240" w:lineRule="auto" w:after="0"/>
            </w:pPr>
            <w:r/>
            <w:r>
              <w:rPr>
                <w:b w:val="0"/>
                <w:i w:val="0"/>
                <w:sz w:val="17"/>
              </w:rPr>
              <w:t>거골경사각 변화량</w:t>
            </w:r>
          </w:p>
        </w:tc>
        <w:tc>
          <w:tcPr>
            <w:tcW w:type="dxa" w:w="850"/>
          </w:tcPr>
          <w:p>
            <w:pPr>
              <w:spacing w:line="240" w:lineRule="auto" w:after="0"/>
              <w:jc w:val="center"/>
            </w:pPr>
            <w:r/>
            <w:r>
              <w:rPr>
                <w:b w:val="0"/>
                <w:i w:val="0"/>
                <w:sz w:val="17"/>
              </w:rPr>
              <w:t>72</w:t>
            </w:r>
          </w:p>
        </w:tc>
        <w:tc>
          <w:tcPr>
            <w:tcW w:type="dxa" w:w="1417"/>
          </w:tcPr>
          <w:p>
            <w:pPr>
              <w:spacing w:line="240" w:lineRule="auto" w:after="0"/>
              <w:jc w:val="center"/>
            </w:pPr>
            <w:r/>
            <w:r>
              <w:rPr>
                <w:b w:val="0"/>
                <w:i w:val="0"/>
                <w:sz w:val="17"/>
              </w:rPr>
              <w:t>0.25</w:t>
            </w:r>
          </w:p>
        </w:tc>
        <w:tc>
          <w:tcPr>
            <w:tcW w:type="dxa" w:w="1134"/>
          </w:tcPr>
          <w:p>
            <w:pPr>
              <w:spacing w:line="240" w:lineRule="auto" w:after="0"/>
              <w:jc w:val="center"/>
            </w:pPr>
            <w:r/>
            <w:r>
              <w:rPr>
                <w:b w:val="0"/>
                <w:i w:val="0"/>
                <w:sz w:val="17"/>
              </w:rPr>
              <w:t>.033</w:t>
            </w:r>
          </w:p>
        </w:tc>
      </w:tr>
      <w:tr>
        <w:tc>
          <w:tcPr>
            <w:tcW w:type="dxa" w:w="3685"/>
          </w:tcPr>
          <w:p>
            <w:pPr>
              <w:spacing w:line="240" w:lineRule="auto" w:after="0"/>
            </w:pPr>
            <w:r/>
            <w:r>
              <w:rPr>
                <w:b w:val="0"/>
                <w:i w:val="0"/>
                <w:sz w:val="17"/>
              </w:rPr>
              <w:t>전방 전위 변화량</w:t>
            </w:r>
          </w:p>
        </w:tc>
        <w:tc>
          <w:tcPr>
            <w:tcW w:type="dxa" w:w="850"/>
          </w:tcPr>
          <w:p>
            <w:pPr>
              <w:spacing w:line="240" w:lineRule="auto" w:after="0"/>
              <w:jc w:val="center"/>
            </w:pPr>
            <w:r/>
            <w:r>
              <w:rPr>
                <w:b w:val="0"/>
                <w:i w:val="0"/>
                <w:sz w:val="17"/>
              </w:rPr>
              <w:t>72</w:t>
            </w:r>
          </w:p>
        </w:tc>
        <w:tc>
          <w:tcPr>
            <w:tcW w:type="dxa" w:w="1417"/>
          </w:tcPr>
          <w:p>
            <w:pPr>
              <w:spacing w:line="240" w:lineRule="auto" w:after="0"/>
              <w:jc w:val="center"/>
            </w:pPr>
            <w:r/>
            <w:r>
              <w:rPr>
                <w:b w:val="0"/>
                <w:i w:val="0"/>
                <w:sz w:val="17"/>
              </w:rPr>
              <w:t>0.16</w:t>
            </w:r>
          </w:p>
        </w:tc>
        <w:tc>
          <w:tcPr>
            <w:tcW w:type="dxa" w:w="1134"/>
          </w:tcPr>
          <w:p>
            <w:pPr>
              <w:spacing w:line="240" w:lineRule="auto" w:after="0"/>
              <w:jc w:val="center"/>
            </w:pPr>
            <w:r/>
            <w:r>
              <w:rPr>
                <w:b w:val="0"/>
                <w:i w:val="0"/>
                <w:sz w:val="17"/>
              </w:rPr>
              <w:t>.185</w:t>
            </w:r>
          </w:p>
        </w:tc>
      </w:tr>
      <w:tr>
        <w:tc>
          <w:tcPr>
            <w:tcW w:type="dxa" w:w="3685"/>
          </w:tcPr>
          <w:p>
            <w:pPr>
              <w:spacing w:line="240" w:lineRule="auto" w:after="0"/>
            </w:pPr>
            <w:r/>
            <w:r>
              <w:rPr>
                <w:b w:val="0"/>
                <w:i w:val="0"/>
                <w:sz w:val="17"/>
              </w:rPr>
              <w:t>최종 건측과의 거골경사각 차이</w:t>
            </w:r>
          </w:p>
        </w:tc>
        <w:tc>
          <w:tcPr>
            <w:tcW w:type="dxa" w:w="850"/>
          </w:tcPr>
          <w:p>
            <w:pPr>
              <w:spacing w:line="240" w:lineRule="auto" w:after="0"/>
              <w:jc w:val="center"/>
            </w:pPr>
            <w:r/>
            <w:r>
              <w:rPr>
                <w:b w:val="0"/>
                <w:i w:val="0"/>
                <w:sz w:val="17"/>
              </w:rPr>
              <w:t>71</w:t>
            </w:r>
          </w:p>
        </w:tc>
        <w:tc>
          <w:tcPr>
            <w:tcW w:type="dxa" w:w="1417"/>
          </w:tcPr>
          <w:p>
            <w:pPr>
              <w:spacing w:line="240" w:lineRule="auto" w:after="0"/>
              <w:jc w:val="center"/>
            </w:pPr>
            <w:r/>
            <w:r>
              <w:rPr>
                <w:b w:val="0"/>
                <w:i w:val="0"/>
                <w:sz w:val="17"/>
              </w:rPr>
              <w:t>-0.25</w:t>
            </w:r>
          </w:p>
        </w:tc>
        <w:tc>
          <w:tcPr>
            <w:tcW w:type="dxa" w:w="1134"/>
          </w:tcPr>
          <w:p>
            <w:pPr>
              <w:spacing w:line="240" w:lineRule="auto" w:after="0"/>
              <w:jc w:val="center"/>
            </w:pPr>
            <w:r/>
            <w:r>
              <w:rPr>
                <w:b w:val="0"/>
                <w:i w:val="0"/>
                <w:sz w:val="17"/>
              </w:rPr>
              <w:t>.032</w:t>
            </w:r>
          </w:p>
        </w:tc>
      </w:tr>
      <w:tr>
        <w:tc>
          <w:tcPr>
            <w:tcW w:type="dxa" w:w="3685"/>
          </w:tcPr>
          <w:p>
            <w:pPr>
              <w:spacing w:line="240" w:lineRule="auto" w:after="0"/>
            </w:pPr>
            <w:r/>
            <w:r>
              <w:rPr>
                <w:b w:val="0"/>
                <w:i w:val="0"/>
                <w:sz w:val="17"/>
              </w:rPr>
              <w:t>최종 건측과의 전방 전위 차이</w:t>
            </w:r>
          </w:p>
        </w:tc>
        <w:tc>
          <w:tcPr>
            <w:tcW w:type="dxa" w:w="850"/>
          </w:tcPr>
          <w:p>
            <w:pPr>
              <w:spacing w:line="240" w:lineRule="auto" w:after="0"/>
              <w:jc w:val="center"/>
            </w:pPr>
            <w:r/>
            <w:r>
              <w:rPr>
                <w:b w:val="0"/>
                <w:i w:val="0"/>
                <w:sz w:val="17"/>
              </w:rPr>
              <w:t>71</w:t>
            </w:r>
          </w:p>
        </w:tc>
        <w:tc>
          <w:tcPr>
            <w:tcW w:type="dxa" w:w="1417"/>
          </w:tcPr>
          <w:p>
            <w:pPr>
              <w:spacing w:line="240" w:lineRule="auto" w:after="0"/>
              <w:jc w:val="center"/>
            </w:pPr>
            <w:r/>
            <w:r>
              <w:rPr>
                <w:b w:val="0"/>
                <w:i w:val="0"/>
                <w:sz w:val="17"/>
              </w:rPr>
              <w:t>0.15</w:t>
            </w:r>
          </w:p>
        </w:tc>
        <w:tc>
          <w:tcPr>
            <w:tcW w:type="dxa" w:w="1134"/>
          </w:tcPr>
          <w:p>
            <w:pPr>
              <w:spacing w:line="240" w:lineRule="auto" w:after="0"/>
              <w:jc w:val="center"/>
            </w:pPr>
            <w:r/>
            <w:r>
              <w:rPr>
                <w:b w:val="0"/>
                <w:i w:val="0"/>
                <w:sz w:val="17"/>
              </w:rPr>
              <w:t>.219</w:t>
            </w:r>
          </w:p>
        </w:tc>
      </w:tr>
    </w:tbl>
    <w:p>
      <w:pPr>
        <w:spacing w:after="240" w:line="240" w:lineRule="auto"/>
      </w:pPr>
      <w:r>
        <w:rPr>
          <w:b w:val="0"/>
          <w:i w:val="0"/>
          <w:sz w:val="17"/>
        </w:rPr>
        <w:t>비율이 높을수록 봉합나사가 근위부(비해부학적)에 위치함을 의미. P 값은 다중비교 보정 전 값.</w:t>
      </w:r>
    </w:p>
    <w:p>
      <w:pPr>
        <w:pStyle w:val="Heading1"/>
      </w:pPr>
      <w:r>
        <w:t>그림 설명</w:t>
      </w:r>
    </w:p>
    <w:p>
      <w:r>
        <w:rPr>
          <w:b/>
          <w:i w:val="0"/>
        </w:rPr>
        <w:t>그림 1.</w:t>
      </w:r>
      <w:r>
        <w:rPr>
          <w:b w:val="0"/>
          <w:i w:val="0"/>
        </w:rPr>
        <w:t xml:space="preserve"> 환자 선정 흐름도. </w:t>
      </w:r>
      <w:r>
        <w:rPr>
          <w:b w:val="0"/>
          <w:i w:val="0"/>
          <w:highlight w:val="yellow"/>
        </w:rPr>
        <w:t>[제외 인원 확인 후 작성]</w:t>
      </w:r>
    </w:p>
    <w:p>
      <w:r>
        <w:rPr>
          <w:b/>
          <w:i w:val="0"/>
        </w:rPr>
        <w:t>그림 2.</w:t>
      </w:r>
      <w:r>
        <w:rPr>
          <w:b w:val="0"/>
          <w:i w:val="0"/>
        </w:rPr>
        <w:t xml:space="preserve"> 3차원 CT에서 비골 봉합나사 위치 측정. (A) FAT, FOT 및 봉합나사 중심을 확인한다. (B) 재구성한 원위 비골의 정측면상에서 봉합나사 중심–FOT 거리를 FAT–FOT 거리로 나눈 비율을 구한다. 해부학적, 25% 미만; 준해부학적, 25% 이상 50% 미만; 비해부학적, 50% 이상. </w:t>
      </w:r>
      <w:r>
        <w:rPr>
          <w:b w:val="0"/>
          <w:i w:val="0"/>
          <w:highlight w:val="yellow"/>
        </w:rPr>
        <w:t>[대표 영상 필요]</w:t>
      </w:r>
    </w:p>
    <w:p>
      <w:r>
        <w:rPr>
          <w:b/>
          <w:i w:val="0"/>
        </w:rPr>
        <w:t>그림 3.</w:t>
      </w:r>
      <w:r>
        <w:rPr>
          <w:b w:val="0"/>
          <w:i w:val="0"/>
        </w:rPr>
        <w:t xml:space="preserve"> </w:t>
      </w:r>
      <w:r>
        <w:rPr>
          <w:b w:val="0"/>
          <w:i w:val="0"/>
          <w:highlight w:val="yellow"/>
        </w:rPr>
        <w:t>[선택: 세 군의 대표 3차원 CT 영상 또는 봉합나사 위치 비율과 최종 결과의 산점도]</w:t>
      </w:r>
    </w:p>
    <w:p>
      <w:r>
        <w:br w:type="page"/>
      </w:r>
    </w:p>
    <w:p>
      <w:pPr>
        <w:pStyle w:val="Heading1"/>
      </w:pPr>
      <w:r>
        <w:t>참고문헌</w:t>
      </w:r>
    </w:p>
    <w:p>
      <w:pPr>
        <w:spacing w:line="276" w:lineRule="auto"/>
        <w:ind w:left="454" w:hanging="454"/>
      </w:pPr>
      <w:r>
        <w:rPr>
          <w:sz w:val="20"/>
        </w:rPr>
        <w:t>1. Broström L. Sprained ankles: V. Treatment and prognosis in recent ligament ruptures. Acta Chir Scand. 1966;132:537-550.</w:t>
      </w:r>
    </w:p>
    <w:p>
      <w:pPr>
        <w:spacing w:line="276" w:lineRule="auto"/>
        <w:ind w:left="454" w:hanging="454"/>
      </w:pPr>
      <w:r>
        <w:rPr>
          <w:sz w:val="20"/>
        </w:rPr>
        <w:t>2. Lee SH, Yang JH, Kim I. Nonanatomic all-inside arthroscopic anterior talofibular ligament repair with a high-position anchor versus anatomic repair: an analysis based on 3D CT. Am J Sports Med. 2022;50(8):2134-2144. doi:10.1177/03635465221097119</w:t>
      </w:r>
    </w:p>
    <w:p>
      <w:pPr>
        <w:spacing w:line="276" w:lineRule="auto"/>
        <w:ind w:left="454" w:hanging="454"/>
      </w:pPr>
      <w:r>
        <w:rPr>
          <w:sz w:val="20"/>
          <w:highlight w:val="yellow"/>
        </w:rPr>
        <w:t>3. Gould N, Seligson D, Gassman J. Early and late repair of lateral ligament of the ankle. Foot Ankle. 1980;1(2):84-89.</w:t>
      </w:r>
      <w:r>
        <w:rPr>
          <w:i/>
          <w:sz w:val="16"/>
        </w:rPr>
        <w:t xml:space="preserve">  [원문 미확인 — PDF 요청]</w:t>
      </w:r>
    </w:p>
    <w:p>
      <w:pPr>
        <w:spacing w:line="276" w:lineRule="auto"/>
        <w:ind w:left="454" w:hanging="454"/>
      </w:pPr>
      <w:r>
        <w:rPr>
          <w:sz w:val="20"/>
        </w:rPr>
        <w:t>4. Matsui K, Takao M, Miyamoto W, Innami K, Matsushita T. Arthroscopic Broström repair with Gould augmentation via an accessory anterolateral port for lateral instability of the ankle. Arch Orthop Trauma Surg. 2014;134:1461-1467.</w:t>
      </w:r>
    </w:p>
    <w:p>
      <w:pPr>
        <w:spacing w:line="276" w:lineRule="auto"/>
        <w:ind w:left="454" w:hanging="454"/>
      </w:pPr>
      <w:r>
        <w:rPr>
          <w:sz w:val="20"/>
        </w:rPr>
        <w:t>5. Vega J, Golanó P, Pellegrino A, Rabat E, Peña F. All-inside arthroscopic lateral collateral ligament repair for ankle instability with a knotless suture anchor technique. Foot Ankle Int. 2013;34:1701-1709.</w:t>
      </w:r>
    </w:p>
    <w:p>
      <w:pPr>
        <w:spacing w:line="276" w:lineRule="auto"/>
        <w:ind w:left="454" w:hanging="454"/>
      </w:pPr>
      <w:r>
        <w:rPr>
          <w:sz w:val="20"/>
        </w:rPr>
        <w:t>6. Takao M, Matsui K, Stone JW, et al. Arthroscopic anterior talofibular ligament repair for lateral instability of the ankle. Knee Surg Sports Traumatol Arthrosc. 2016;24:1003-1006.</w:t>
      </w:r>
    </w:p>
    <w:p>
      <w:pPr>
        <w:spacing w:line="276" w:lineRule="auto"/>
        <w:ind w:left="454" w:hanging="454"/>
      </w:pPr>
      <w:r>
        <w:rPr>
          <w:sz w:val="20"/>
        </w:rPr>
        <w:t>7. Matsui K, Takao M, Miyamoto W, Matsushita T. Early recovery after arthroscopic repair compared to open repair of the anterior talofibular ligament for lateral instability of the ankle. Arch Orthop Trauma Surg. 2016;136:93-100.</w:t>
      </w:r>
    </w:p>
    <w:p>
      <w:pPr>
        <w:spacing w:line="276" w:lineRule="auto"/>
        <w:ind w:left="454" w:hanging="454"/>
      </w:pPr>
      <w:r>
        <w:rPr>
          <w:sz w:val="20"/>
        </w:rPr>
        <w:t>8. Vega J, Malagelada F, Dalmau-Pastor M. Arthroscopic all-inside ATFL and CFL repair is feasible and provides excellent results in patients with chronic ankle instability. Knee Surg Sports Traumatol Arthrosc. 2020;28:116-123.</w:t>
      </w:r>
    </w:p>
    <w:p>
      <w:pPr>
        <w:spacing w:line="276" w:lineRule="auto"/>
        <w:ind w:left="454" w:hanging="454"/>
      </w:pPr>
      <w:r>
        <w:rPr>
          <w:sz w:val="20"/>
        </w:rPr>
        <w:t>9. Drakos MC, Behrens SB, Paller D, Murphy C, DiGiovanni CW. Biomechanical comparison of an open vs arthroscopic approach for lateral ankle instability. Foot Ankle Int. 2014;35:809-815.</w:t>
      </w:r>
    </w:p>
    <w:p>
      <w:pPr>
        <w:spacing w:line="276" w:lineRule="auto"/>
        <w:ind w:left="454" w:hanging="454"/>
      </w:pPr>
      <w:r>
        <w:rPr>
          <w:sz w:val="20"/>
        </w:rPr>
        <w:t>10. Krips R, van Dijk CN, Halasi T, et al. Anatomical reconstruction versus tenodesis for the treatment of chronic anterolateral instability of the ankle joint: a 2- to 10-year follow-up, multicenter study. Knee Surg Sports Traumatol Arthrosc. 2000;8:173-179.</w:t>
      </w:r>
    </w:p>
    <w:p>
      <w:pPr>
        <w:spacing w:line="276" w:lineRule="auto"/>
        <w:ind w:left="454" w:hanging="454"/>
      </w:pPr>
      <w:r>
        <w:rPr>
          <w:sz w:val="20"/>
        </w:rPr>
        <w:t>11. Shoji H, Teramoto A, Sakakibara Y, et al. Kinematics and laxity of the ankle joint in anatomic and nonanatomic anterior talofibular ligament repair: a biomechanical cadaveric study. Am J Sports Med. 2019;47:667-673.</w:t>
      </w:r>
    </w:p>
    <w:p>
      <w:pPr>
        <w:spacing w:line="276" w:lineRule="auto"/>
        <w:ind w:left="454" w:hanging="454"/>
      </w:pPr>
      <w:r>
        <w:rPr>
          <w:sz w:val="20"/>
        </w:rPr>
        <w:t>12. Caputo AM, Lee JY, Spritzer CE, et al. In vivo kinematics of the tibiotalar joint after lateral ankle instability. Am J Sports Med. 2009;37:2241-2248.</w:t>
      </w:r>
    </w:p>
    <w:p>
      <w:pPr>
        <w:spacing w:line="276" w:lineRule="auto"/>
        <w:ind w:left="454" w:hanging="454"/>
      </w:pPr>
      <w:r>
        <w:rPr>
          <w:sz w:val="20"/>
        </w:rPr>
        <w:t>13. Teramoto A, Shoji H, Sakakibara Y, Suzuki T, Watanabe K, Yamashita T. The distal margin of the lateral malleolus visible under ankle arthroscopy (articular tip) from the anteromedial portal, is separate from the ATFL attachment site of the fibula: a cadaver study. J Orthop Sci. 2018;23:565-569.</w:t>
      </w:r>
    </w:p>
    <w:p>
      <w:pPr>
        <w:spacing w:line="276" w:lineRule="auto"/>
        <w:ind w:left="454" w:hanging="454"/>
      </w:pPr>
      <w:r>
        <w:rPr>
          <w:sz w:val="20"/>
        </w:rPr>
        <w:t>14. Thès A, Klouche S, Ferrand M, Hardy P, Bauer T. Assessment of the feasibility of arthroscopic visualization of the lateral ligament of the ankle: a cadaveric study. Knee Surg Sports Traumatol Arthrosc. 2016;24:985-990.</w:t>
      </w:r>
    </w:p>
    <w:p>
      <w:pPr>
        <w:spacing w:line="276" w:lineRule="auto"/>
        <w:ind w:left="454" w:hanging="454"/>
      </w:pPr>
      <w:r>
        <w:rPr>
          <w:sz w:val="20"/>
        </w:rPr>
        <w:t>15. Matsui K, Oliva XM, Takao M, et al. Bony landmarks available for minimally invasive lateral ankle stabilization surgery: a cadaveric anatomical study. Knee Surg Sports Traumatol Arthrosc. 2017;25:1916-1924.</w:t>
      </w:r>
    </w:p>
    <w:p>
      <w:pPr>
        <w:spacing w:line="276" w:lineRule="auto"/>
        <w:ind w:left="454" w:hanging="454"/>
      </w:pPr>
      <w:r>
        <w:rPr>
          <w:sz w:val="20"/>
        </w:rPr>
        <w:t>16. Nakasa T, Ikuta Y, Ota Y, et al. Safe angles of ATFL and CFL anchor insertion into anatomical attachment of fibula in a lateral ankle ligament repair. J Orthop Sci. 2021;26:156-161. doi:10.1016/j.jos.2020.02.011</w:t>
      </w:r>
    </w:p>
    <w:p>
      <w:pPr>
        <w:spacing w:line="276" w:lineRule="auto"/>
        <w:ind w:left="454" w:hanging="454"/>
      </w:pPr>
      <w:r>
        <w:rPr>
          <w:sz w:val="20"/>
        </w:rPr>
        <w:t>17. Lee SH, Yang JH. All-inside arthroscopic anatomic anterior talofibular ligament repair for anterolateral ankle instability using a knotless suture anchor, allowing for tension adjustment. Arthrosc Tech. 2021;10:e925-e929. doi:10.1016/j.eats.2020.11.013</w:t>
      </w:r>
    </w:p>
    <w:p>
      <w:pPr>
        <w:spacing w:line="276" w:lineRule="auto"/>
        <w:ind w:left="454" w:hanging="454"/>
      </w:pPr>
      <w:r>
        <w:rPr>
          <w:sz w:val="20"/>
        </w:rPr>
        <w:t>18. Burks RT, Morgan J. Anatomy of the lateral ankle ligaments. Am J Sports Med. 1994;22:72-77.</w:t>
      </w:r>
    </w:p>
    <w:p>
      <w:pPr>
        <w:spacing w:line="276" w:lineRule="auto"/>
        <w:ind w:left="454" w:hanging="454"/>
      </w:pPr>
      <w:r>
        <w:rPr>
          <w:sz w:val="20"/>
        </w:rPr>
        <w:t>19. Kakegawa A, Mori Y, Tsuchiya A, Sumitomo N, Fukushima N, Moriizumi T. Independent attachment of lateral ankle ligaments: anterior talofibular and calcaneofibular ligaments—a cadaveric study. J Foot Ankle Surg. 2019;58:717-722.</w:t>
      </w:r>
    </w:p>
    <w:p>
      <w:pPr>
        <w:spacing w:line="276" w:lineRule="auto"/>
        <w:ind w:left="454" w:hanging="454"/>
      </w:pPr>
      <w:r>
        <w:rPr>
          <w:sz w:val="20"/>
          <w:highlight w:val="yellow"/>
        </w:rPr>
        <w:t>20. Karlsson J, Peterson L. Evaluation of ankle joint function: the use of a scoring scale. Foot. 1991;1(1):15-19.</w:t>
      </w:r>
      <w:r>
        <w:rPr>
          <w:i/>
          <w:sz w:val="16"/>
        </w:rPr>
        <w:t xml:space="preserve">  [원문 미확인 — PDF 요청]</w:t>
      </w:r>
    </w:p>
    <w:p>
      <w:pPr>
        <w:spacing w:line="276" w:lineRule="auto"/>
        <w:ind w:left="454" w:hanging="454"/>
      </w:pPr>
      <w:r>
        <w:rPr>
          <w:sz w:val="20"/>
          <w:highlight w:val="yellow"/>
        </w:rPr>
        <w:t>21. Kitaoka HB, Alexander IJ, Adelaar RS, Nunley JA, Myerson MS, Sanders M. Clinical rating systems for the ankle-hindfoot, midfoot, hallux, and lesser toes. Foot Ankle Int. 1994;15(7):349-353.</w:t>
      </w:r>
      <w:r>
        <w:rPr>
          <w:i/>
          <w:sz w:val="16"/>
        </w:rPr>
        <w:t xml:space="preserve">  [원문 미확인 — PDF 요청]</w:t>
      </w:r>
    </w:p>
    <w:p>
      <w:pPr>
        <w:spacing w:line="276" w:lineRule="auto"/>
        <w:ind w:left="454" w:hanging="454"/>
      </w:pPr>
      <w:r>
        <w:rPr>
          <w:sz w:val="20"/>
          <w:highlight w:val="yellow"/>
        </w:rPr>
        <w:t>22. Tegner Y, Lysholm J. Rating systems in the evaluation of knee ligament injuries. Clin Orthop Relat Res. 1985;(198):43-49.</w:t>
      </w:r>
      <w:r>
        <w:rPr>
          <w:i/>
          <w:sz w:val="16"/>
        </w:rPr>
        <w:t xml:space="preserve">  [원문 미확인 — PDF 요청]</w:t>
      </w:r>
    </w:p>
    <w:p>
      <w:pPr>
        <w:spacing w:line="276" w:lineRule="auto"/>
        <w:ind w:left="454" w:hanging="454"/>
      </w:pPr>
      <w:r>
        <w:rPr>
          <w:sz w:val="20"/>
          <w:highlight w:val="yellow"/>
        </w:rPr>
        <w:t>23. Budiman-Mak E, Conrad KJ, Roach KE. The Foot Function Index: a measure of foot pain and disability. J Clin Epidemiol. 1991;44(6):561-570.</w:t>
      </w:r>
      <w:r>
        <w:rPr>
          <w:i/>
          <w:sz w:val="16"/>
        </w:rPr>
        <w:t xml:space="preserve">  [원문 미확인 — PDF 요청]</w:t>
      </w:r>
    </w:p>
    <w:p>
      <w:pPr>
        <w:spacing w:line="276" w:lineRule="auto"/>
        <w:ind w:left="454" w:hanging="454"/>
      </w:pPr>
      <w:r>
        <w:rPr>
          <w:sz w:val="20"/>
        </w:rPr>
        <w:t>24. Roos EM, Brandsson S, Karlsson J. Validation of the Foot and Ankle Outcome Score for ankle ligament reconstruction. Foot Ankle Int. 2001;22:788-794.</w:t>
      </w:r>
    </w:p>
    <w:p>
      <w:pPr>
        <w:spacing w:line="276" w:lineRule="auto"/>
        <w:ind w:left="454" w:hanging="454"/>
      </w:pPr>
      <w:r>
        <w:rPr>
          <w:sz w:val="20"/>
          <w:highlight w:val="yellow"/>
        </w:rPr>
        <w:t>25. Martin RL, Irrgang JJ, Burdett RG, Conti SF, Van Swearingen JM. Evidence of validity for the Foot and Ankle Ability Measure (FAAM). Foot Ankle Int. 2005;26(11):968-983.</w:t>
      </w:r>
      <w:r>
        <w:rPr>
          <w:i/>
          <w:sz w:val="16"/>
        </w:rPr>
        <w:t xml:space="preserve">  [원문 미확인 — PDF 요청]</w:t>
      </w:r>
    </w:p>
    <w:p>
      <w:pPr>
        <w:spacing w:line="276" w:lineRule="auto"/>
        <w:ind w:left="454" w:hanging="454"/>
      </w:pPr>
      <w:r>
        <w:rPr>
          <w:sz w:val="20"/>
          <w:highlight w:val="yellow"/>
        </w:rPr>
        <w:t>26. Herdman M, Gudex C, Lloyd A, et al. Development and preliminary testing of the new five-level version of EQ-5D (EQ-5D-5L). Qual Life Res. 2011;20(10):1727-1736.</w:t>
      </w:r>
      <w:r>
        <w:rPr>
          <w:i/>
          <w:sz w:val="16"/>
        </w:rPr>
        <w:t xml:space="preserve">  [원문 미확인 — PDF 요청]</w:t>
      </w:r>
    </w:p>
    <w:p>
      <w:pPr>
        <w:spacing w:line="276" w:lineRule="auto"/>
        <w:ind w:left="454" w:hanging="454"/>
      </w:pPr>
      <w:r>
        <w:rPr>
          <w:sz w:val="20"/>
        </w:rPr>
        <w:t>27. Beighton P, Solomon L, Soskolne CL. Articular mobility in an African population. Ann Rheum Dis. 1973;32:413-418.</w:t>
      </w:r>
    </w:p>
    <w:p>
      <w:pPr>
        <w:spacing w:line="276" w:lineRule="auto"/>
        <w:ind w:left="454" w:hanging="454"/>
      </w:pPr>
      <w:r>
        <w:rPr>
          <w:sz w:val="20"/>
        </w:rPr>
        <w:t>28. Lee SH, Cho HG, Yang JH. Additional inferior extensor retinaculum augmentation after all-inside arthroscopic anterior talofibular ligament repair for chronic ankle instability is not necessary. Am J Sports Med. 2021;49:1721-1731.</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eastAsia="바탕"/>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바탕"/>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바탕"/>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바탕"/>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