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Alunos: Gabriel Brunelli Pereira, Leonardo Valério Anastácio, Lucas Litter Mentz.</w:t>
      </w:r>
    </w:p>
    <w:p w:rsidR="00000000" w:rsidDel="00000000" w:rsidP="00000000" w:rsidRDefault="00000000" w:rsidRPr="00000000" w14:paraId="00000002">
      <w:pPr>
        <w:spacing w:after="200"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Disciplina: Bancos de Dados 1 - BAN1001.</w:t>
      </w:r>
    </w:p>
    <w:p w:rsidR="00000000" w:rsidDel="00000000" w:rsidP="00000000" w:rsidRDefault="00000000" w:rsidRPr="00000000" w14:paraId="00000003">
      <w:pPr>
        <w:spacing w:after="200"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Semestre: 2017-2.</w:t>
        <w:tab/>
        <w:tab/>
        <w:tab/>
        <w:tab/>
        <w:tab/>
        <w:tab/>
        <w:t xml:space="preserve">Entrega: 04 de setembro de 2017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Projeto de BD Relacional - Locadora de Filmes</w:t>
      </w:r>
    </w:p>
    <w:p w:rsidR="00000000" w:rsidDel="00000000" w:rsidP="00000000" w:rsidRDefault="00000000" w:rsidRPr="00000000" w14:paraId="00000006">
      <w:pPr>
        <w:spacing w:after="200"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Projeto EER: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60000" cy="615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Projeto Lógico: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Categoria_Filme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#cod_categoria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descricao, preco, tempo_maximo_aluguel, multa_diaria)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Filme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#cod_filme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&amp;cod_categoria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titulo, diretor, data_lancamento, classificacao_indicativa, duracao, genero)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Midia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#cod_midia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&amp;cod_filme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tipo_midia)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Cliente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#cod_cliente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data_cadastro, endereco, tipo, [pf_sexo], [pf_data_nasc], [pf_nome], [pf_CPF], [pj_razao_social], [pj_CNPJ], [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&amp;cod_clienteresponsavel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Funcionario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#cod_funcionario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CPF, nome, endereco, data_contratacao)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Emprestimo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#cod_emprestimo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&amp;cod_midia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&amp;cod_cliente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&amp;cod_funcionario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data_retirada, [data_devolucao])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R.I.s: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1 - Cliente: se o atributo tipo for “PF” então os atributos com prefixo  “pf_” devem ser preenchidos, os com prefixo “pj_” devem estar vazios e o atributo cod_clienteresponsavel é de preenchimento facultativo, mas se for “PJ” então os atributos com prefixo “pj_” devem ser preenchidos, os com prefixo “pf_” devem estar vazios e o atributo cod_clienteresponsavel deve estar vazio.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2 - Emprestimo: O empréstimo será contado como finalizado e contado no bônus ao funcionário quando o atributo data_devolucao for preenchido com uma data válida (data_devolucao &gt; data_retirada).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3 - Emprestimo: O sistema deve calcular a data de devolução prevista com base no atributo tempo_maximo_aluguel da Categoria_Filme do Filme da Midia e o atributo data_retirada.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