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479C2" w14:textId="24F4421A" w:rsidR="00D353E8" w:rsidRPr="00D353E8" w:rsidRDefault="00D353E8" w:rsidP="00D353E8">
      <w:pPr>
        <w:pStyle w:val="Title"/>
        <w:spacing w:before="322" w:after="322"/>
        <w:rPr>
          <w:lang w:val="en-AU"/>
        </w:rPr>
      </w:pPr>
      <w:r w:rsidRPr="00D353E8">
        <w:rPr>
          <w:lang w:val="en-AU"/>
        </w:rPr>
        <w:t xml:space="preserve">Low-Precision Sensitivity in VLAs: </w:t>
      </w:r>
      <w:r w:rsidR="0097179E">
        <w:rPr>
          <w:lang w:val="en-AU"/>
        </w:rPr>
        <w:t>Cross</w:t>
      </w:r>
      <w:r w:rsidR="00F75DF2">
        <w:rPr>
          <w:lang w:val="en-AU"/>
        </w:rPr>
        <w:t>-</w:t>
      </w:r>
      <w:r w:rsidRPr="00D353E8">
        <w:rPr>
          <w:lang w:val="en-AU"/>
        </w:rPr>
        <w:t>Region Interaction and Flow-Step Effects in Flow</w:t>
      </w:r>
      <w:r w:rsidR="00832BC4">
        <w:rPr>
          <w:lang w:val="en-AU"/>
        </w:rPr>
        <w:t xml:space="preserve"> </w:t>
      </w:r>
      <w:r w:rsidRPr="00D353E8">
        <w:rPr>
          <w:lang w:val="en-AU"/>
        </w:rPr>
        <w:t>Matching Action Heads</w:t>
      </w:r>
    </w:p>
    <w:p w14:paraId="145D1E82" w14:textId="5930E9B0" w:rsidR="598A26A8" w:rsidRDefault="598A26A8" w:rsidP="7F3BE381">
      <w:pPr>
        <w:spacing w:before="185"/>
        <w:ind w:left="2" w:right="95"/>
        <w:jc w:val="center"/>
        <w:rPr>
          <w:rFonts w:ascii="Aptos" w:eastAsia="Aptos" w:hAnsi="Aptos" w:cs="Aptos"/>
          <w:i/>
          <w:iCs/>
          <w:sz w:val="19"/>
          <w:szCs w:val="19"/>
        </w:rPr>
      </w:pPr>
      <w:r w:rsidRPr="7F3BE381">
        <w:rPr>
          <w:rFonts w:ascii="Aptos" w:eastAsia="Aptos" w:hAnsi="Aptos" w:cs="Aptos"/>
          <w:i/>
          <w:iCs/>
          <w:sz w:val="19"/>
          <w:szCs w:val="19"/>
        </w:rPr>
        <w:t>Ziyu Chen, Zheng Xu</w:t>
      </w:r>
    </w:p>
    <w:p w14:paraId="1083167E" w14:textId="534E4AB0" w:rsidR="598A26A8" w:rsidRDefault="598A26A8" w:rsidP="7F3BE381">
      <w:pPr>
        <w:spacing w:before="185"/>
        <w:ind w:left="2" w:right="95"/>
        <w:jc w:val="center"/>
      </w:pPr>
      <w:r w:rsidRPr="7F3BE381">
        <w:rPr>
          <w:rFonts w:ascii="Aptos" w:eastAsia="Aptos" w:hAnsi="Aptos" w:cs="Aptos"/>
          <w:sz w:val="19"/>
          <w:szCs w:val="19"/>
        </w:rPr>
        <w:t>zche0506@uni.sydney.edu.au, zhxu0272@uni.sydney.edu.au</w:t>
      </w:r>
    </w:p>
    <w:p w14:paraId="00000003" w14:textId="3CC6931E" w:rsidR="007761C0" w:rsidRDefault="7F3BE381" w:rsidP="7F3BE381">
      <w:pPr>
        <w:jc w:val="center"/>
        <w:rPr>
          <w:i/>
          <w:iCs/>
          <w:sz w:val="19"/>
          <w:szCs w:val="19"/>
        </w:rPr>
        <w:sectPr w:rsidR="007761C0">
          <w:pgSz w:w="11910" w:h="16840"/>
          <w:pgMar w:top="1380" w:right="1133" w:bottom="280" w:left="1133" w:header="720" w:footer="720" w:gutter="0"/>
          <w:pgNumType w:start="1"/>
          <w:cols w:space="720"/>
        </w:sectPr>
      </w:pPr>
      <w:r w:rsidRPr="7F3BE381">
        <w:rPr>
          <w:i/>
          <w:iCs/>
          <w:sz w:val="19"/>
          <w:szCs w:val="19"/>
        </w:rPr>
        <w:t xml:space="preserve"> </w:t>
      </w:r>
    </w:p>
    <w:p w14:paraId="6AE371D7" w14:textId="3A22F50C" w:rsidR="18A86EE2" w:rsidRDefault="42D5D460" w:rsidP="00576110">
      <w:pPr>
        <w:pStyle w:val="Heading1"/>
        <w:numPr>
          <w:ilvl w:val="0"/>
          <w:numId w:val="7"/>
        </w:numPr>
        <w:tabs>
          <w:tab w:val="left" w:pos="323"/>
        </w:tabs>
        <w:spacing w:before="183"/>
        <w:ind w:left="323" w:hanging="237"/>
      </w:pPr>
      <w:r>
        <w:t>ABSTRACTION</w:t>
      </w:r>
    </w:p>
    <w:p w14:paraId="7224ED66" w14:textId="02D60DE2" w:rsidR="00576110" w:rsidRPr="00576110" w:rsidRDefault="00576110" w:rsidP="00576110">
      <w:pPr>
        <w:pBdr>
          <w:top w:val="nil"/>
          <w:left w:val="nil"/>
          <w:bottom w:val="nil"/>
          <w:right w:val="nil"/>
          <w:between w:val="nil"/>
        </w:pBdr>
        <w:spacing w:before="213" w:line="264" w:lineRule="auto"/>
        <w:ind w:left="96" w:right="38" w:hanging="10"/>
        <w:jc w:val="both"/>
        <w:rPr>
          <w:color w:val="000000" w:themeColor="text1"/>
          <w:sz w:val="19"/>
          <w:szCs w:val="19"/>
          <w:lang w:val="en-AU"/>
        </w:rPr>
      </w:pPr>
      <w:r w:rsidRPr="00576110">
        <w:rPr>
          <w:color w:val="000000" w:themeColor="text1"/>
          <w:sz w:val="19"/>
          <w:szCs w:val="19"/>
          <w:lang w:val="en-AU"/>
        </w:rPr>
        <w:t>Vision-language-action models (VLAs) have recently emerged as an important paradigm for embodied intelligence,</w:t>
      </w:r>
      <w:r>
        <w:rPr>
          <w:color w:val="000000" w:themeColor="text1"/>
          <w:sz w:val="19"/>
          <w:szCs w:val="19"/>
          <w:lang w:val="en-AU"/>
        </w:rPr>
        <w:t xml:space="preserve"> </w:t>
      </w:r>
      <w:r w:rsidRPr="00576110">
        <w:rPr>
          <w:color w:val="000000" w:themeColor="text1"/>
          <w:sz w:val="19"/>
          <w:szCs w:val="19"/>
          <w:lang w:val="en-AU"/>
        </w:rPr>
        <w:t>but deploying them on resource-constrained robotics platforms remains difficult due to memory and inference-cost limitations. Post-training quantization (PTQ) is a promising approach because it can reduce model cost without requiring full retraining. However, VLA quantization is more complicated than standard LLM quantization, since small numerical perturbations can propagate into action errors</w:t>
      </w:r>
      <w:r w:rsidR="0051591A">
        <w:rPr>
          <w:color w:val="000000" w:themeColor="text1"/>
          <w:sz w:val="19"/>
          <w:szCs w:val="19"/>
          <w:lang w:val="en-AU"/>
        </w:rPr>
        <w:t xml:space="preserve"> and</w:t>
      </w:r>
      <w:r w:rsidRPr="00576110">
        <w:rPr>
          <w:color w:val="000000" w:themeColor="text1"/>
          <w:sz w:val="19"/>
          <w:szCs w:val="19"/>
          <w:lang w:val="en-AU"/>
        </w:rPr>
        <w:t xml:space="preserve"> task failure.</w:t>
      </w:r>
    </w:p>
    <w:p w14:paraId="0DB45E84" w14:textId="0F74FB56" w:rsidR="00576110" w:rsidRPr="00576110" w:rsidRDefault="00576110" w:rsidP="00576110">
      <w:pPr>
        <w:pBdr>
          <w:top w:val="nil"/>
          <w:left w:val="nil"/>
          <w:bottom w:val="nil"/>
          <w:right w:val="nil"/>
          <w:between w:val="nil"/>
        </w:pBdr>
        <w:spacing w:before="213" w:line="264" w:lineRule="auto"/>
        <w:ind w:left="96" w:right="38" w:hanging="10"/>
        <w:jc w:val="both"/>
        <w:rPr>
          <w:color w:val="000000" w:themeColor="text1"/>
          <w:sz w:val="19"/>
          <w:szCs w:val="19"/>
          <w:lang w:val="en-AU"/>
        </w:rPr>
      </w:pPr>
      <w:r w:rsidRPr="00576110">
        <w:rPr>
          <w:color w:val="000000" w:themeColor="text1"/>
          <w:sz w:val="19"/>
          <w:szCs w:val="19"/>
          <w:lang w:val="en-AU"/>
        </w:rPr>
        <w:t>Recent work such as QuantVLA</w:t>
      </w:r>
      <w:r w:rsidR="00703E96">
        <w:rPr>
          <w:color w:val="000000" w:themeColor="text1"/>
          <w:sz w:val="19"/>
          <w:szCs w:val="19"/>
          <w:lang w:val="en-AU"/>
        </w:rPr>
        <w:t xml:space="preserve"> [3]</w:t>
      </w:r>
      <w:r w:rsidRPr="00576110">
        <w:rPr>
          <w:color w:val="000000" w:themeColor="text1"/>
          <w:sz w:val="19"/>
          <w:szCs w:val="19"/>
          <w:lang w:val="en-AU"/>
        </w:rPr>
        <w:t xml:space="preserve"> has shown that </w:t>
      </w:r>
      <w:r w:rsidR="004C5B69">
        <w:rPr>
          <w:color w:val="000000" w:themeColor="text1"/>
          <w:sz w:val="19"/>
          <w:szCs w:val="19"/>
          <w:lang w:val="en-AU"/>
        </w:rPr>
        <w:t xml:space="preserve">some </w:t>
      </w:r>
      <w:r w:rsidRPr="00576110">
        <w:rPr>
          <w:color w:val="000000" w:themeColor="text1"/>
          <w:sz w:val="19"/>
          <w:szCs w:val="19"/>
          <w:lang w:val="en-AU"/>
        </w:rPr>
        <w:t>DiT-based VLA action heads</w:t>
      </w:r>
      <w:r w:rsidR="004C5B69">
        <w:rPr>
          <w:color w:val="000000" w:themeColor="text1"/>
          <w:sz w:val="19"/>
          <w:szCs w:val="19"/>
          <w:lang w:val="en-AU"/>
        </w:rPr>
        <w:t xml:space="preserve"> (such as</w:t>
      </w:r>
      <w:r w:rsidR="005B4A9D">
        <w:rPr>
          <w:color w:val="000000" w:themeColor="text1"/>
          <w:sz w:val="19"/>
          <w:szCs w:val="19"/>
          <w:lang w:val="en-AU"/>
        </w:rPr>
        <w:t xml:space="preserve"> in</w:t>
      </w:r>
      <w:r w:rsidR="005B68D7">
        <w:rPr>
          <w:color w:val="000000" w:themeColor="text1"/>
          <w:sz w:val="19"/>
          <w:szCs w:val="19"/>
          <w:lang w:val="en-AU"/>
        </w:rPr>
        <w:t xml:space="preserve"> the</w:t>
      </w:r>
      <w:r w:rsidR="005D526D">
        <w:rPr>
          <w:color w:val="000000" w:themeColor="text1"/>
          <w:sz w:val="19"/>
          <w:szCs w:val="19"/>
          <w:lang w:val="en-AU"/>
        </w:rPr>
        <w:t xml:space="preserve"> model</w:t>
      </w:r>
      <w:r w:rsidR="004C5B69">
        <w:rPr>
          <w:color w:val="000000" w:themeColor="text1"/>
          <w:sz w:val="19"/>
          <w:szCs w:val="19"/>
          <w:lang w:val="en-AU"/>
        </w:rPr>
        <w:t xml:space="preserve"> </w:t>
      </w:r>
      <w:r w:rsidR="004C5B69" w:rsidRPr="004C5B69">
        <w:rPr>
          <w:color w:val="000000" w:themeColor="text1"/>
          <w:sz w:val="19"/>
          <w:szCs w:val="19"/>
          <w:lang w:val="en-AU"/>
        </w:rPr>
        <w:t>GR00T N1.5</w:t>
      </w:r>
      <w:r w:rsidR="004C5B69">
        <w:rPr>
          <w:color w:val="000000" w:themeColor="text1"/>
          <w:sz w:val="19"/>
          <w:szCs w:val="19"/>
          <w:lang w:val="en-AU"/>
        </w:rPr>
        <w:t>)</w:t>
      </w:r>
      <w:r w:rsidRPr="00576110">
        <w:rPr>
          <w:color w:val="000000" w:themeColor="text1"/>
          <w:sz w:val="19"/>
          <w:szCs w:val="19"/>
          <w:lang w:val="en-AU"/>
        </w:rPr>
        <w:t xml:space="preserve"> </w:t>
      </w:r>
      <w:r w:rsidR="00703E96">
        <w:rPr>
          <w:color w:val="000000" w:themeColor="text1"/>
          <w:sz w:val="19"/>
          <w:szCs w:val="19"/>
          <w:lang w:val="en-AU"/>
        </w:rPr>
        <w:t xml:space="preserve">is more sensitive </w:t>
      </w:r>
      <w:r w:rsidR="005135DA">
        <w:rPr>
          <w:color w:val="000000" w:themeColor="text1"/>
          <w:sz w:val="19"/>
          <w:szCs w:val="19"/>
          <w:lang w:val="en-AU"/>
        </w:rPr>
        <w:t>after</w:t>
      </w:r>
      <w:r w:rsidR="00703E96">
        <w:rPr>
          <w:color w:val="000000" w:themeColor="text1"/>
          <w:sz w:val="19"/>
          <w:szCs w:val="19"/>
          <w:lang w:val="en-AU"/>
        </w:rPr>
        <w:t xml:space="preserve"> LLM’s quantization, they only managed to</w:t>
      </w:r>
      <w:r w:rsidRPr="00576110">
        <w:rPr>
          <w:color w:val="000000" w:themeColor="text1"/>
          <w:sz w:val="19"/>
          <w:szCs w:val="19"/>
          <w:lang w:val="en-AU"/>
        </w:rPr>
        <w:t xml:space="preserve"> preserv</w:t>
      </w:r>
      <w:r w:rsidR="00703E96">
        <w:rPr>
          <w:color w:val="000000" w:themeColor="text1"/>
          <w:sz w:val="19"/>
          <w:szCs w:val="19"/>
          <w:lang w:val="en-AU"/>
        </w:rPr>
        <w:t>e</w:t>
      </w:r>
      <w:r w:rsidRPr="00576110">
        <w:rPr>
          <w:color w:val="000000" w:themeColor="text1"/>
          <w:sz w:val="19"/>
          <w:szCs w:val="19"/>
          <w:lang w:val="en-AU"/>
        </w:rPr>
        <w:t xml:space="preserve"> </w:t>
      </w:r>
      <w:r w:rsidR="00703E96">
        <w:rPr>
          <w:color w:val="000000" w:themeColor="text1"/>
          <w:sz w:val="19"/>
          <w:szCs w:val="19"/>
          <w:lang w:val="en-AU"/>
        </w:rPr>
        <w:t>the model by several calibration methods, which are not generally effective methods, shown in this study</w:t>
      </w:r>
      <w:r w:rsidRPr="00576110">
        <w:rPr>
          <w:color w:val="000000" w:themeColor="text1"/>
          <w:sz w:val="19"/>
          <w:szCs w:val="19"/>
          <w:lang w:val="en-AU"/>
        </w:rPr>
        <w:t xml:space="preserve">. </w:t>
      </w:r>
      <w:r w:rsidR="00703E96">
        <w:rPr>
          <w:color w:val="000000" w:themeColor="text1"/>
          <w:sz w:val="19"/>
          <w:szCs w:val="19"/>
          <w:lang w:val="en-AU"/>
        </w:rPr>
        <w:t>Meanwhile,</w:t>
      </w:r>
      <w:r w:rsidRPr="00576110">
        <w:rPr>
          <w:color w:val="000000" w:themeColor="text1"/>
          <w:sz w:val="19"/>
          <w:szCs w:val="19"/>
          <w:lang w:val="en-AU"/>
        </w:rPr>
        <w:t xml:space="preserve"> </w:t>
      </w:r>
      <w:r w:rsidR="00703E96">
        <w:rPr>
          <w:color w:val="000000" w:themeColor="text1"/>
          <w:sz w:val="19"/>
          <w:szCs w:val="19"/>
          <w:lang w:val="en-AU"/>
        </w:rPr>
        <w:t>their</w:t>
      </w:r>
      <w:r w:rsidRPr="00576110">
        <w:rPr>
          <w:color w:val="000000" w:themeColor="text1"/>
          <w:sz w:val="19"/>
          <w:szCs w:val="19"/>
          <w:lang w:val="en-AU"/>
        </w:rPr>
        <w:t xml:space="preserve"> studies typically quantize</w:t>
      </w:r>
      <w:r w:rsidR="00703E96">
        <w:rPr>
          <w:color w:val="000000" w:themeColor="text1"/>
          <w:sz w:val="19"/>
          <w:szCs w:val="19"/>
          <w:lang w:val="en-AU"/>
        </w:rPr>
        <w:t>d</w:t>
      </w:r>
      <w:r w:rsidRPr="00576110">
        <w:rPr>
          <w:color w:val="000000" w:themeColor="text1"/>
          <w:sz w:val="19"/>
          <w:szCs w:val="19"/>
          <w:lang w:val="en-AU"/>
        </w:rPr>
        <w:t xml:space="preserve"> the action head mainly at the feed-forward block level, while attention-side action-head layers are often treated as</w:t>
      </w:r>
      <w:r w:rsidR="00703E96">
        <w:rPr>
          <w:color w:val="000000" w:themeColor="text1"/>
          <w:sz w:val="19"/>
          <w:szCs w:val="19"/>
          <w:lang w:val="en-AU"/>
        </w:rPr>
        <w:t xml:space="preserve"> more</w:t>
      </w:r>
      <w:r w:rsidRPr="00576110">
        <w:rPr>
          <w:color w:val="000000" w:themeColor="text1"/>
          <w:sz w:val="19"/>
          <w:szCs w:val="19"/>
          <w:lang w:val="en-AU"/>
        </w:rPr>
        <w:t xml:space="preserve"> sensitive and left in higher precision. This leaves an open question</w:t>
      </w:r>
      <w:r w:rsidR="001B2995">
        <w:rPr>
          <w:color w:val="000000" w:themeColor="text1"/>
          <w:sz w:val="19"/>
          <w:szCs w:val="19"/>
          <w:lang w:val="en-AU"/>
        </w:rPr>
        <w:t xml:space="preserve"> as </w:t>
      </w:r>
      <w:r w:rsidRPr="00576110">
        <w:rPr>
          <w:color w:val="000000" w:themeColor="text1"/>
          <w:sz w:val="19"/>
          <w:szCs w:val="19"/>
          <w:lang w:val="en-AU"/>
        </w:rPr>
        <w:t xml:space="preserve">whether </w:t>
      </w:r>
      <w:r w:rsidR="00703E96">
        <w:rPr>
          <w:color w:val="000000" w:themeColor="text1"/>
          <w:sz w:val="19"/>
          <w:szCs w:val="19"/>
          <w:lang w:val="en-AU"/>
        </w:rPr>
        <w:t xml:space="preserve">action head and their layers </w:t>
      </w:r>
      <w:r w:rsidRPr="00576110">
        <w:rPr>
          <w:color w:val="000000" w:themeColor="text1"/>
          <w:sz w:val="19"/>
          <w:szCs w:val="19"/>
          <w:lang w:val="en-AU"/>
        </w:rPr>
        <w:t>are inherently fragile</w:t>
      </w:r>
      <w:r w:rsidR="001D3C11">
        <w:rPr>
          <w:color w:val="000000" w:themeColor="text1"/>
          <w:sz w:val="19"/>
          <w:szCs w:val="19"/>
          <w:lang w:val="en-AU"/>
        </w:rPr>
        <w:t xml:space="preserve"> </w:t>
      </w:r>
      <w:r w:rsidRPr="00576110">
        <w:rPr>
          <w:color w:val="000000" w:themeColor="text1"/>
          <w:sz w:val="19"/>
          <w:szCs w:val="19"/>
          <w:lang w:val="en-AU"/>
        </w:rPr>
        <w:t>or their sensitivity</w:t>
      </w:r>
      <w:r w:rsidR="00AF1D3F">
        <w:rPr>
          <w:color w:val="000000" w:themeColor="text1"/>
          <w:sz w:val="19"/>
          <w:szCs w:val="19"/>
          <w:lang w:val="en-AU"/>
        </w:rPr>
        <w:t xml:space="preserve"> to quantization </w:t>
      </w:r>
      <w:r w:rsidR="00274E4A">
        <w:rPr>
          <w:color w:val="000000" w:themeColor="text1"/>
          <w:sz w:val="19"/>
          <w:szCs w:val="19"/>
          <w:lang w:val="en-AU"/>
        </w:rPr>
        <w:t>alike</w:t>
      </w:r>
      <w:r w:rsidR="00AF1D3F">
        <w:rPr>
          <w:color w:val="000000" w:themeColor="text1"/>
          <w:sz w:val="19"/>
          <w:szCs w:val="19"/>
          <w:lang w:val="en-AU"/>
        </w:rPr>
        <w:t xml:space="preserve"> </w:t>
      </w:r>
      <w:r w:rsidR="00274E4A">
        <w:rPr>
          <w:color w:val="000000" w:themeColor="text1"/>
          <w:sz w:val="19"/>
          <w:szCs w:val="19"/>
          <w:lang w:val="en-AU"/>
        </w:rPr>
        <w:t>perturbation</w:t>
      </w:r>
      <w:r w:rsidRPr="00576110">
        <w:rPr>
          <w:color w:val="000000" w:themeColor="text1"/>
          <w:sz w:val="19"/>
          <w:szCs w:val="19"/>
          <w:lang w:val="en-AU"/>
        </w:rPr>
        <w:t xml:space="preserve"> </w:t>
      </w:r>
      <w:r w:rsidR="000A472D">
        <w:rPr>
          <w:color w:val="000000" w:themeColor="text1"/>
          <w:sz w:val="19"/>
          <w:szCs w:val="19"/>
          <w:lang w:val="en-AU"/>
        </w:rPr>
        <w:t xml:space="preserve">or low precision </w:t>
      </w:r>
      <w:r w:rsidRPr="00576110">
        <w:rPr>
          <w:color w:val="000000" w:themeColor="text1"/>
          <w:sz w:val="19"/>
          <w:szCs w:val="19"/>
          <w:lang w:val="en-AU"/>
        </w:rPr>
        <w:t>depends on the model</w:t>
      </w:r>
      <w:r w:rsidR="00B30713">
        <w:rPr>
          <w:color w:val="000000" w:themeColor="text1"/>
          <w:sz w:val="19"/>
          <w:szCs w:val="19"/>
          <w:lang w:val="en-AU"/>
        </w:rPr>
        <w:t xml:space="preserve"> architecture, </w:t>
      </w:r>
      <w:r w:rsidR="004A5ACA">
        <w:rPr>
          <w:color w:val="000000" w:themeColor="text1"/>
          <w:sz w:val="19"/>
          <w:szCs w:val="19"/>
          <w:lang w:val="en-AU"/>
        </w:rPr>
        <w:t>quantization</w:t>
      </w:r>
      <w:r w:rsidR="00993F9C">
        <w:rPr>
          <w:color w:val="000000" w:themeColor="text1"/>
          <w:sz w:val="19"/>
          <w:szCs w:val="19"/>
          <w:lang w:val="en-AU"/>
        </w:rPr>
        <w:t xml:space="preserve"> target</w:t>
      </w:r>
      <w:r w:rsidRPr="00576110">
        <w:rPr>
          <w:color w:val="000000" w:themeColor="text1"/>
          <w:sz w:val="19"/>
          <w:szCs w:val="19"/>
          <w:lang w:val="en-AU"/>
        </w:rPr>
        <w:t xml:space="preserve"> region</w:t>
      </w:r>
      <w:r w:rsidR="00B30713">
        <w:rPr>
          <w:color w:val="000000" w:themeColor="text1"/>
          <w:sz w:val="19"/>
          <w:szCs w:val="19"/>
          <w:lang w:val="en-AU"/>
        </w:rPr>
        <w:t>s, and more</w:t>
      </w:r>
      <w:r w:rsidR="00AD5598">
        <w:rPr>
          <w:color w:val="000000" w:themeColor="text1"/>
          <w:sz w:val="19"/>
          <w:szCs w:val="19"/>
          <w:lang w:val="en-AU"/>
        </w:rPr>
        <w:t>.</w:t>
      </w:r>
    </w:p>
    <w:p w14:paraId="5B9A9630" w14:textId="07FFCB16" w:rsidR="00576110" w:rsidRPr="00576110" w:rsidRDefault="00576110" w:rsidP="00576110">
      <w:pPr>
        <w:pBdr>
          <w:top w:val="nil"/>
          <w:left w:val="nil"/>
          <w:bottom w:val="nil"/>
          <w:right w:val="nil"/>
          <w:between w:val="nil"/>
        </w:pBdr>
        <w:spacing w:before="213" w:line="264" w:lineRule="auto"/>
        <w:ind w:left="96" w:right="38" w:hanging="10"/>
        <w:jc w:val="both"/>
        <w:rPr>
          <w:color w:val="000000" w:themeColor="text1"/>
          <w:sz w:val="19"/>
          <w:szCs w:val="19"/>
          <w:lang w:val="en-AU"/>
        </w:rPr>
      </w:pPr>
      <w:r w:rsidRPr="00576110">
        <w:rPr>
          <w:color w:val="000000" w:themeColor="text1"/>
          <w:sz w:val="19"/>
          <w:szCs w:val="19"/>
          <w:lang w:val="en-AU"/>
        </w:rPr>
        <w:t>This study investigates Evo-1, a lightweight VLA with a flow-matching action head. Instead of treating quantization only as an efficiency method, we use it as a controlled perturbation probe to study where and when the flow-matching action process is sensitive. We examine two quantization target sets: a 114-layer QuantVLA-style base set, including the</w:t>
      </w:r>
      <w:r w:rsidR="008D471D">
        <w:rPr>
          <w:color w:val="000000" w:themeColor="text1"/>
          <w:sz w:val="19"/>
          <w:szCs w:val="19"/>
          <w:lang w:val="en-AU"/>
        </w:rPr>
        <w:t xml:space="preserve"> backbone’s</w:t>
      </w:r>
      <w:r w:rsidRPr="00576110">
        <w:rPr>
          <w:color w:val="000000" w:themeColor="text1"/>
          <w:sz w:val="19"/>
          <w:szCs w:val="19"/>
          <w:lang w:val="en-AU"/>
        </w:rPr>
        <w:t xml:space="preserve"> LLM</w:t>
      </w:r>
      <w:r w:rsidR="008D471D">
        <w:rPr>
          <w:color w:val="000000" w:themeColor="text1"/>
          <w:sz w:val="19"/>
          <w:szCs w:val="19"/>
          <w:lang w:val="en-AU"/>
        </w:rPr>
        <w:t xml:space="preserve"> </w:t>
      </w:r>
      <w:r w:rsidRPr="00576110">
        <w:rPr>
          <w:color w:val="000000" w:themeColor="text1"/>
          <w:sz w:val="19"/>
          <w:szCs w:val="19"/>
          <w:lang w:val="en-AU"/>
        </w:rPr>
        <w:t>linear layers and action-head FFN linear layers, and a selected 16-layer set from the action-head attention module. We further stud</w:t>
      </w:r>
      <w:r w:rsidR="00703E96">
        <w:rPr>
          <w:color w:val="000000" w:themeColor="text1"/>
          <w:sz w:val="19"/>
          <w:szCs w:val="19"/>
          <w:lang w:val="en-AU"/>
        </w:rPr>
        <w:t>ied</w:t>
      </w:r>
      <w:r w:rsidRPr="00576110">
        <w:rPr>
          <w:color w:val="000000" w:themeColor="text1"/>
          <w:sz w:val="19"/>
          <w:szCs w:val="19"/>
          <w:lang w:val="en-AU"/>
        </w:rPr>
        <w:t xml:space="preserve"> timestep-window effects across the 32-step flow-matching proces</w:t>
      </w:r>
      <w:r w:rsidR="00703E96">
        <w:rPr>
          <w:color w:val="000000" w:themeColor="text1"/>
          <w:sz w:val="19"/>
          <w:szCs w:val="19"/>
          <w:lang w:val="en-AU"/>
        </w:rPr>
        <w:t>s in this model</w:t>
      </w:r>
      <w:r w:rsidRPr="00576110">
        <w:rPr>
          <w:color w:val="000000" w:themeColor="text1"/>
          <w:sz w:val="19"/>
          <w:szCs w:val="19"/>
          <w:lang w:val="en-AU"/>
        </w:rPr>
        <w:t>.</w:t>
      </w:r>
    </w:p>
    <w:p w14:paraId="54809E08" w14:textId="5977DD54" w:rsidR="00576110" w:rsidRPr="00576110" w:rsidRDefault="00703E96" w:rsidP="00576110">
      <w:pPr>
        <w:pBdr>
          <w:top w:val="nil"/>
          <w:left w:val="nil"/>
          <w:bottom w:val="nil"/>
          <w:right w:val="nil"/>
          <w:between w:val="nil"/>
        </w:pBdr>
        <w:spacing w:before="213" w:line="264" w:lineRule="auto"/>
        <w:ind w:left="96" w:right="38" w:hanging="10"/>
        <w:jc w:val="both"/>
        <w:rPr>
          <w:color w:val="000000" w:themeColor="text1"/>
          <w:sz w:val="19"/>
          <w:szCs w:val="19"/>
          <w:lang w:val="en-AU"/>
        </w:rPr>
      </w:pPr>
      <w:r>
        <w:rPr>
          <w:color w:val="000000" w:themeColor="text1"/>
          <w:sz w:val="19"/>
          <w:szCs w:val="19"/>
          <w:lang w:val="en-AU"/>
        </w:rPr>
        <w:t xml:space="preserve">We discovered that </w:t>
      </w:r>
      <w:r w:rsidR="00576110" w:rsidRPr="00576110">
        <w:rPr>
          <w:color w:val="000000" w:themeColor="text1"/>
          <w:sz w:val="19"/>
          <w:szCs w:val="19"/>
          <w:lang w:val="en-AU"/>
        </w:rPr>
        <w:t xml:space="preserve">sensitivity is not purely </w:t>
      </w:r>
      <w:r w:rsidR="001E3C32">
        <w:rPr>
          <w:color w:val="000000" w:themeColor="text1"/>
          <w:sz w:val="19"/>
          <w:szCs w:val="19"/>
          <w:lang w:val="en-AU"/>
        </w:rPr>
        <w:t>about locations of linear layers</w:t>
      </w:r>
      <w:r w:rsidR="00576110" w:rsidRPr="00576110">
        <w:rPr>
          <w:color w:val="000000" w:themeColor="text1"/>
          <w:sz w:val="19"/>
          <w:szCs w:val="19"/>
          <w:lang w:val="en-AU"/>
        </w:rPr>
        <w:t xml:space="preserve">. The selected 16 action-head attention linear layers are not fragile when quantized alone, but degradation can appear when they are combined with the broader 114-layer quantized base set. LLM activation quantization is much more destructive, while LLM </w:t>
      </w:r>
      <w:r w:rsidR="00E04228">
        <w:rPr>
          <w:color w:val="000000" w:themeColor="text1"/>
          <w:sz w:val="19"/>
          <w:szCs w:val="19"/>
          <w:lang w:val="en-AU"/>
        </w:rPr>
        <w:t xml:space="preserve">linear layers </w:t>
      </w:r>
      <w:r w:rsidR="00576110" w:rsidRPr="00576110">
        <w:rPr>
          <w:color w:val="000000" w:themeColor="text1"/>
          <w:sz w:val="19"/>
          <w:szCs w:val="19"/>
          <w:lang w:val="en-AU"/>
        </w:rPr>
        <w:t>weight-only quantization remains relatively safe. Timestep-window experiments show that earlier flow steps are generally more sensitive than later steps, although full-timestep quantization can remain strong in normal settings and may only fail more aggressively under stress-test conditions. These findings suggest that VLA quantization should be evaluated through region interaction, timestep behavior, and task-level outcomes rather than layer-wise similarity alone.</w:t>
      </w:r>
    </w:p>
    <w:p w14:paraId="60D6B08E" w14:textId="27725570" w:rsidR="00576110" w:rsidRPr="00B04FEA" w:rsidRDefault="00576110" w:rsidP="00B04FEA">
      <w:pPr>
        <w:pStyle w:val="Heading1"/>
        <w:numPr>
          <w:ilvl w:val="0"/>
          <w:numId w:val="7"/>
        </w:numPr>
        <w:tabs>
          <w:tab w:val="left" w:pos="323"/>
        </w:tabs>
        <w:spacing w:before="183"/>
        <w:ind w:left="323" w:hanging="237"/>
      </w:pPr>
      <w:r>
        <w:t>INTRODUCTION</w:t>
      </w:r>
    </w:p>
    <w:p w14:paraId="246C9703" w14:textId="7AB34E29" w:rsidR="00B04FEA" w:rsidRPr="00B04FEA" w:rsidRDefault="00B04FEA" w:rsidP="00B04FEA">
      <w:pPr>
        <w:pBdr>
          <w:top w:val="nil"/>
          <w:left w:val="nil"/>
          <w:bottom w:val="nil"/>
          <w:right w:val="nil"/>
          <w:between w:val="nil"/>
        </w:pBdr>
        <w:spacing w:before="213" w:line="264" w:lineRule="auto"/>
        <w:ind w:left="96" w:right="38" w:hanging="10"/>
        <w:jc w:val="both"/>
        <w:rPr>
          <w:color w:val="000000" w:themeColor="text1"/>
          <w:sz w:val="19"/>
          <w:szCs w:val="19"/>
          <w:lang w:val="en-AU"/>
        </w:rPr>
      </w:pPr>
      <w:r w:rsidRPr="00B04FEA">
        <w:rPr>
          <w:color w:val="000000" w:themeColor="text1"/>
          <w:sz w:val="19"/>
          <w:szCs w:val="19"/>
          <w:lang w:val="en-AU"/>
        </w:rPr>
        <w:t xml:space="preserve">Recent VLA quantization studies have shown that low-bit inference is possible, but also that sensitivity is uneven across model components. QVLA </w:t>
      </w:r>
      <w:r>
        <w:rPr>
          <w:color w:val="000000" w:themeColor="text1"/>
          <w:sz w:val="19"/>
          <w:szCs w:val="19"/>
          <w:lang w:val="en-AU"/>
        </w:rPr>
        <w:t xml:space="preserve">[1] </w:t>
      </w:r>
      <w:r w:rsidRPr="00B04FEA">
        <w:rPr>
          <w:color w:val="000000" w:themeColor="text1"/>
          <w:sz w:val="19"/>
          <w:szCs w:val="19"/>
          <w:lang w:val="en-AU"/>
        </w:rPr>
        <w:t>argued that small quantization errors can accumulate into large action failures in embodied systems. DyQ-VLA</w:t>
      </w:r>
      <w:r>
        <w:rPr>
          <w:color w:val="000000" w:themeColor="text1"/>
          <w:sz w:val="19"/>
          <w:szCs w:val="19"/>
          <w:lang w:val="en-AU"/>
        </w:rPr>
        <w:t xml:space="preserve"> [2]</w:t>
      </w:r>
      <w:r w:rsidRPr="00B04FEA">
        <w:rPr>
          <w:color w:val="000000" w:themeColor="text1"/>
          <w:sz w:val="19"/>
          <w:szCs w:val="19"/>
          <w:lang w:val="en-AU"/>
        </w:rPr>
        <w:t xml:space="preserve"> showed that quantization sensitivity can vary over time during execution, motivating dynamic precision instead of one fixed quantization scheme. QuantVLA further demonstrated that PTQ can be applied to DiT-based VLAs such as OpenPI π0.5 and GR00T N1.5 by preserving more sensitive components and adding calibration to stabilize quantized inference.</w:t>
      </w:r>
    </w:p>
    <w:p w14:paraId="74EA121F" w14:textId="19448E9B" w:rsidR="00B04FEA" w:rsidRPr="00B04FEA" w:rsidRDefault="00B04FEA" w:rsidP="00B04FEA">
      <w:pPr>
        <w:pBdr>
          <w:top w:val="nil"/>
          <w:left w:val="nil"/>
          <w:bottom w:val="nil"/>
          <w:right w:val="nil"/>
          <w:between w:val="nil"/>
        </w:pBdr>
        <w:spacing w:before="213" w:line="264" w:lineRule="auto"/>
        <w:ind w:left="96" w:right="38" w:hanging="10"/>
        <w:jc w:val="both"/>
        <w:rPr>
          <w:color w:val="000000" w:themeColor="text1"/>
          <w:sz w:val="19"/>
          <w:szCs w:val="19"/>
          <w:lang w:val="en-AU"/>
        </w:rPr>
      </w:pPr>
      <w:r w:rsidRPr="00B04FEA">
        <w:rPr>
          <w:color w:val="000000" w:themeColor="text1"/>
          <w:sz w:val="19"/>
          <w:szCs w:val="19"/>
          <w:lang w:val="en-AU"/>
        </w:rPr>
        <w:t xml:space="preserve">However, these studies do not fully establish whether the same sensitivity patterns hold across different VLA architectures. In particular, QuantVLA-style settings </w:t>
      </w:r>
      <w:r w:rsidR="00EE4DCE">
        <w:rPr>
          <w:color w:val="000000" w:themeColor="text1"/>
          <w:sz w:val="19"/>
          <w:szCs w:val="19"/>
          <w:lang w:val="en-AU"/>
        </w:rPr>
        <w:t>on GR00TN1.5</w:t>
      </w:r>
      <w:r w:rsidRPr="00B04FEA">
        <w:rPr>
          <w:color w:val="000000" w:themeColor="text1"/>
          <w:sz w:val="19"/>
          <w:szCs w:val="19"/>
          <w:lang w:val="en-AU"/>
        </w:rPr>
        <w:t xml:space="preserve"> focus</w:t>
      </w:r>
      <w:r w:rsidR="00EE4DCE">
        <w:rPr>
          <w:color w:val="000000" w:themeColor="text1"/>
          <w:sz w:val="19"/>
          <w:szCs w:val="19"/>
          <w:lang w:val="en-AU"/>
        </w:rPr>
        <w:t>e</w:t>
      </w:r>
      <w:r w:rsidR="00191F19">
        <w:rPr>
          <w:color w:val="000000" w:themeColor="text1"/>
          <w:sz w:val="19"/>
          <w:szCs w:val="19"/>
          <w:lang w:val="en-AU"/>
        </w:rPr>
        <w:t>s</w:t>
      </w:r>
      <w:r w:rsidRPr="00B04FEA">
        <w:rPr>
          <w:color w:val="000000" w:themeColor="text1"/>
          <w:sz w:val="19"/>
          <w:szCs w:val="19"/>
          <w:lang w:val="en-AU"/>
        </w:rPr>
        <w:t xml:space="preserve"> on quantiz</w:t>
      </w:r>
      <w:r w:rsidR="00EE4DCE">
        <w:rPr>
          <w:color w:val="000000" w:themeColor="text1"/>
          <w:sz w:val="19"/>
          <w:szCs w:val="19"/>
          <w:lang w:val="en-AU"/>
        </w:rPr>
        <w:t>e</w:t>
      </w:r>
      <w:r w:rsidRPr="00B04FEA">
        <w:rPr>
          <w:color w:val="000000" w:themeColor="text1"/>
          <w:sz w:val="19"/>
          <w:szCs w:val="19"/>
          <w:lang w:val="en-AU"/>
        </w:rPr>
        <w:t xml:space="preserve"> the LLM and the feed-forward blocks of the action head, while attention-side layers in the flow-matching action head are</w:t>
      </w:r>
      <w:r w:rsidR="00191F19">
        <w:rPr>
          <w:color w:val="000000" w:themeColor="text1"/>
          <w:sz w:val="19"/>
          <w:szCs w:val="19"/>
          <w:lang w:val="en-AU"/>
        </w:rPr>
        <w:t xml:space="preserve"> </w:t>
      </w:r>
      <w:r w:rsidRPr="00B04FEA">
        <w:rPr>
          <w:color w:val="000000" w:themeColor="text1"/>
          <w:sz w:val="19"/>
          <w:szCs w:val="19"/>
          <w:lang w:val="en-AU"/>
        </w:rPr>
        <w:t>left unquantized. This does not necessarily prove that such layers are always too sensitive. It may instead mean that their sensitivity depends on th</w:t>
      </w:r>
      <w:r w:rsidR="006A2CB3">
        <w:rPr>
          <w:color w:val="000000" w:themeColor="text1"/>
          <w:sz w:val="19"/>
          <w:szCs w:val="19"/>
          <w:lang w:val="en-AU"/>
        </w:rPr>
        <w:t>e</w:t>
      </w:r>
      <w:r w:rsidRPr="00B04FEA">
        <w:rPr>
          <w:color w:val="000000" w:themeColor="text1"/>
          <w:sz w:val="19"/>
          <w:szCs w:val="19"/>
          <w:lang w:val="en-AU"/>
        </w:rPr>
        <w:t xml:space="preserve"> </w:t>
      </w:r>
      <w:r w:rsidR="006A2CB3">
        <w:rPr>
          <w:color w:val="000000" w:themeColor="text1"/>
          <w:sz w:val="19"/>
          <w:szCs w:val="19"/>
          <w:lang w:val="en-AU"/>
        </w:rPr>
        <w:t xml:space="preserve">model architecture, model size, and benchmark </w:t>
      </w:r>
      <w:r w:rsidR="00FD75BB">
        <w:rPr>
          <w:color w:val="000000" w:themeColor="text1"/>
          <w:sz w:val="19"/>
          <w:szCs w:val="19"/>
          <w:lang w:val="en-AU"/>
        </w:rPr>
        <w:t xml:space="preserve">various robot </w:t>
      </w:r>
      <w:r w:rsidRPr="00B04FEA">
        <w:rPr>
          <w:color w:val="000000" w:themeColor="text1"/>
          <w:sz w:val="19"/>
          <w:szCs w:val="19"/>
          <w:lang w:val="en-AU"/>
        </w:rPr>
        <w:t>task setting</w:t>
      </w:r>
      <w:r w:rsidR="006A2CB3">
        <w:rPr>
          <w:color w:val="000000" w:themeColor="text1"/>
          <w:sz w:val="19"/>
          <w:szCs w:val="19"/>
          <w:lang w:val="en-AU"/>
        </w:rPr>
        <w:t>s</w:t>
      </w:r>
      <w:r w:rsidRPr="00B04FEA">
        <w:rPr>
          <w:color w:val="000000" w:themeColor="text1"/>
          <w:sz w:val="19"/>
          <w:szCs w:val="19"/>
          <w:lang w:val="en-AU"/>
        </w:rPr>
        <w:t>.</w:t>
      </w:r>
    </w:p>
    <w:p w14:paraId="52C62CC4" w14:textId="13787B81" w:rsidR="00B04FEA" w:rsidRPr="00B04FEA" w:rsidRDefault="00B04FEA" w:rsidP="00B04FEA">
      <w:pPr>
        <w:pBdr>
          <w:top w:val="nil"/>
          <w:left w:val="nil"/>
          <w:bottom w:val="nil"/>
          <w:right w:val="nil"/>
          <w:between w:val="nil"/>
        </w:pBdr>
        <w:spacing w:before="213" w:line="264" w:lineRule="auto"/>
        <w:ind w:left="96" w:right="38" w:hanging="10"/>
        <w:jc w:val="both"/>
        <w:rPr>
          <w:color w:val="000000" w:themeColor="text1"/>
          <w:sz w:val="19"/>
          <w:szCs w:val="19"/>
          <w:lang w:val="en-AU"/>
        </w:rPr>
      </w:pPr>
      <w:r w:rsidRPr="00B04FEA">
        <w:rPr>
          <w:color w:val="000000" w:themeColor="text1"/>
          <w:sz w:val="19"/>
          <w:szCs w:val="19"/>
          <w:lang w:val="en-AU"/>
        </w:rPr>
        <w:t xml:space="preserve">Evo-1 is a useful case for studying this question because it is a lightweight VLA with a small LLM backbone and a flow-matching action head. During inference, the VLM context is computed once for an action chunk, and the action head then refines the action trajectory through a 32-step flow-matching process. This creates a different kind of </w:t>
      </w:r>
      <w:r w:rsidR="009B745C">
        <w:rPr>
          <w:color w:val="000000" w:themeColor="text1"/>
          <w:sz w:val="19"/>
          <w:szCs w:val="19"/>
          <w:lang w:val="en-AU"/>
        </w:rPr>
        <w:t xml:space="preserve">low precision </w:t>
      </w:r>
      <w:r w:rsidRPr="00B04FEA">
        <w:rPr>
          <w:color w:val="000000" w:themeColor="text1"/>
          <w:sz w:val="19"/>
          <w:szCs w:val="19"/>
          <w:lang w:val="en-AU"/>
        </w:rPr>
        <w:t>problem</w:t>
      </w:r>
      <w:r w:rsidR="001F44F4">
        <w:rPr>
          <w:color w:val="000000" w:themeColor="text1"/>
          <w:sz w:val="19"/>
          <w:szCs w:val="19"/>
          <w:lang w:val="en-AU"/>
        </w:rPr>
        <w:t xml:space="preserve"> as</w:t>
      </w:r>
      <w:r w:rsidRPr="00B04FEA">
        <w:rPr>
          <w:color w:val="000000" w:themeColor="text1"/>
          <w:sz w:val="19"/>
          <w:szCs w:val="19"/>
          <w:lang w:val="en-AU"/>
        </w:rPr>
        <w:t xml:space="preserve"> the same action-head layers are reused across flow steps, so </w:t>
      </w:r>
      <w:r w:rsidR="000B6794">
        <w:rPr>
          <w:color w:val="000000" w:themeColor="text1"/>
          <w:sz w:val="19"/>
          <w:szCs w:val="19"/>
          <w:lang w:val="en-AU"/>
        </w:rPr>
        <w:t>perturbation</w:t>
      </w:r>
      <w:r w:rsidRPr="00B04FEA">
        <w:rPr>
          <w:color w:val="000000" w:themeColor="text1"/>
          <w:sz w:val="19"/>
          <w:szCs w:val="19"/>
          <w:lang w:val="en-AU"/>
        </w:rPr>
        <w:t xml:space="preserve"> may have different effects depending on whether it is applied early, late, or across the full trajectory.</w:t>
      </w:r>
    </w:p>
    <w:p w14:paraId="18558C1A" w14:textId="1D41DBBC" w:rsidR="00AA353A" w:rsidRPr="00AA353A" w:rsidRDefault="00B04FEA" w:rsidP="00AA353A">
      <w:pPr>
        <w:pBdr>
          <w:top w:val="nil"/>
          <w:left w:val="nil"/>
          <w:bottom w:val="nil"/>
          <w:right w:val="nil"/>
          <w:between w:val="nil"/>
        </w:pBdr>
        <w:spacing w:before="213" w:line="264" w:lineRule="auto"/>
        <w:ind w:left="96" w:right="38" w:hanging="10"/>
        <w:jc w:val="both"/>
        <w:rPr>
          <w:color w:val="000000" w:themeColor="text1"/>
          <w:sz w:val="19"/>
          <w:szCs w:val="19"/>
          <w:lang w:val="en-AU"/>
        </w:rPr>
      </w:pPr>
      <w:r w:rsidRPr="00B04FEA">
        <w:rPr>
          <w:color w:val="000000" w:themeColor="text1"/>
          <w:sz w:val="19"/>
          <w:szCs w:val="19"/>
          <w:lang w:val="en-AU"/>
        </w:rPr>
        <w:t xml:space="preserve">This study therefore investigates Evo-1’s quantization sensitivity from two axes. </w:t>
      </w:r>
      <w:r w:rsidR="00AA353A" w:rsidRPr="00AA353A">
        <w:rPr>
          <w:color w:val="000000" w:themeColor="text1"/>
          <w:sz w:val="19"/>
          <w:szCs w:val="19"/>
          <w:lang w:val="en-AU"/>
        </w:rPr>
        <w:t>This study therefore investigates Evo-1’s quantization sensitivity from two axes: the region axis and the timestep axis. The region axis asks which quantization target sets can tolerate low precision</w:t>
      </w:r>
      <w:r w:rsidR="00AA353A">
        <w:rPr>
          <w:color w:val="000000" w:themeColor="text1"/>
          <w:sz w:val="19"/>
          <w:szCs w:val="19"/>
          <w:lang w:val="en-AU"/>
        </w:rPr>
        <w:t xml:space="preserve"> and is it really about the targets themselves, </w:t>
      </w:r>
      <w:r w:rsidR="00AA353A" w:rsidRPr="00AA353A">
        <w:rPr>
          <w:color w:val="000000" w:themeColor="text1"/>
          <w:sz w:val="19"/>
          <w:szCs w:val="19"/>
          <w:lang w:val="en-AU"/>
        </w:rPr>
        <w:t xml:space="preserve">while the timestep axis asks when low precision is </w:t>
      </w:r>
      <w:r w:rsidR="00AA353A">
        <w:rPr>
          <w:color w:val="000000" w:themeColor="text1"/>
          <w:sz w:val="19"/>
          <w:szCs w:val="19"/>
          <w:lang w:val="en-AU"/>
        </w:rPr>
        <w:t xml:space="preserve">more </w:t>
      </w:r>
      <w:r w:rsidR="00AA353A" w:rsidRPr="00AA353A">
        <w:rPr>
          <w:color w:val="000000" w:themeColor="text1"/>
          <w:sz w:val="19"/>
          <w:szCs w:val="19"/>
          <w:lang w:val="en-AU"/>
        </w:rPr>
        <w:t>harmful</w:t>
      </w:r>
      <w:r w:rsidR="00AA353A" w:rsidRPr="00AA353A">
        <w:rPr>
          <w:color w:val="000000" w:themeColor="text1"/>
          <w:sz w:val="19"/>
          <w:szCs w:val="19"/>
          <w:lang w:val="en-AU"/>
        </w:rPr>
        <w:t xml:space="preserve"> inside the action-generation</w:t>
      </w:r>
      <w:r w:rsidR="00AA353A">
        <w:rPr>
          <w:color w:val="000000" w:themeColor="text1"/>
          <w:sz w:val="19"/>
          <w:szCs w:val="19"/>
          <w:lang w:val="en-AU"/>
        </w:rPr>
        <w:t xml:space="preserve"> temporal</w:t>
      </w:r>
      <w:r w:rsidR="00AA353A" w:rsidRPr="00AA353A">
        <w:rPr>
          <w:color w:val="000000" w:themeColor="text1"/>
          <w:sz w:val="19"/>
          <w:szCs w:val="19"/>
          <w:lang w:val="en-AU"/>
        </w:rPr>
        <w:t xml:space="preserve"> trajectory. </w:t>
      </w:r>
      <w:r w:rsidR="00DD2934">
        <w:rPr>
          <w:color w:val="000000" w:themeColor="text1"/>
          <w:sz w:val="19"/>
          <w:szCs w:val="19"/>
          <w:lang w:val="en-AU"/>
        </w:rPr>
        <w:t>W</w:t>
      </w:r>
      <w:r w:rsidR="00AA353A" w:rsidRPr="00AA353A">
        <w:rPr>
          <w:color w:val="000000" w:themeColor="text1"/>
          <w:sz w:val="19"/>
          <w:szCs w:val="19"/>
          <w:lang w:val="en-AU"/>
        </w:rPr>
        <w:t>e test</w:t>
      </w:r>
      <w:r w:rsidR="00AA353A">
        <w:rPr>
          <w:color w:val="000000" w:themeColor="text1"/>
          <w:sz w:val="19"/>
          <w:szCs w:val="19"/>
          <w:lang w:val="en-AU"/>
        </w:rPr>
        <w:t>ed</w:t>
      </w:r>
      <w:r w:rsidR="00AA353A" w:rsidRPr="00AA353A">
        <w:rPr>
          <w:color w:val="000000" w:themeColor="text1"/>
          <w:sz w:val="19"/>
          <w:szCs w:val="19"/>
          <w:lang w:val="en-AU"/>
        </w:rPr>
        <w:t xml:space="preserve"> whether the flow-matching timesteps are equally sensitive</w:t>
      </w:r>
      <w:r w:rsidR="00AA353A">
        <w:rPr>
          <w:color w:val="000000" w:themeColor="text1"/>
          <w:sz w:val="19"/>
          <w:szCs w:val="19"/>
          <w:lang w:val="en-AU"/>
        </w:rPr>
        <w:t xml:space="preserve"> to low precision</w:t>
      </w:r>
      <w:r w:rsidR="00AA353A" w:rsidRPr="00AA353A">
        <w:rPr>
          <w:color w:val="000000" w:themeColor="text1"/>
          <w:sz w:val="19"/>
          <w:szCs w:val="19"/>
          <w:lang w:val="en-AU"/>
        </w:rPr>
        <w:t xml:space="preserve">, or whether certain windows are more vulnerable. Our initial hypothesis was that </w:t>
      </w:r>
      <w:r w:rsidR="00804D46">
        <w:rPr>
          <w:color w:val="000000" w:themeColor="text1"/>
          <w:sz w:val="19"/>
          <w:szCs w:val="19"/>
          <w:lang w:val="en-AU"/>
        </w:rPr>
        <w:t>later</w:t>
      </w:r>
      <w:r w:rsidR="00AA353A" w:rsidRPr="00AA353A">
        <w:rPr>
          <w:color w:val="000000" w:themeColor="text1"/>
          <w:sz w:val="19"/>
          <w:szCs w:val="19"/>
          <w:lang w:val="en-AU"/>
        </w:rPr>
        <w:t xml:space="preserve"> steps </w:t>
      </w:r>
      <w:r w:rsidR="00DD2934">
        <w:rPr>
          <w:color w:val="000000" w:themeColor="text1"/>
          <w:sz w:val="19"/>
          <w:szCs w:val="19"/>
          <w:lang w:val="en-AU"/>
        </w:rPr>
        <w:t>could</w:t>
      </w:r>
      <w:r w:rsidR="00AA353A" w:rsidRPr="00AA353A">
        <w:rPr>
          <w:color w:val="000000" w:themeColor="text1"/>
          <w:sz w:val="19"/>
          <w:szCs w:val="19"/>
          <w:lang w:val="en-AU"/>
        </w:rPr>
        <w:t xml:space="preserve"> be more sensitive, </w:t>
      </w:r>
      <w:r w:rsidR="00154E58">
        <w:rPr>
          <w:color w:val="000000" w:themeColor="text1"/>
          <w:sz w:val="19"/>
          <w:szCs w:val="19"/>
          <w:lang w:val="en-AU"/>
        </w:rPr>
        <w:t>but</w:t>
      </w:r>
      <w:r w:rsidR="00AA353A" w:rsidRPr="00AA353A">
        <w:rPr>
          <w:color w:val="000000" w:themeColor="text1"/>
          <w:sz w:val="19"/>
          <w:szCs w:val="19"/>
          <w:lang w:val="en-AU"/>
        </w:rPr>
        <w:t xml:space="preserve"> the experimental results </w:t>
      </w:r>
      <w:r w:rsidR="00804D46">
        <w:rPr>
          <w:color w:val="000000" w:themeColor="text1"/>
          <w:sz w:val="19"/>
          <w:szCs w:val="19"/>
          <w:lang w:val="en-AU"/>
        </w:rPr>
        <w:t>contradicted</w:t>
      </w:r>
      <w:r w:rsidR="00AA353A" w:rsidRPr="00AA353A">
        <w:rPr>
          <w:color w:val="000000" w:themeColor="text1"/>
          <w:sz w:val="19"/>
          <w:szCs w:val="19"/>
          <w:lang w:val="en-AU"/>
        </w:rPr>
        <w:t xml:space="preserve"> this </w:t>
      </w:r>
      <w:r w:rsidR="00F36B9C">
        <w:rPr>
          <w:color w:val="000000" w:themeColor="text1"/>
          <w:sz w:val="19"/>
          <w:szCs w:val="19"/>
          <w:lang w:val="en-AU"/>
        </w:rPr>
        <w:t>guessing</w:t>
      </w:r>
      <w:r w:rsidR="00AA353A" w:rsidRPr="00AA353A">
        <w:rPr>
          <w:color w:val="000000" w:themeColor="text1"/>
          <w:sz w:val="19"/>
          <w:szCs w:val="19"/>
          <w:lang w:val="en-AU"/>
        </w:rPr>
        <w:t>, although th</w:t>
      </w:r>
      <w:r w:rsidR="001F1EAA">
        <w:rPr>
          <w:color w:val="000000" w:themeColor="text1"/>
          <w:sz w:val="19"/>
          <w:szCs w:val="19"/>
          <w:lang w:val="en-AU"/>
        </w:rPr>
        <w:t xml:space="preserve">is </w:t>
      </w:r>
      <w:r w:rsidR="00BA573E">
        <w:rPr>
          <w:color w:val="000000" w:themeColor="text1"/>
          <w:sz w:val="19"/>
          <w:szCs w:val="19"/>
          <w:lang w:val="en-AU"/>
        </w:rPr>
        <w:t xml:space="preserve">kind of </w:t>
      </w:r>
      <w:r w:rsidR="00AA353A" w:rsidRPr="00AA353A">
        <w:rPr>
          <w:color w:val="000000" w:themeColor="text1"/>
          <w:sz w:val="19"/>
          <w:szCs w:val="19"/>
          <w:lang w:val="en-AU"/>
        </w:rPr>
        <w:t xml:space="preserve">sensitivity </w:t>
      </w:r>
      <w:r w:rsidR="00BA573E">
        <w:rPr>
          <w:color w:val="000000" w:themeColor="text1"/>
          <w:sz w:val="19"/>
          <w:szCs w:val="19"/>
          <w:lang w:val="en-AU"/>
        </w:rPr>
        <w:t>may</w:t>
      </w:r>
      <w:r w:rsidR="00AA353A" w:rsidRPr="00AA353A">
        <w:rPr>
          <w:color w:val="000000" w:themeColor="text1"/>
          <w:sz w:val="19"/>
          <w:szCs w:val="19"/>
          <w:lang w:val="en-AU"/>
        </w:rPr>
        <w:t xml:space="preserve"> not </w:t>
      </w:r>
      <w:r w:rsidR="00BA573E">
        <w:rPr>
          <w:color w:val="000000" w:themeColor="text1"/>
          <w:sz w:val="19"/>
          <w:szCs w:val="19"/>
          <w:lang w:val="en-AU"/>
        </w:rPr>
        <w:t xml:space="preserve">be </w:t>
      </w:r>
      <w:r w:rsidR="00AA353A" w:rsidRPr="00AA353A">
        <w:rPr>
          <w:color w:val="000000" w:themeColor="text1"/>
          <w:sz w:val="19"/>
          <w:szCs w:val="19"/>
          <w:lang w:val="en-AU"/>
        </w:rPr>
        <w:t>simply linear across the full 32</w:t>
      </w:r>
      <w:r w:rsidR="00BA573E">
        <w:rPr>
          <w:color w:val="000000" w:themeColor="text1"/>
          <w:sz w:val="19"/>
          <w:szCs w:val="19"/>
          <w:lang w:val="en-AU"/>
        </w:rPr>
        <w:t xml:space="preserve"> time steps.</w:t>
      </w:r>
    </w:p>
    <w:p w14:paraId="47D689F9" w14:textId="24EC8F13" w:rsidR="00AA353A" w:rsidRDefault="00AA353A" w:rsidP="00AA353A">
      <w:pPr>
        <w:pBdr>
          <w:top w:val="nil"/>
          <w:left w:val="nil"/>
          <w:bottom w:val="nil"/>
          <w:right w:val="nil"/>
          <w:between w:val="nil"/>
        </w:pBdr>
        <w:spacing w:before="213" w:line="264" w:lineRule="auto"/>
        <w:ind w:left="96" w:right="38" w:hanging="10"/>
        <w:jc w:val="both"/>
        <w:rPr>
          <w:color w:val="000000" w:themeColor="text1"/>
          <w:sz w:val="19"/>
          <w:szCs w:val="19"/>
          <w:lang w:val="en-AU"/>
        </w:rPr>
      </w:pPr>
    </w:p>
    <w:p w14:paraId="72733524" w14:textId="58129C69" w:rsidR="00B46678" w:rsidRPr="008B7AD5" w:rsidRDefault="00B46678" w:rsidP="008B7AD5">
      <w:pPr>
        <w:pBdr>
          <w:top w:val="nil"/>
          <w:left w:val="nil"/>
          <w:bottom w:val="nil"/>
          <w:right w:val="nil"/>
          <w:between w:val="nil"/>
        </w:pBdr>
        <w:spacing w:before="213" w:line="264" w:lineRule="auto"/>
        <w:ind w:left="96" w:right="38" w:hanging="10"/>
        <w:jc w:val="both"/>
        <w:rPr>
          <w:color w:val="000000" w:themeColor="text1"/>
          <w:sz w:val="19"/>
          <w:szCs w:val="19"/>
          <w:lang w:val="en-AU"/>
        </w:rPr>
        <w:sectPr w:rsidR="00B46678" w:rsidRPr="008B7AD5">
          <w:type w:val="continuous"/>
          <w:pgSz w:w="11910" w:h="16840"/>
          <w:pgMar w:top="1380" w:right="1133" w:bottom="280" w:left="1133" w:header="720" w:footer="720" w:gutter="0"/>
          <w:cols w:num="2" w:space="720" w:equalWidth="0">
            <w:col w:w="4692" w:space="260"/>
            <w:col w:w="4692"/>
          </w:cols>
        </w:sectPr>
      </w:pPr>
    </w:p>
    <w:p w14:paraId="00000020" w14:textId="2FBC465B" w:rsidR="007761C0" w:rsidRDefault="7F3BE381">
      <w:pPr>
        <w:pStyle w:val="Heading1"/>
        <w:numPr>
          <w:ilvl w:val="0"/>
          <w:numId w:val="7"/>
        </w:numPr>
        <w:tabs>
          <w:tab w:val="left" w:pos="318"/>
        </w:tabs>
        <w:ind w:left="318" w:hanging="230"/>
      </w:pPr>
      <w:r>
        <w:lastRenderedPageBreak/>
        <w:t>METHODOLOGY</w:t>
      </w:r>
    </w:p>
    <w:p w14:paraId="0000002D" w14:textId="77777777" w:rsidR="007761C0" w:rsidRDefault="007761C0" w:rsidP="7F3BE381">
      <w:pPr>
        <w:pBdr>
          <w:top w:val="nil"/>
          <w:left w:val="nil"/>
          <w:bottom w:val="nil"/>
          <w:right w:val="nil"/>
          <w:between w:val="nil"/>
        </w:pBdr>
        <w:rPr>
          <w:color w:val="000000"/>
          <w:sz w:val="19"/>
          <w:szCs w:val="19"/>
        </w:rPr>
      </w:pPr>
    </w:p>
    <w:p w14:paraId="19D5BB7E" w14:textId="49AC61DE" w:rsidR="007761C0" w:rsidRPr="00DA3D9A" w:rsidRDefault="46EB5B30" w:rsidP="7F3BE381">
      <w:pPr>
        <w:pStyle w:val="Heading2"/>
        <w:numPr>
          <w:ilvl w:val="1"/>
          <w:numId w:val="7"/>
        </w:numPr>
        <w:tabs>
          <w:tab w:val="left" w:pos="483"/>
        </w:tabs>
        <w:spacing w:line="259" w:lineRule="auto"/>
        <w:ind w:left="483" w:hanging="395"/>
        <w:rPr>
          <w:lang w:val="en-US"/>
        </w:rPr>
      </w:pPr>
      <w:r w:rsidRPr="7F3BE381">
        <w:rPr>
          <w:lang w:val="en-US"/>
        </w:rPr>
        <w:t xml:space="preserve">Quantization </w:t>
      </w:r>
      <w:r w:rsidR="00B53E52">
        <w:rPr>
          <w:lang w:val="en-US"/>
        </w:rPr>
        <w:t>R</w:t>
      </w:r>
      <w:r w:rsidRPr="7F3BE381">
        <w:rPr>
          <w:lang w:val="en-US"/>
        </w:rPr>
        <w:t>egions</w:t>
      </w:r>
    </w:p>
    <w:p w14:paraId="55B700C1" w14:textId="1C5E904A" w:rsidR="007761C0" w:rsidRPr="00B46678" w:rsidRDefault="2C4E6624" w:rsidP="00B46678">
      <w:pPr>
        <w:pBdr>
          <w:top w:val="nil"/>
          <w:left w:val="nil"/>
          <w:bottom w:val="nil"/>
          <w:right w:val="nil"/>
          <w:between w:val="nil"/>
        </w:pBdr>
        <w:spacing w:before="213" w:line="264" w:lineRule="auto"/>
        <w:ind w:left="96" w:right="38" w:hanging="10"/>
        <w:jc w:val="both"/>
        <w:rPr>
          <w:color w:val="000000" w:themeColor="text1"/>
          <w:sz w:val="19"/>
          <w:szCs w:val="19"/>
          <w:lang w:val="en-AU"/>
        </w:rPr>
      </w:pPr>
      <w:r w:rsidRPr="00B46678">
        <w:rPr>
          <w:color w:val="000000" w:themeColor="text1"/>
          <w:sz w:val="19"/>
          <w:szCs w:val="19"/>
          <w:lang w:val="en-AU"/>
        </w:rPr>
        <w:t>We divide the model into two quantization regions. The first region is a 114-layer base group, which includes the language/backbone linear layers and the action-head FFN linear layers. This region follows QuantVLA</w:t>
      </w:r>
      <w:r w:rsidR="004C765F" w:rsidRPr="00B46678">
        <w:rPr>
          <w:color w:val="000000" w:themeColor="text1"/>
          <w:sz w:val="19"/>
          <w:szCs w:val="19"/>
          <w:lang w:val="en-AU"/>
        </w:rPr>
        <w:t>’s</w:t>
      </w:r>
      <w:r w:rsidRPr="00B46678">
        <w:rPr>
          <w:color w:val="000000" w:themeColor="text1"/>
          <w:sz w:val="19"/>
          <w:szCs w:val="19"/>
          <w:lang w:val="en-AU"/>
        </w:rPr>
        <w:t xml:space="preserve"> setting, where FFN-style linear layers are usually treated as safer quantization targets.</w:t>
      </w:r>
    </w:p>
    <w:p w14:paraId="1E3E3925" w14:textId="16DF10D9" w:rsidR="007761C0" w:rsidRDefault="2C4E6624" w:rsidP="00B46678">
      <w:pPr>
        <w:pBdr>
          <w:top w:val="nil"/>
          <w:left w:val="nil"/>
          <w:bottom w:val="nil"/>
          <w:right w:val="nil"/>
          <w:between w:val="nil"/>
        </w:pBdr>
        <w:spacing w:before="213" w:line="264" w:lineRule="auto"/>
        <w:ind w:left="96" w:right="38" w:hanging="10"/>
        <w:jc w:val="both"/>
        <w:rPr>
          <w:color w:val="000000" w:themeColor="text1"/>
          <w:sz w:val="19"/>
          <w:szCs w:val="19"/>
          <w:lang w:val="en-AU"/>
        </w:rPr>
      </w:pPr>
      <w:r w:rsidRPr="00B46678">
        <w:rPr>
          <w:color w:val="000000" w:themeColor="text1"/>
          <w:sz w:val="19"/>
          <w:szCs w:val="19"/>
          <w:lang w:val="en-AU"/>
        </w:rPr>
        <w:t>The second region is a separate 16-layer group from the attention-side linear layers inside the flow-matching action head. This 16-layer group is the focus of this study</w:t>
      </w:r>
      <w:r w:rsidR="0070692A" w:rsidRPr="00B46678">
        <w:rPr>
          <w:color w:val="000000" w:themeColor="text1"/>
          <w:sz w:val="19"/>
          <w:szCs w:val="19"/>
          <w:lang w:val="en-AU"/>
        </w:rPr>
        <w:t xml:space="preserve">, which QunatVLA excluded for </w:t>
      </w:r>
      <w:r w:rsidR="0070692A" w:rsidRPr="00B46678">
        <w:rPr>
          <w:color w:val="000000" w:themeColor="text1"/>
          <w:sz w:val="19"/>
          <w:szCs w:val="19"/>
          <w:lang w:val="en-AU"/>
        </w:rPr>
        <w:t>GR00T</w:t>
      </w:r>
      <w:r w:rsidR="006E7463" w:rsidRPr="00B46678">
        <w:rPr>
          <w:color w:val="000000" w:themeColor="text1"/>
          <w:sz w:val="19"/>
          <w:szCs w:val="19"/>
          <w:lang w:val="en-AU"/>
        </w:rPr>
        <w:t xml:space="preserve"> due to </w:t>
      </w:r>
      <w:r w:rsidR="00717A2F" w:rsidRPr="00B46678">
        <w:rPr>
          <w:color w:val="000000" w:themeColor="text1"/>
          <w:sz w:val="19"/>
          <w:szCs w:val="19"/>
          <w:lang w:val="en-AU"/>
        </w:rPr>
        <w:t xml:space="preserve">their </w:t>
      </w:r>
      <w:r w:rsidR="006E7463" w:rsidRPr="00B46678">
        <w:rPr>
          <w:color w:val="000000" w:themeColor="text1"/>
          <w:sz w:val="19"/>
          <w:szCs w:val="19"/>
          <w:lang w:val="en-AU"/>
        </w:rPr>
        <w:t>sensitivity</w:t>
      </w:r>
      <w:r w:rsidR="00706359" w:rsidRPr="00B46678">
        <w:rPr>
          <w:color w:val="000000" w:themeColor="text1"/>
          <w:sz w:val="19"/>
          <w:szCs w:val="19"/>
          <w:lang w:val="en-AU"/>
        </w:rPr>
        <w:t xml:space="preserve"> to quantization</w:t>
      </w:r>
      <w:r w:rsidR="007D3813" w:rsidRPr="00B46678">
        <w:rPr>
          <w:color w:val="000000" w:themeColor="text1"/>
          <w:sz w:val="19"/>
          <w:szCs w:val="19"/>
          <w:lang w:val="en-AU"/>
        </w:rPr>
        <w:t xml:space="preserve"> in their study</w:t>
      </w:r>
      <w:r w:rsidRPr="00B46678">
        <w:rPr>
          <w:color w:val="000000" w:themeColor="text1"/>
          <w:sz w:val="19"/>
          <w:szCs w:val="19"/>
          <w:lang w:val="en-AU"/>
        </w:rPr>
        <w:t>. Unlike the language backbone, the action head is reused repeatedly during action generation, so quantization in this region can affect the action trajectory differently depending on the flow timestep.</w:t>
      </w:r>
    </w:p>
    <w:p w14:paraId="59CB28F1" w14:textId="77777777" w:rsidR="00B46678" w:rsidRPr="00B46678" w:rsidRDefault="00B46678" w:rsidP="00B46678">
      <w:pPr>
        <w:pBdr>
          <w:top w:val="nil"/>
          <w:left w:val="nil"/>
          <w:bottom w:val="nil"/>
          <w:right w:val="nil"/>
          <w:between w:val="nil"/>
        </w:pBdr>
        <w:spacing w:before="213" w:line="264" w:lineRule="auto"/>
        <w:ind w:left="96" w:right="38" w:hanging="10"/>
        <w:jc w:val="both"/>
        <w:rPr>
          <w:color w:val="000000" w:themeColor="text1"/>
          <w:sz w:val="19"/>
          <w:szCs w:val="19"/>
          <w:lang w:val="en-AU"/>
        </w:rPr>
      </w:pPr>
    </w:p>
    <w:p w14:paraId="665FB71E" w14:textId="5EB5FE49" w:rsidR="007761C0" w:rsidRPr="00AA511B" w:rsidRDefault="1AFF4D53" w:rsidP="7F3BE381">
      <w:pPr>
        <w:pStyle w:val="Heading2"/>
        <w:numPr>
          <w:ilvl w:val="1"/>
          <w:numId w:val="7"/>
        </w:numPr>
        <w:tabs>
          <w:tab w:val="left" w:pos="483"/>
        </w:tabs>
        <w:spacing w:line="259" w:lineRule="auto"/>
        <w:ind w:left="483" w:hanging="395"/>
        <w:rPr>
          <w:lang w:val="en-US"/>
        </w:rPr>
      </w:pPr>
      <w:r w:rsidRPr="7F3BE381">
        <w:rPr>
          <w:lang w:val="en-US"/>
        </w:rPr>
        <w:t>Flow-</w:t>
      </w:r>
      <w:r w:rsidR="00B46678">
        <w:rPr>
          <w:lang w:val="en-US"/>
        </w:rPr>
        <w:t>M</w:t>
      </w:r>
      <w:r w:rsidRPr="7F3BE381">
        <w:rPr>
          <w:lang w:val="en-US"/>
        </w:rPr>
        <w:t xml:space="preserve">atching </w:t>
      </w:r>
      <w:r w:rsidR="00B53E52">
        <w:rPr>
          <w:lang w:val="en-US"/>
        </w:rPr>
        <w:t>T</w:t>
      </w:r>
      <w:r w:rsidRPr="7F3BE381">
        <w:rPr>
          <w:lang w:val="en-US"/>
        </w:rPr>
        <w:t xml:space="preserve">imestep </w:t>
      </w:r>
      <w:r w:rsidR="00B53E52">
        <w:rPr>
          <w:lang w:val="en-US"/>
        </w:rPr>
        <w:t>W</w:t>
      </w:r>
      <w:r w:rsidRPr="7F3BE381">
        <w:rPr>
          <w:lang w:val="en-US"/>
        </w:rPr>
        <w:t>indows</w:t>
      </w:r>
    </w:p>
    <w:p w14:paraId="162B7CC6" w14:textId="04FDE647" w:rsidR="007761C0" w:rsidRPr="00596429" w:rsidRDefault="1AFF4D53" w:rsidP="00B46678">
      <w:pPr>
        <w:pBdr>
          <w:top w:val="nil"/>
          <w:left w:val="nil"/>
          <w:bottom w:val="nil"/>
          <w:right w:val="nil"/>
          <w:between w:val="nil"/>
        </w:pBdr>
        <w:spacing w:before="213" w:line="264" w:lineRule="auto"/>
        <w:ind w:left="96" w:right="38" w:hanging="10"/>
        <w:jc w:val="both"/>
        <w:rPr>
          <w:color w:val="000000" w:themeColor="text1"/>
          <w:sz w:val="19"/>
          <w:szCs w:val="19"/>
          <w:lang w:val="en-AU"/>
        </w:rPr>
      </w:pPr>
      <w:r w:rsidRPr="00596429">
        <w:rPr>
          <w:color w:val="000000" w:themeColor="text1"/>
          <w:sz w:val="19"/>
          <w:szCs w:val="19"/>
          <w:lang w:val="en-AU"/>
        </w:rPr>
        <w:t>During inference, the action head does not generate the final action in a single pass. Instead, it refines the action through a 32-step flow-matching process. At each step, the action-head layers predict an update direction for the current action state. Therefore, this work treats timestep as an additional quantization axis, not only layer identity.</w:t>
      </w:r>
    </w:p>
    <w:p w14:paraId="03DA05D3" w14:textId="72C59B1E" w:rsidR="007761C0" w:rsidRPr="00596429" w:rsidRDefault="1AFF4D53" w:rsidP="00B46678">
      <w:pPr>
        <w:pBdr>
          <w:top w:val="nil"/>
          <w:left w:val="nil"/>
          <w:bottom w:val="nil"/>
          <w:right w:val="nil"/>
          <w:between w:val="nil"/>
        </w:pBdr>
        <w:spacing w:before="213" w:line="264" w:lineRule="auto"/>
        <w:ind w:left="96" w:right="38" w:hanging="10"/>
        <w:jc w:val="both"/>
        <w:rPr>
          <w:color w:val="000000" w:themeColor="text1"/>
          <w:sz w:val="19"/>
          <w:szCs w:val="19"/>
          <w:lang w:val="en-AU"/>
        </w:rPr>
      </w:pPr>
      <w:r w:rsidRPr="00596429">
        <w:rPr>
          <w:color w:val="000000" w:themeColor="text1"/>
          <w:sz w:val="19"/>
          <w:szCs w:val="19"/>
          <w:lang w:val="en-AU"/>
        </w:rPr>
        <w:t xml:space="preserve">To test timestep sensitivity, the 32 flow steps are divided into windowed settings. The </w:t>
      </w:r>
      <w:r w:rsidR="006C5F00" w:rsidRPr="00596429">
        <w:rPr>
          <w:color w:val="000000" w:themeColor="text1"/>
          <w:sz w:val="19"/>
          <w:szCs w:val="19"/>
          <w:lang w:val="en-AU"/>
        </w:rPr>
        <w:t xml:space="preserve">main setting is </w:t>
      </w:r>
      <w:r w:rsidRPr="00596429">
        <w:rPr>
          <w:color w:val="000000" w:themeColor="text1"/>
          <w:sz w:val="19"/>
          <w:szCs w:val="19"/>
          <w:lang w:val="en-AU"/>
        </w:rPr>
        <w:t>four 8-step windows</w:t>
      </w:r>
      <w:r w:rsidR="006C5F00" w:rsidRPr="00596429">
        <w:rPr>
          <w:color w:val="000000" w:themeColor="text1"/>
          <w:sz w:val="19"/>
          <w:szCs w:val="19"/>
          <w:lang w:val="en-AU"/>
        </w:rPr>
        <w:t>, but later extended to 16-step, 23-step, and entire 32-step larger windows</w:t>
      </w:r>
      <w:r w:rsidRPr="00596429">
        <w:rPr>
          <w:color w:val="000000" w:themeColor="text1"/>
          <w:sz w:val="19"/>
          <w:szCs w:val="19"/>
          <w:lang w:val="en-AU"/>
        </w:rPr>
        <w:t xml:space="preserve">, including quantization across all </w:t>
      </w:r>
      <w:r w:rsidR="006C5F00" w:rsidRPr="00596429">
        <w:rPr>
          <w:color w:val="000000" w:themeColor="text1"/>
          <w:sz w:val="19"/>
          <w:szCs w:val="19"/>
          <w:lang w:val="en-AU"/>
        </w:rPr>
        <w:t>attention linear layers of flow matching action head</w:t>
      </w:r>
      <w:r w:rsidR="00CC22C5" w:rsidRPr="00596429">
        <w:rPr>
          <w:color w:val="000000" w:themeColor="text1"/>
          <w:sz w:val="19"/>
          <w:szCs w:val="19"/>
          <w:lang w:val="en-AU"/>
        </w:rPr>
        <w:t xml:space="preserve"> inside the selected time steps</w:t>
      </w:r>
      <w:r w:rsidRPr="00596429">
        <w:rPr>
          <w:color w:val="000000" w:themeColor="text1"/>
          <w:sz w:val="19"/>
          <w:szCs w:val="19"/>
          <w:lang w:val="en-AU"/>
        </w:rPr>
        <w:t xml:space="preserve">. This design </w:t>
      </w:r>
      <w:r w:rsidR="00FD0429" w:rsidRPr="00596429">
        <w:rPr>
          <w:color w:val="000000" w:themeColor="text1"/>
          <w:sz w:val="19"/>
          <w:szCs w:val="19"/>
          <w:lang w:val="en-AU"/>
        </w:rPr>
        <w:t>was designed to test</w:t>
      </w:r>
      <w:r w:rsidRPr="00596429">
        <w:rPr>
          <w:color w:val="000000" w:themeColor="text1"/>
          <w:sz w:val="19"/>
          <w:szCs w:val="19"/>
          <w:lang w:val="en-AU"/>
        </w:rPr>
        <w:t xml:space="preserve"> whether low precision is equally safe across the whole flow trajectory or whether early, middle, and late steps have different sensitivity.</w:t>
      </w:r>
    </w:p>
    <w:p w14:paraId="655381C3" w14:textId="77777777" w:rsidR="00804FCC" w:rsidRDefault="00804FCC" w:rsidP="00804FCC">
      <w:pPr>
        <w:pBdr>
          <w:top w:val="nil"/>
          <w:left w:val="nil"/>
          <w:bottom w:val="nil"/>
          <w:right w:val="nil"/>
          <w:between w:val="nil"/>
        </w:pBdr>
        <w:spacing w:before="213" w:line="264" w:lineRule="auto"/>
        <w:ind w:left="96" w:right="38" w:hanging="10"/>
        <w:jc w:val="both"/>
        <w:rPr>
          <w:color w:val="000000" w:themeColor="text1"/>
          <w:sz w:val="19"/>
          <w:szCs w:val="19"/>
          <w:lang w:val="en-US"/>
        </w:rPr>
      </w:pPr>
    </w:p>
    <w:p w14:paraId="2DE2CB76" w14:textId="4C185F77" w:rsidR="007761C0" w:rsidRPr="00DA3D9A" w:rsidRDefault="1AFF4D53" w:rsidP="00DA3D9A">
      <w:pPr>
        <w:pStyle w:val="Heading2"/>
        <w:numPr>
          <w:ilvl w:val="1"/>
          <w:numId w:val="7"/>
        </w:numPr>
        <w:tabs>
          <w:tab w:val="left" w:pos="483"/>
        </w:tabs>
        <w:spacing w:line="259" w:lineRule="auto"/>
        <w:ind w:left="483" w:hanging="395"/>
        <w:rPr>
          <w:lang w:val="en-US"/>
        </w:rPr>
      </w:pPr>
      <w:r w:rsidRPr="7F3BE381">
        <w:rPr>
          <w:lang w:val="en-US"/>
        </w:rPr>
        <w:t xml:space="preserve">Experiment </w:t>
      </w:r>
      <w:r w:rsidR="00B53E52">
        <w:rPr>
          <w:lang w:val="en-US"/>
        </w:rPr>
        <w:t>D</w:t>
      </w:r>
      <w:r w:rsidR="00370998">
        <w:rPr>
          <w:lang w:val="en-US"/>
        </w:rPr>
        <w:t>esign</w:t>
      </w:r>
      <w:r w:rsidR="00F75DF2">
        <w:rPr>
          <w:lang w:val="en-US"/>
        </w:rPr>
        <w:t>s</w:t>
      </w:r>
    </w:p>
    <w:p w14:paraId="0DD44925" w14:textId="296D2BA2" w:rsidR="007761C0" w:rsidRPr="00614B6F" w:rsidRDefault="00635FAA" w:rsidP="00614B6F">
      <w:pPr>
        <w:pBdr>
          <w:top w:val="nil"/>
          <w:left w:val="nil"/>
          <w:bottom w:val="nil"/>
          <w:right w:val="nil"/>
          <w:between w:val="nil"/>
        </w:pBdr>
        <w:spacing w:before="213" w:line="264" w:lineRule="auto"/>
        <w:ind w:left="96" w:right="38" w:hanging="10"/>
        <w:jc w:val="both"/>
        <w:rPr>
          <w:color w:val="000000" w:themeColor="text1"/>
          <w:sz w:val="19"/>
          <w:szCs w:val="19"/>
          <w:lang w:val="en-AU"/>
        </w:rPr>
      </w:pPr>
      <w:r w:rsidRPr="00614B6F">
        <w:rPr>
          <w:color w:val="000000" w:themeColor="text1"/>
          <w:sz w:val="19"/>
          <w:szCs w:val="19"/>
          <w:lang w:val="en-AU"/>
        </w:rPr>
        <w:t>Our initial experiments</w:t>
      </w:r>
      <w:r w:rsidR="0265FA30" w:rsidRPr="00614B6F">
        <w:rPr>
          <w:color w:val="000000" w:themeColor="text1"/>
          <w:sz w:val="19"/>
          <w:szCs w:val="19"/>
          <w:lang w:val="en-AU"/>
        </w:rPr>
        <w:t xml:space="preserve"> test</w:t>
      </w:r>
      <w:r w:rsidR="00255A41" w:rsidRPr="00614B6F">
        <w:rPr>
          <w:color w:val="000000" w:themeColor="text1"/>
          <w:sz w:val="19"/>
          <w:szCs w:val="19"/>
          <w:lang w:val="en-AU"/>
        </w:rPr>
        <w:t>ed</w:t>
      </w:r>
      <w:r w:rsidR="0265FA30" w:rsidRPr="00614B6F">
        <w:rPr>
          <w:color w:val="000000" w:themeColor="text1"/>
          <w:sz w:val="19"/>
          <w:szCs w:val="19"/>
          <w:lang w:val="en-AU"/>
        </w:rPr>
        <w:t xml:space="preserve"> the two regions separately. For the 114-layer base group, we compare the effect of LLM/backbone weight and activation quantization. For the 16-layer action-head attention group, we compare no quantization, W8-only, A8-only, and W8A8 settings.</w:t>
      </w:r>
    </w:p>
    <w:p w14:paraId="13888F03" w14:textId="28A1B86B" w:rsidR="007761C0" w:rsidRDefault="000517E1" w:rsidP="00492C71">
      <w:pPr>
        <w:pBdr>
          <w:top w:val="nil"/>
          <w:left w:val="nil"/>
          <w:bottom w:val="nil"/>
          <w:right w:val="nil"/>
          <w:between w:val="nil"/>
        </w:pBdr>
        <w:spacing w:before="213" w:line="264" w:lineRule="auto"/>
        <w:ind w:left="96" w:right="38" w:hanging="10"/>
        <w:jc w:val="both"/>
        <w:rPr>
          <w:color w:val="000000" w:themeColor="text1"/>
          <w:sz w:val="19"/>
          <w:szCs w:val="19"/>
          <w:lang w:val="en-AU"/>
        </w:rPr>
      </w:pPr>
      <w:r w:rsidRPr="000517E1">
        <w:rPr>
          <w:color w:val="000000" w:themeColor="text1"/>
          <w:sz w:val="19"/>
          <w:szCs w:val="19"/>
          <w:lang w:val="en-AU"/>
        </w:rPr>
        <w:t xml:space="preserve">After the initial isolated experiments, we designed a combined-region setting. </w:t>
      </w:r>
      <w:r>
        <w:rPr>
          <w:color w:val="000000" w:themeColor="text1"/>
          <w:sz w:val="19"/>
          <w:szCs w:val="19"/>
          <w:lang w:val="en-AU"/>
        </w:rPr>
        <w:t>T</w:t>
      </w:r>
      <w:r w:rsidRPr="000517E1">
        <w:rPr>
          <w:color w:val="000000" w:themeColor="text1"/>
          <w:sz w:val="19"/>
          <w:szCs w:val="19"/>
          <w:lang w:val="en-AU"/>
        </w:rPr>
        <w:t xml:space="preserve">he 114-layer base group was quantized together with the selected 16 action-head attention linear layers. At the same time, we varied the timestep window in which quantization was applied to the 16 attention layers during the 32-step flow-matching process. This design combined the region axis with the timestep axis, allowing us to study whether the effect of quantizing the </w:t>
      </w:r>
      <w:r>
        <w:rPr>
          <w:color w:val="000000" w:themeColor="text1"/>
          <w:sz w:val="19"/>
          <w:szCs w:val="19"/>
          <w:lang w:val="en-AU"/>
        </w:rPr>
        <w:t>combined regions is also interacting with the temporal settings</w:t>
      </w:r>
      <w:r w:rsidRPr="000517E1">
        <w:rPr>
          <w:color w:val="000000" w:themeColor="text1"/>
          <w:sz w:val="19"/>
          <w:szCs w:val="19"/>
          <w:lang w:val="en-AU"/>
        </w:rPr>
        <w:t>. In total, this main experiment evaluated nine modes across different selective quantization settings</w:t>
      </w:r>
      <w:r w:rsidR="003B740B">
        <w:rPr>
          <w:color w:val="000000" w:themeColor="text1"/>
          <w:sz w:val="19"/>
          <w:szCs w:val="19"/>
          <w:lang w:val="en-AU"/>
        </w:rPr>
        <w:t xml:space="preserve"> (W8F16, W16A8, W8A8)</w:t>
      </w:r>
      <w:r w:rsidRPr="000517E1">
        <w:rPr>
          <w:color w:val="000000" w:themeColor="text1"/>
          <w:sz w:val="19"/>
          <w:szCs w:val="19"/>
          <w:lang w:val="en-AU"/>
        </w:rPr>
        <w:t xml:space="preserve"> and timestep-window settings.</w:t>
      </w:r>
    </w:p>
    <w:p w14:paraId="108D46A0" w14:textId="77777777" w:rsidR="00E82D9B" w:rsidRPr="00492C71" w:rsidRDefault="00E82D9B" w:rsidP="00492C71">
      <w:pPr>
        <w:pBdr>
          <w:top w:val="nil"/>
          <w:left w:val="nil"/>
          <w:bottom w:val="nil"/>
          <w:right w:val="nil"/>
          <w:between w:val="nil"/>
        </w:pBdr>
        <w:spacing w:before="213" w:line="264" w:lineRule="auto"/>
        <w:ind w:left="96" w:right="38" w:hanging="10"/>
        <w:jc w:val="both"/>
        <w:rPr>
          <w:color w:val="000000" w:themeColor="text1"/>
          <w:sz w:val="19"/>
          <w:szCs w:val="19"/>
          <w:lang w:val="en-AU"/>
        </w:rPr>
      </w:pPr>
    </w:p>
    <w:p w14:paraId="3F0BC9C1" w14:textId="2AE9E31D" w:rsidR="00003001" w:rsidRPr="00003001" w:rsidRDefault="009765F4" w:rsidP="00003001">
      <w:pPr>
        <w:pStyle w:val="Heading1"/>
        <w:numPr>
          <w:ilvl w:val="0"/>
          <w:numId w:val="7"/>
        </w:numPr>
        <w:tabs>
          <w:tab w:val="left" w:pos="316"/>
        </w:tabs>
        <w:spacing w:before="205" w:line="264" w:lineRule="auto"/>
        <w:ind w:left="316" w:hanging="230"/>
      </w:pPr>
      <w:r>
        <w:t>RESULTS AND</w:t>
      </w:r>
      <w:r w:rsidR="0265FA30">
        <w:t xml:space="preserve"> ANALYSIS</w:t>
      </w:r>
    </w:p>
    <w:p w14:paraId="698C8AE7" w14:textId="148A6659" w:rsidR="00F320F0" w:rsidRPr="00F320F0" w:rsidRDefault="00823D21" w:rsidP="00324ABB">
      <w:pPr>
        <w:pStyle w:val="Heading2"/>
        <w:numPr>
          <w:ilvl w:val="1"/>
          <w:numId w:val="7"/>
        </w:numPr>
        <w:pBdr>
          <w:top w:val="nil"/>
          <w:left w:val="nil"/>
          <w:bottom w:val="nil"/>
          <w:right w:val="nil"/>
          <w:between w:val="nil"/>
        </w:pBdr>
        <w:tabs>
          <w:tab w:val="left" w:pos="483"/>
        </w:tabs>
        <w:spacing w:before="213" w:line="264" w:lineRule="auto"/>
        <w:ind w:left="96" w:right="38" w:hanging="10"/>
        <w:jc w:val="both"/>
        <w:rPr>
          <w:color w:val="000000" w:themeColor="text1"/>
          <w:sz w:val="19"/>
          <w:szCs w:val="19"/>
          <w:lang w:val="en-AU"/>
        </w:rPr>
      </w:pPr>
      <w:r>
        <w:rPr>
          <w:lang w:val="en-US"/>
        </w:rPr>
        <w:t>Initial</w:t>
      </w:r>
      <w:r w:rsidR="00EE02E5">
        <w:rPr>
          <w:lang w:val="en-US"/>
        </w:rPr>
        <w:t xml:space="preserve"> </w:t>
      </w:r>
      <w:r w:rsidR="00B47E1C">
        <w:rPr>
          <w:lang w:val="en-US"/>
        </w:rPr>
        <w:t>Experiments</w:t>
      </w:r>
    </w:p>
    <w:p w14:paraId="20E8B46F" w14:textId="7A7678FC" w:rsidR="00F85AC9" w:rsidRPr="00F85AC9" w:rsidRDefault="00670F21" w:rsidP="00F85AC9">
      <w:pPr>
        <w:pBdr>
          <w:top w:val="nil"/>
          <w:left w:val="nil"/>
          <w:bottom w:val="nil"/>
          <w:right w:val="nil"/>
          <w:between w:val="nil"/>
        </w:pBdr>
        <w:spacing w:before="213" w:line="264" w:lineRule="auto"/>
        <w:ind w:left="96" w:right="38" w:hanging="10"/>
        <w:jc w:val="both"/>
        <w:rPr>
          <w:color w:val="000000" w:themeColor="text1"/>
          <w:sz w:val="19"/>
          <w:szCs w:val="19"/>
          <w:lang w:val="en-AU"/>
        </w:rPr>
      </w:pPr>
      <w:r>
        <w:rPr>
          <w:color w:val="000000" w:themeColor="text1"/>
          <w:sz w:val="19"/>
          <w:szCs w:val="19"/>
          <w:lang w:val="en-AU"/>
        </w:rPr>
        <w:t>The</w:t>
      </w:r>
      <w:r w:rsidR="00F85AC9" w:rsidRPr="00F85AC9">
        <w:rPr>
          <w:b/>
          <w:bCs/>
          <w:sz w:val="24"/>
          <w:szCs w:val="24"/>
          <w:lang w:val="en-AU" w:eastAsia="en-AU"/>
        </w:rPr>
        <w:t xml:space="preserve"> </w:t>
      </w:r>
      <w:r w:rsidR="00F85AC9" w:rsidRPr="00F85AC9">
        <w:rPr>
          <w:color w:val="000000" w:themeColor="text1"/>
          <w:sz w:val="19"/>
          <w:szCs w:val="19"/>
          <w:lang w:val="en-AU"/>
        </w:rPr>
        <w:t xml:space="preserve">Major experiments were conducted using the LIBERO suites, including </w:t>
      </w:r>
      <w:r w:rsidR="00F85AC9">
        <w:rPr>
          <w:color w:val="000000" w:themeColor="text1"/>
          <w:sz w:val="19"/>
          <w:szCs w:val="19"/>
          <w:lang w:val="en-AU"/>
        </w:rPr>
        <w:t>Libero_</w:t>
      </w:r>
      <w:r w:rsidR="00F85AC9" w:rsidRPr="00F85AC9">
        <w:rPr>
          <w:color w:val="000000" w:themeColor="text1"/>
          <w:sz w:val="19"/>
          <w:szCs w:val="19"/>
          <w:lang w:val="en-AU"/>
        </w:rPr>
        <w:t xml:space="preserve">Spatial, </w:t>
      </w:r>
      <w:r w:rsidR="00F85AC9">
        <w:rPr>
          <w:color w:val="000000" w:themeColor="text1"/>
          <w:sz w:val="19"/>
          <w:szCs w:val="19"/>
          <w:lang w:val="en-AU"/>
        </w:rPr>
        <w:t>Libero</w:t>
      </w:r>
      <w:r w:rsidR="00F85AC9">
        <w:rPr>
          <w:color w:val="000000" w:themeColor="text1"/>
          <w:sz w:val="19"/>
          <w:szCs w:val="19"/>
          <w:lang w:val="en-AU"/>
        </w:rPr>
        <w:t>_</w:t>
      </w:r>
      <w:r w:rsidR="00F85AC9" w:rsidRPr="00F85AC9">
        <w:rPr>
          <w:color w:val="000000" w:themeColor="text1"/>
          <w:sz w:val="19"/>
          <w:szCs w:val="19"/>
          <w:lang w:val="en-AU"/>
        </w:rPr>
        <w:t xml:space="preserve">Goal, </w:t>
      </w:r>
      <w:r w:rsidR="00F85AC9">
        <w:rPr>
          <w:color w:val="000000" w:themeColor="text1"/>
          <w:sz w:val="19"/>
          <w:szCs w:val="19"/>
          <w:lang w:val="en-AU"/>
        </w:rPr>
        <w:t>Libero</w:t>
      </w:r>
      <w:r w:rsidR="00F85AC9">
        <w:rPr>
          <w:color w:val="000000" w:themeColor="text1"/>
          <w:sz w:val="19"/>
          <w:szCs w:val="19"/>
          <w:lang w:val="en-AU"/>
        </w:rPr>
        <w:t>_</w:t>
      </w:r>
      <w:r w:rsidR="00F85AC9" w:rsidRPr="00F85AC9">
        <w:rPr>
          <w:color w:val="000000" w:themeColor="text1"/>
          <w:sz w:val="19"/>
          <w:szCs w:val="19"/>
          <w:lang w:val="en-AU"/>
        </w:rPr>
        <w:t>Object, and LIBERO</w:t>
      </w:r>
      <w:r w:rsidR="00F85AC9">
        <w:rPr>
          <w:color w:val="000000" w:themeColor="text1"/>
          <w:sz w:val="19"/>
          <w:szCs w:val="19"/>
          <w:lang w:val="en-AU"/>
        </w:rPr>
        <w:t>_</w:t>
      </w:r>
      <w:r w:rsidR="00F85AC9" w:rsidRPr="00F85AC9">
        <w:rPr>
          <w:color w:val="000000" w:themeColor="text1"/>
          <w:sz w:val="19"/>
          <w:szCs w:val="19"/>
          <w:lang w:val="en-AU"/>
        </w:rPr>
        <w:t>10. Each suite contains 10 tasks, and we used 5 episodes for each task, for a total of 50 runs per suite.</w:t>
      </w:r>
    </w:p>
    <w:p w14:paraId="1A5ECAD0" w14:textId="77777777" w:rsidR="00F85AC9" w:rsidRPr="00F85AC9" w:rsidRDefault="00F85AC9" w:rsidP="00F85AC9">
      <w:pPr>
        <w:pBdr>
          <w:top w:val="nil"/>
          <w:left w:val="nil"/>
          <w:bottom w:val="nil"/>
          <w:right w:val="nil"/>
          <w:between w:val="nil"/>
        </w:pBdr>
        <w:spacing w:before="213" w:line="264" w:lineRule="auto"/>
        <w:ind w:left="96" w:right="38" w:hanging="10"/>
        <w:jc w:val="both"/>
        <w:rPr>
          <w:color w:val="000000" w:themeColor="text1"/>
          <w:sz w:val="19"/>
          <w:szCs w:val="19"/>
          <w:lang w:val="en-AU"/>
        </w:rPr>
      </w:pPr>
      <w:r w:rsidRPr="00F85AC9">
        <w:rPr>
          <w:color w:val="000000" w:themeColor="text1"/>
          <w:sz w:val="19"/>
          <w:szCs w:val="19"/>
          <w:lang w:val="en-AU"/>
        </w:rPr>
        <w:t>The first experiment was conducted on the first region, which includes linear layers from the backbone LLM and the action-head FFN layers, for a total of 114 linear layers. This region shows a clear contrast between weight and activation quantization. A8W16 activation quantization was catastrophic. Even with QuantVLA’s calibration or correction on the DuQuant mechanism, it only improved cosine similarity from around 0.86 to 0.89. In contrast, W8A16 was very safe, with similarity around 0.9998 and accuracy close to, or slightly better than, the no-quant baseline.</w:t>
      </w:r>
    </w:p>
    <w:p w14:paraId="419741CA" w14:textId="36874779" w:rsidR="00F85AC9" w:rsidRDefault="00F85AC9" w:rsidP="00F85AC9">
      <w:pPr>
        <w:pBdr>
          <w:top w:val="nil"/>
          <w:left w:val="nil"/>
          <w:bottom w:val="nil"/>
          <w:right w:val="nil"/>
          <w:between w:val="nil"/>
        </w:pBdr>
        <w:spacing w:before="213" w:line="264" w:lineRule="auto"/>
        <w:ind w:left="96" w:right="38" w:hanging="10"/>
        <w:jc w:val="both"/>
        <w:rPr>
          <w:color w:val="000000" w:themeColor="text1"/>
          <w:sz w:val="19"/>
          <w:szCs w:val="19"/>
          <w:lang w:val="en-AU"/>
        </w:rPr>
      </w:pPr>
      <w:r w:rsidRPr="00F85AC9">
        <w:rPr>
          <w:color w:val="000000" w:themeColor="text1"/>
          <w:sz w:val="19"/>
          <w:szCs w:val="19"/>
          <w:lang w:val="en-AU"/>
        </w:rPr>
        <w:t>As for the second region, the selected 16 linear layers from the action-head attention module were not sensitive compared to the no-quant baseline</w:t>
      </w:r>
      <w:r w:rsidR="00106055">
        <w:rPr>
          <w:color w:val="000000" w:themeColor="text1"/>
          <w:sz w:val="19"/>
          <w:szCs w:val="19"/>
          <w:lang w:val="en-AU"/>
        </w:rPr>
        <w:t xml:space="preserve"> (Table I)</w:t>
      </w:r>
      <w:r w:rsidRPr="00F85AC9">
        <w:rPr>
          <w:color w:val="000000" w:themeColor="text1"/>
          <w:sz w:val="19"/>
          <w:szCs w:val="19"/>
          <w:lang w:val="en-AU"/>
        </w:rPr>
        <w:t>. In contrast to QuantVLA’s setting, where these layers were excluded due to sensitivity, Evo-1’s action-head attention linear layers showed no degradation by themselves. However, later experiments show that the combination of both regions may tell a different story and could explain why they were excluded in other studies. In Evo-1, the goal is not to determine whether the 16 layers succeed or fail by themselves, but to study potential accuracy degradation when they are combined with the 114-layer QuantVLA-style selection and quantized together.</w:t>
      </w:r>
    </w:p>
    <w:p w14:paraId="4F66A59F" w14:textId="428246A8" w:rsidR="00B71F34" w:rsidRPr="00BD08BC" w:rsidRDefault="00B71F34" w:rsidP="00BD08BC">
      <w:pPr>
        <w:spacing w:before="240" w:after="240" w:line="264" w:lineRule="auto"/>
        <w:jc w:val="center"/>
        <w:rPr>
          <w:sz w:val="16"/>
          <w:szCs w:val="16"/>
        </w:rPr>
      </w:pPr>
      <w:r>
        <w:rPr>
          <w:sz w:val="16"/>
          <w:szCs w:val="16"/>
        </w:rPr>
        <w:t>TABLE I</w:t>
      </w:r>
    </w:p>
    <w:p w14:paraId="2FECA1DD" w14:textId="1481D1D2" w:rsidR="00B71F34" w:rsidRDefault="00B13E05" w:rsidP="00B13E05">
      <w:pPr>
        <w:ind w:left="605"/>
        <w:jc w:val="center"/>
        <w:rPr>
          <w:sz w:val="16"/>
          <w:szCs w:val="16"/>
        </w:rPr>
      </w:pPr>
      <w:r w:rsidRPr="00B13E05">
        <w:rPr>
          <w:sz w:val="16"/>
          <w:szCs w:val="16"/>
          <w:lang w:val="en-AU"/>
        </w:rPr>
        <w:t xml:space="preserve">Table </w:t>
      </w:r>
      <w:r>
        <w:rPr>
          <w:sz w:val="16"/>
          <w:szCs w:val="16"/>
          <w:lang w:val="en-AU"/>
        </w:rPr>
        <w:t>1</w:t>
      </w:r>
      <w:r w:rsidRPr="00B13E05">
        <w:rPr>
          <w:sz w:val="16"/>
          <w:szCs w:val="16"/>
          <w:lang w:val="en-AU"/>
        </w:rPr>
        <w:t>. Effect of Target16 Quantization Type on LIBERO-Goal Performance</w:t>
      </w:r>
    </w:p>
    <w:p w14:paraId="240A5608" w14:textId="77777777" w:rsidR="00B71F34" w:rsidRDefault="00B71F34" w:rsidP="00B71F34">
      <w:pPr>
        <w:pBdr>
          <w:top w:val="nil"/>
          <w:left w:val="nil"/>
          <w:bottom w:val="nil"/>
          <w:right w:val="nil"/>
          <w:between w:val="nil"/>
        </w:pBdr>
        <w:spacing w:before="5" w:after="1"/>
        <w:rPr>
          <w:color w:val="000000"/>
          <w:sz w:val="18"/>
          <w:szCs w:val="18"/>
        </w:rPr>
      </w:pPr>
    </w:p>
    <w:tbl>
      <w:tblPr>
        <w:tblW w:w="4808" w:type="dxa"/>
        <w:tblLayout w:type="fixed"/>
        <w:tblLook w:val="0000" w:firstRow="0" w:lastRow="0" w:firstColumn="0" w:lastColumn="0" w:noHBand="0" w:noVBand="0"/>
      </w:tblPr>
      <w:tblGrid>
        <w:gridCol w:w="1597"/>
        <w:gridCol w:w="1767"/>
        <w:gridCol w:w="1444"/>
      </w:tblGrid>
      <w:tr w:rsidR="00A011A6" w14:paraId="47076D75" w14:textId="77777777" w:rsidTr="008E102A">
        <w:trPr>
          <w:trHeight w:val="536"/>
        </w:trPr>
        <w:tc>
          <w:tcPr>
            <w:tcW w:w="1597" w:type="dxa"/>
            <w:tcBorders>
              <w:top w:val="single" w:sz="4" w:space="0" w:color="000000"/>
            </w:tcBorders>
            <w:shd w:val="clear" w:color="auto" w:fill="D1D1D1"/>
          </w:tcPr>
          <w:p w14:paraId="3B9333F8" w14:textId="1943596A" w:rsidR="00A011A6" w:rsidRDefault="005357A6" w:rsidP="00055D0B">
            <w:pPr>
              <w:pBdr>
                <w:top w:val="nil"/>
                <w:left w:val="nil"/>
                <w:bottom w:val="nil"/>
                <w:right w:val="nil"/>
                <w:between w:val="nil"/>
              </w:pBdr>
              <w:ind w:left="107"/>
              <w:rPr>
                <w:color w:val="000000"/>
                <w:sz w:val="19"/>
                <w:szCs w:val="19"/>
              </w:rPr>
            </w:pPr>
            <w:r>
              <w:rPr>
                <w:color w:val="000000"/>
                <w:sz w:val="19"/>
                <w:szCs w:val="19"/>
              </w:rPr>
              <w:t>Target16</w:t>
            </w:r>
          </w:p>
        </w:tc>
        <w:tc>
          <w:tcPr>
            <w:tcW w:w="1767" w:type="dxa"/>
            <w:tcBorders>
              <w:top w:val="single" w:sz="4" w:space="0" w:color="000000"/>
            </w:tcBorders>
            <w:shd w:val="clear" w:color="auto" w:fill="E8E8E8"/>
          </w:tcPr>
          <w:p w14:paraId="193D7A60" w14:textId="4FF245B9" w:rsidR="00A011A6" w:rsidRDefault="00A011A6" w:rsidP="00055D0B">
            <w:pPr>
              <w:pBdr>
                <w:top w:val="nil"/>
                <w:left w:val="nil"/>
                <w:bottom w:val="nil"/>
                <w:right w:val="nil"/>
                <w:between w:val="nil"/>
              </w:pBdr>
              <w:ind w:left="107"/>
              <w:rPr>
                <w:color w:val="000000"/>
                <w:sz w:val="19"/>
                <w:szCs w:val="19"/>
              </w:rPr>
            </w:pPr>
            <w:r>
              <w:rPr>
                <w:color w:val="000000"/>
                <w:sz w:val="19"/>
                <w:szCs w:val="19"/>
              </w:rPr>
              <w:t>Accuracy</w:t>
            </w:r>
          </w:p>
        </w:tc>
        <w:tc>
          <w:tcPr>
            <w:tcW w:w="1444" w:type="dxa"/>
            <w:tcBorders>
              <w:top w:val="single" w:sz="4" w:space="0" w:color="000000"/>
            </w:tcBorders>
            <w:shd w:val="clear" w:color="auto" w:fill="E8E8E8"/>
          </w:tcPr>
          <w:p w14:paraId="668C8113" w14:textId="08FAC5A9" w:rsidR="00A011A6" w:rsidRDefault="005357A6" w:rsidP="00055D0B">
            <w:pPr>
              <w:pBdr>
                <w:top w:val="nil"/>
                <w:left w:val="nil"/>
                <w:bottom w:val="nil"/>
                <w:right w:val="nil"/>
                <w:between w:val="nil"/>
              </w:pBdr>
              <w:ind w:left="130"/>
              <w:rPr>
                <w:color w:val="000000"/>
                <w:sz w:val="19"/>
                <w:szCs w:val="19"/>
              </w:rPr>
            </w:pPr>
            <w:r>
              <w:rPr>
                <w:color w:val="000000"/>
                <w:sz w:val="19"/>
                <w:szCs w:val="19"/>
              </w:rPr>
              <w:t xml:space="preserve">Mean </w:t>
            </w:r>
            <w:r w:rsidR="00A011A6">
              <w:rPr>
                <w:color w:val="000000"/>
                <w:sz w:val="19"/>
                <w:szCs w:val="19"/>
              </w:rPr>
              <w:t>RMS Dript</w:t>
            </w:r>
            <w:r>
              <w:rPr>
                <w:color w:val="000000"/>
                <w:sz w:val="19"/>
                <w:szCs w:val="19"/>
              </w:rPr>
              <w:t xml:space="preserve"> </w:t>
            </w:r>
          </w:p>
        </w:tc>
      </w:tr>
      <w:tr w:rsidR="00A011A6" w14:paraId="744F87B9" w14:textId="77777777" w:rsidTr="008E102A">
        <w:trPr>
          <w:trHeight w:val="510"/>
        </w:trPr>
        <w:tc>
          <w:tcPr>
            <w:tcW w:w="1597" w:type="dxa"/>
            <w:shd w:val="clear" w:color="auto" w:fill="E8E8E8"/>
          </w:tcPr>
          <w:p w14:paraId="3978F510" w14:textId="77777777" w:rsidR="00A011A6" w:rsidRDefault="00A011A6" w:rsidP="00055D0B">
            <w:pPr>
              <w:pBdr>
                <w:top w:val="nil"/>
                <w:left w:val="nil"/>
                <w:bottom w:val="nil"/>
                <w:right w:val="nil"/>
                <w:between w:val="nil"/>
              </w:pBdr>
              <w:spacing w:line="264" w:lineRule="auto"/>
              <w:ind w:left="107"/>
              <w:rPr>
                <w:color w:val="000000"/>
                <w:sz w:val="19"/>
                <w:szCs w:val="19"/>
              </w:rPr>
            </w:pPr>
            <w:r>
              <w:rPr>
                <w:color w:val="000000"/>
                <w:sz w:val="19"/>
                <w:szCs w:val="19"/>
              </w:rPr>
              <w:t>FP16</w:t>
            </w:r>
          </w:p>
          <w:p w14:paraId="02FEF846" w14:textId="4DC27E6D" w:rsidR="00A011A6" w:rsidRDefault="00A011A6" w:rsidP="00055D0B">
            <w:pPr>
              <w:pBdr>
                <w:top w:val="nil"/>
                <w:left w:val="nil"/>
                <w:bottom w:val="nil"/>
                <w:right w:val="nil"/>
                <w:between w:val="nil"/>
              </w:pBdr>
              <w:spacing w:line="264" w:lineRule="auto"/>
              <w:ind w:left="107"/>
              <w:rPr>
                <w:color w:val="000000"/>
                <w:sz w:val="19"/>
                <w:szCs w:val="19"/>
              </w:rPr>
            </w:pPr>
            <w:r>
              <w:rPr>
                <w:color w:val="000000"/>
                <w:sz w:val="19"/>
                <w:szCs w:val="19"/>
              </w:rPr>
              <w:t>Baseline</w:t>
            </w:r>
          </w:p>
        </w:tc>
        <w:tc>
          <w:tcPr>
            <w:tcW w:w="1767" w:type="dxa"/>
            <w:shd w:val="clear" w:color="auto" w:fill="F1F1F1"/>
          </w:tcPr>
          <w:p w14:paraId="0A8755F2" w14:textId="566AFDE2" w:rsidR="00A011A6" w:rsidRDefault="005357A6" w:rsidP="00055D0B">
            <w:pPr>
              <w:pBdr>
                <w:top w:val="nil"/>
                <w:left w:val="nil"/>
                <w:bottom w:val="nil"/>
                <w:right w:val="nil"/>
                <w:between w:val="nil"/>
              </w:pBdr>
              <w:ind w:left="107"/>
              <w:rPr>
                <w:color w:val="000000"/>
                <w:sz w:val="19"/>
                <w:szCs w:val="19"/>
              </w:rPr>
            </w:pPr>
            <w:r>
              <w:rPr>
                <w:color w:val="000000"/>
                <w:sz w:val="19"/>
                <w:szCs w:val="19"/>
              </w:rPr>
              <w:t>0.94</w:t>
            </w:r>
          </w:p>
        </w:tc>
        <w:tc>
          <w:tcPr>
            <w:tcW w:w="1444" w:type="dxa"/>
            <w:shd w:val="clear" w:color="auto" w:fill="F1F1F1"/>
          </w:tcPr>
          <w:p w14:paraId="04F8E775" w14:textId="66FB2EB5" w:rsidR="00A011A6" w:rsidRDefault="005357A6" w:rsidP="00055D0B">
            <w:pPr>
              <w:pBdr>
                <w:top w:val="nil"/>
                <w:left w:val="nil"/>
                <w:bottom w:val="nil"/>
                <w:right w:val="nil"/>
                <w:between w:val="nil"/>
              </w:pBdr>
              <w:spacing w:line="264" w:lineRule="auto"/>
              <w:ind w:left="130" w:right="288"/>
              <w:rPr>
                <w:color w:val="000000"/>
                <w:sz w:val="19"/>
                <w:szCs w:val="19"/>
              </w:rPr>
            </w:pPr>
            <w:r>
              <w:rPr>
                <w:color w:val="000000"/>
                <w:sz w:val="19"/>
                <w:szCs w:val="19"/>
              </w:rPr>
              <w:t>N/A</w:t>
            </w:r>
          </w:p>
        </w:tc>
      </w:tr>
      <w:tr w:rsidR="00A011A6" w14:paraId="610FD1AD" w14:textId="77777777" w:rsidTr="008E102A">
        <w:trPr>
          <w:trHeight w:val="417"/>
        </w:trPr>
        <w:tc>
          <w:tcPr>
            <w:tcW w:w="1597" w:type="dxa"/>
            <w:shd w:val="clear" w:color="auto" w:fill="E8E8E8"/>
          </w:tcPr>
          <w:p w14:paraId="2A16BD85" w14:textId="283ED02E" w:rsidR="00A011A6" w:rsidRDefault="00A011A6" w:rsidP="00055D0B">
            <w:pPr>
              <w:pBdr>
                <w:top w:val="nil"/>
                <w:left w:val="nil"/>
                <w:bottom w:val="nil"/>
                <w:right w:val="nil"/>
                <w:between w:val="nil"/>
              </w:pBdr>
              <w:spacing w:before="113" w:line="264" w:lineRule="auto"/>
              <w:ind w:left="107"/>
              <w:rPr>
                <w:color w:val="000000"/>
                <w:sz w:val="19"/>
                <w:szCs w:val="19"/>
              </w:rPr>
            </w:pPr>
            <w:r>
              <w:rPr>
                <w:color w:val="000000"/>
                <w:sz w:val="19"/>
                <w:szCs w:val="19"/>
              </w:rPr>
              <w:t>W8A16</w:t>
            </w:r>
          </w:p>
        </w:tc>
        <w:tc>
          <w:tcPr>
            <w:tcW w:w="1767" w:type="dxa"/>
            <w:shd w:val="clear" w:color="auto" w:fill="F1F1F1"/>
          </w:tcPr>
          <w:p w14:paraId="45714DCA" w14:textId="0A74492A" w:rsidR="00A011A6" w:rsidRDefault="005357A6" w:rsidP="00055D0B">
            <w:pPr>
              <w:pBdr>
                <w:top w:val="nil"/>
                <w:left w:val="nil"/>
                <w:bottom w:val="nil"/>
                <w:right w:val="nil"/>
                <w:between w:val="nil"/>
              </w:pBdr>
              <w:spacing w:before="113"/>
              <w:ind w:left="107"/>
              <w:rPr>
                <w:color w:val="000000"/>
                <w:sz w:val="19"/>
                <w:szCs w:val="19"/>
              </w:rPr>
            </w:pPr>
            <w:r>
              <w:rPr>
                <w:color w:val="000000"/>
                <w:sz w:val="19"/>
                <w:szCs w:val="19"/>
              </w:rPr>
              <w:t>0.953</w:t>
            </w:r>
          </w:p>
        </w:tc>
        <w:tc>
          <w:tcPr>
            <w:tcW w:w="1444" w:type="dxa"/>
            <w:shd w:val="clear" w:color="auto" w:fill="F1F1F1"/>
          </w:tcPr>
          <w:p w14:paraId="26C21A3F" w14:textId="1B89C22A" w:rsidR="00A011A6" w:rsidRDefault="005357A6" w:rsidP="00055D0B">
            <w:pPr>
              <w:pBdr>
                <w:top w:val="nil"/>
                <w:left w:val="nil"/>
                <w:bottom w:val="nil"/>
                <w:right w:val="nil"/>
                <w:between w:val="nil"/>
              </w:pBdr>
              <w:spacing w:before="113"/>
              <w:ind w:left="130"/>
              <w:rPr>
                <w:color w:val="000000"/>
                <w:sz w:val="19"/>
                <w:szCs w:val="19"/>
              </w:rPr>
            </w:pPr>
            <w:r w:rsidRPr="005357A6">
              <w:rPr>
                <w:color w:val="000000"/>
                <w:sz w:val="19"/>
                <w:szCs w:val="19"/>
              </w:rPr>
              <w:t>0.002601</w:t>
            </w:r>
          </w:p>
        </w:tc>
      </w:tr>
      <w:tr w:rsidR="00A011A6" w14:paraId="6BF7A383" w14:textId="77777777" w:rsidTr="008E102A">
        <w:trPr>
          <w:trHeight w:val="595"/>
        </w:trPr>
        <w:tc>
          <w:tcPr>
            <w:tcW w:w="1597" w:type="dxa"/>
            <w:shd w:val="clear" w:color="auto" w:fill="E8E8E8"/>
          </w:tcPr>
          <w:p w14:paraId="5B906A45" w14:textId="7090CE08" w:rsidR="00A011A6" w:rsidRDefault="00A011A6" w:rsidP="00055D0B">
            <w:pPr>
              <w:pBdr>
                <w:top w:val="nil"/>
                <w:left w:val="nil"/>
                <w:bottom w:val="nil"/>
                <w:right w:val="nil"/>
                <w:between w:val="nil"/>
              </w:pBdr>
              <w:spacing w:before="113" w:line="264" w:lineRule="auto"/>
              <w:ind w:left="107"/>
              <w:rPr>
                <w:color w:val="000000"/>
                <w:sz w:val="19"/>
                <w:szCs w:val="19"/>
              </w:rPr>
            </w:pPr>
            <w:r>
              <w:rPr>
                <w:color w:val="000000"/>
                <w:sz w:val="19"/>
                <w:szCs w:val="19"/>
              </w:rPr>
              <w:t>A8A16</w:t>
            </w:r>
          </w:p>
        </w:tc>
        <w:tc>
          <w:tcPr>
            <w:tcW w:w="1767" w:type="dxa"/>
            <w:shd w:val="clear" w:color="auto" w:fill="F1F1F1"/>
          </w:tcPr>
          <w:p w14:paraId="4E49C81C" w14:textId="72DF4DEB" w:rsidR="00A011A6" w:rsidRDefault="005357A6" w:rsidP="00055D0B">
            <w:pPr>
              <w:pBdr>
                <w:top w:val="nil"/>
                <w:left w:val="nil"/>
                <w:bottom w:val="nil"/>
                <w:right w:val="nil"/>
                <w:between w:val="nil"/>
              </w:pBdr>
              <w:spacing w:before="113"/>
              <w:ind w:left="107"/>
              <w:rPr>
                <w:color w:val="000000"/>
                <w:sz w:val="19"/>
                <w:szCs w:val="19"/>
              </w:rPr>
            </w:pPr>
            <w:r>
              <w:rPr>
                <w:color w:val="000000"/>
                <w:sz w:val="19"/>
                <w:szCs w:val="19"/>
              </w:rPr>
              <w:t>0.96</w:t>
            </w:r>
          </w:p>
        </w:tc>
        <w:tc>
          <w:tcPr>
            <w:tcW w:w="1444" w:type="dxa"/>
            <w:shd w:val="clear" w:color="auto" w:fill="F1F1F1"/>
          </w:tcPr>
          <w:p w14:paraId="7F8EBB5A" w14:textId="32502BFA" w:rsidR="00A011A6" w:rsidRDefault="005357A6" w:rsidP="00055D0B">
            <w:pPr>
              <w:pBdr>
                <w:top w:val="nil"/>
                <w:left w:val="nil"/>
                <w:bottom w:val="nil"/>
                <w:right w:val="nil"/>
                <w:between w:val="nil"/>
              </w:pBdr>
              <w:spacing w:before="113"/>
              <w:ind w:left="130"/>
              <w:rPr>
                <w:color w:val="000000"/>
                <w:sz w:val="19"/>
                <w:szCs w:val="19"/>
              </w:rPr>
            </w:pPr>
            <w:r w:rsidRPr="005357A6">
              <w:rPr>
                <w:color w:val="000000"/>
                <w:sz w:val="19"/>
                <w:szCs w:val="19"/>
              </w:rPr>
              <w:t>0.001582</w:t>
            </w:r>
          </w:p>
        </w:tc>
      </w:tr>
      <w:tr w:rsidR="00A011A6" w14:paraId="157CFE02" w14:textId="77777777" w:rsidTr="008E102A">
        <w:trPr>
          <w:trHeight w:val="467"/>
        </w:trPr>
        <w:tc>
          <w:tcPr>
            <w:tcW w:w="1597" w:type="dxa"/>
            <w:tcBorders>
              <w:bottom w:val="single" w:sz="4" w:space="0" w:color="000000"/>
            </w:tcBorders>
            <w:shd w:val="clear" w:color="auto" w:fill="D1D1D1"/>
          </w:tcPr>
          <w:p w14:paraId="36EBB230" w14:textId="14CC8B39" w:rsidR="00A011A6" w:rsidRDefault="00A011A6" w:rsidP="00055D0B">
            <w:pPr>
              <w:pBdr>
                <w:top w:val="nil"/>
                <w:left w:val="nil"/>
                <w:bottom w:val="nil"/>
                <w:right w:val="nil"/>
                <w:between w:val="nil"/>
              </w:pBdr>
              <w:ind w:left="107"/>
              <w:rPr>
                <w:color w:val="000000"/>
                <w:sz w:val="19"/>
                <w:szCs w:val="19"/>
              </w:rPr>
            </w:pPr>
            <w:r>
              <w:rPr>
                <w:color w:val="000000"/>
                <w:sz w:val="19"/>
                <w:szCs w:val="19"/>
              </w:rPr>
              <w:t>W8A8</w:t>
            </w:r>
          </w:p>
        </w:tc>
        <w:tc>
          <w:tcPr>
            <w:tcW w:w="1767" w:type="dxa"/>
            <w:tcBorders>
              <w:bottom w:val="single" w:sz="4" w:space="0" w:color="000000"/>
            </w:tcBorders>
            <w:shd w:val="clear" w:color="auto" w:fill="E8E8E8"/>
          </w:tcPr>
          <w:p w14:paraId="0B1FBB33" w14:textId="5813D892" w:rsidR="00A011A6" w:rsidRDefault="005357A6" w:rsidP="00055D0B">
            <w:pPr>
              <w:pBdr>
                <w:top w:val="nil"/>
                <w:left w:val="nil"/>
                <w:bottom w:val="nil"/>
                <w:right w:val="nil"/>
                <w:between w:val="nil"/>
              </w:pBdr>
              <w:ind w:left="107"/>
              <w:rPr>
                <w:color w:val="000000"/>
                <w:sz w:val="19"/>
                <w:szCs w:val="19"/>
              </w:rPr>
            </w:pPr>
            <w:r>
              <w:rPr>
                <w:color w:val="000000"/>
                <w:sz w:val="19"/>
                <w:szCs w:val="19"/>
              </w:rPr>
              <w:t>0.96</w:t>
            </w:r>
          </w:p>
        </w:tc>
        <w:tc>
          <w:tcPr>
            <w:tcW w:w="1444" w:type="dxa"/>
            <w:tcBorders>
              <w:bottom w:val="single" w:sz="4" w:space="0" w:color="000000"/>
            </w:tcBorders>
            <w:shd w:val="clear" w:color="auto" w:fill="E8E8E8"/>
          </w:tcPr>
          <w:p w14:paraId="5B5D4C3F" w14:textId="66CF0FF0" w:rsidR="00A011A6" w:rsidRDefault="005357A6" w:rsidP="00055D0B">
            <w:pPr>
              <w:pBdr>
                <w:top w:val="nil"/>
                <w:left w:val="nil"/>
                <w:bottom w:val="nil"/>
                <w:right w:val="nil"/>
                <w:between w:val="nil"/>
              </w:pBdr>
              <w:ind w:left="130"/>
              <w:rPr>
                <w:color w:val="000000"/>
                <w:sz w:val="19"/>
                <w:szCs w:val="19"/>
              </w:rPr>
            </w:pPr>
            <w:r w:rsidRPr="005357A6">
              <w:rPr>
                <w:color w:val="000000"/>
                <w:sz w:val="19"/>
                <w:szCs w:val="19"/>
              </w:rPr>
              <w:t>0.002784</w:t>
            </w:r>
          </w:p>
        </w:tc>
      </w:tr>
    </w:tbl>
    <w:p w14:paraId="5C3909FF" w14:textId="065685DC" w:rsidR="0027378B" w:rsidRDefault="00F85AC9" w:rsidP="00840C84">
      <w:pPr>
        <w:pBdr>
          <w:top w:val="nil"/>
          <w:left w:val="nil"/>
          <w:bottom w:val="nil"/>
          <w:right w:val="nil"/>
          <w:between w:val="nil"/>
        </w:pBdr>
        <w:spacing w:before="213" w:line="264" w:lineRule="auto"/>
        <w:ind w:left="96" w:right="38" w:hanging="10"/>
        <w:jc w:val="both"/>
        <w:rPr>
          <w:color w:val="000000" w:themeColor="text1"/>
          <w:sz w:val="19"/>
          <w:szCs w:val="19"/>
          <w:lang w:val="en-AU"/>
        </w:rPr>
      </w:pPr>
      <w:r w:rsidRPr="00F85AC9">
        <w:rPr>
          <w:color w:val="000000" w:themeColor="text1"/>
          <w:sz w:val="19"/>
          <w:szCs w:val="19"/>
          <w:lang w:val="en-AU"/>
        </w:rPr>
        <w:t>Meanwhile, with our various timestep-window setups, accuracy became as high as 9</w:t>
      </w:r>
      <w:r w:rsidR="00272D59">
        <w:rPr>
          <w:color w:val="000000" w:themeColor="text1"/>
          <w:sz w:val="19"/>
          <w:szCs w:val="19"/>
          <w:lang w:val="en-AU"/>
        </w:rPr>
        <w:t>6</w:t>
      </w:r>
      <w:r w:rsidRPr="00F85AC9">
        <w:rPr>
          <w:color w:val="000000" w:themeColor="text1"/>
          <w:sz w:val="19"/>
          <w:szCs w:val="19"/>
          <w:lang w:val="en-AU"/>
        </w:rPr>
        <w:t xml:space="preserve">% when using the full timestep window, but there were not many clear findings regarding whether W8A8, W8A16, or W16A8 was used (Table </w:t>
      </w:r>
      <w:r w:rsidR="00B71F34">
        <w:rPr>
          <w:color w:val="000000" w:themeColor="text1"/>
          <w:sz w:val="19"/>
          <w:szCs w:val="19"/>
          <w:lang w:val="en-AU"/>
        </w:rPr>
        <w:t>I</w:t>
      </w:r>
      <w:r w:rsidRPr="00F85AC9">
        <w:rPr>
          <w:color w:val="000000" w:themeColor="text1"/>
          <w:sz w:val="19"/>
          <w:szCs w:val="19"/>
          <w:lang w:val="en-AU"/>
        </w:rPr>
        <w:t xml:space="preserve">). This could be because this experiment was only conducted on the LIBERO-Goal suite, as the smoke test for the main experiment indicated that it was the only suite showing significant accuracy differences when the combined experiments quantized the entire </w:t>
      </w:r>
      <w:r w:rsidR="006E3C2D">
        <w:rPr>
          <w:color w:val="000000" w:themeColor="text1"/>
          <w:sz w:val="19"/>
          <w:szCs w:val="19"/>
          <w:lang w:val="en-AU"/>
        </w:rPr>
        <w:t>130</w:t>
      </w:r>
      <w:r w:rsidRPr="00F85AC9">
        <w:rPr>
          <w:color w:val="000000" w:themeColor="text1"/>
          <w:sz w:val="19"/>
          <w:szCs w:val="19"/>
          <w:lang w:val="en-AU"/>
        </w:rPr>
        <w:t xml:space="preserve"> layers with W8A16 quantization.</w:t>
      </w:r>
      <w:r w:rsidR="00272D59">
        <w:rPr>
          <w:color w:val="000000" w:themeColor="text1"/>
          <w:sz w:val="19"/>
          <w:szCs w:val="19"/>
          <w:lang w:val="en-AU"/>
        </w:rPr>
        <w:t xml:space="preserve"> </w:t>
      </w:r>
    </w:p>
    <w:p w14:paraId="3214DF1E" w14:textId="723EAD54" w:rsidR="0027378B" w:rsidRDefault="00EC17BB" w:rsidP="00840C84">
      <w:pPr>
        <w:pBdr>
          <w:top w:val="nil"/>
          <w:left w:val="nil"/>
          <w:bottom w:val="nil"/>
          <w:right w:val="nil"/>
          <w:between w:val="nil"/>
        </w:pBdr>
        <w:spacing w:before="213" w:line="264" w:lineRule="auto"/>
        <w:ind w:left="96" w:right="38" w:hanging="10"/>
        <w:jc w:val="both"/>
        <w:rPr>
          <w:color w:val="000000" w:themeColor="text1"/>
          <w:sz w:val="19"/>
          <w:szCs w:val="19"/>
          <w:lang w:val="en-AU"/>
        </w:rPr>
      </w:pPr>
      <w:r>
        <w:rPr>
          <w:color w:val="000000" w:themeColor="text1"/>
          <w:sz w:val="19"/>
          <w:szCs w:val="19"/>
          <w:lang w:val="en-AU"/>
        </w:rPr>
        <w:lastRenderedPageBreak/>
        <w:t>Next</w:t>
      </w:r>
      <w:r w:rsidR="0027378B">
        <w:rPr>
          <w:color w:val="000000" w:themeColor="text1"/>
          <w:sz w:val="19"/>
          <w:szCs w:val="19"/>
          <w:lang w:val="en-AU"/>
        </w:rPr>
        <w:t>, u</w:t>
      </w:r>
      <w:r w:rsidR="0027378B" w:rsidRPr="0027378B">
        <w:rPr>
          <w:color w:val="000000" w:themeColor="text1"/>
          <w:sz w:val="19"/>
          <w:szCs w:val="19"/>
          <w:lang w:val="en-AU"/>
        </w:rPr>
        <w:t xml:space="preserve">nder the W8A16 quantized setting, the effect of flow-window coverage </w:t>
      </w:r>
      <w:r w:rsidR="0001557E">
        <w:rPr>
          <w:color w:val="000000" w:themeColor="text1"/>
          <w:sz w:val="19"/>
          <w:szCs w:val="19"/>
          <w:lang w:val="en-AU"/>
        </w:rPr>
        <w:t xml:space="preserve">(Table II) </w:t>
      </w:r>
      <w:r w:rsidR="0027378B" w:rsidRPr="0027378B">
        <w:rPr>
          <w:color w:val="000000" w:themeColor="text1"/>
          <w:sz w:val="19"/>
          <w:szCs w:val="19"/>
          <w:lang w:val="en-AU"/>
        </w:rPr>
        <w:t>shows a slight upward trend as the quantized window becomes larger. Although the mean RMS drift increases with wider flow coverage, this higher numerical drift does not directly translate into lower task success. Instead, the larger-window settings achieve equal or better success</w:t>
      </w:r>
      <w:r w:rsidR="00F44382">
        <w:rPr>
          <w:color w:val="000000" w:themeColor="text1"/>
          <w:sz w:val="19"/>
          <w:szCs w:val="19"/>
          <w:lang w:val="en-AU"/>
        </w:rPr>
        <w:t xml:space="preserve"> in </w:t>
      </w:r>
      <w:r w:rsidR="00F44382" w:rsidRPr="0027378B">
        <w:rPr>
          <w:color w:val="000000" w:themeColor="text1"/>
          <w:sz w:val="19"/>
          <w:szCs w:val="19"/>
          <w:lang w:val="en-AU"/>
        </w:rPr>
        <w:t>LIBERO</w:t>
      </w:r>
      <w:r w:rsidR="00F44382">
        <w:rPr>
          <w:color w:val="000000" w:themeColor="text1"/>
          <w:sz w:val="19"/>
          <w:szCs w:val="19"/>
          <w:lang w:val="en-AU"/>
        </w:rPr>
        <w:t>_</w:t>
      </w:r>
      <w:r w:rsidR="00F44382" w:rsidRPr="0027378B">
        <w:rPr>
          <w:color w:val="000000" w:themeColor="text1"/>
          <w:sz w:val="19"/>
          <w:szCs w:val="19"/>
          <w:lang w:val="en-AU"/>
        </w:rPr>
        <w:t>Goal</w:t>
      </w:r>
      <w:r w:rsidR="0027378B" w:rsidRPr="0027378B">
        <w:rPr>
          <w:color w:val="000000" w:themeColor="text1"/>
          <w:sz w:val="19"/>
          <w:szCs w:val="19"/>
          <w:lang w:val="en-AU"/>
        </w:rPr>
        <w:t xml:space="preserve">, suggesting that drift magnitude alone is not sufficient to explain </w:t>
      </w:r>
      <w:r w:rsidR="00196FAC" w:rsidRPr="0027378B">
        <w:rPr>
          <w:color w:val="000000" w:themeColor="text1"/>
          <w:sz w:val="19"/>
          <w:szCs w:val="19"/>
          <w:lang w:val="en-AU"/>
        </w:rPr>
        <w:t>behavioural</w:t>
      </w:r>
      <w:r w:rsidR="0027378B" w:rsidRPr="0027378B">
        <w:rPr>
          <w:color w:val="000000" w:themeColor="text1"/>
          <w:sz w:val="19"/>
          <w:szCs w:val="19"/>
          <w:lang w:val="en-AU"/>
        </w:rPr>
        <w:t xml:space="preserve"> degradation. In this case, broader quantization appears to be </w:t>
      </w:r>
      <w:r w:rsidR="00196FAC" w:rsidRPr="0027378B">
        <w:rPr>
          <w:color w:val="000000" w:themeColor="text1"/>
          <w:sz w:val="19"/>
          <w:szCs w:val="19"/>
          <w:lang w:val="en-AU"/>
        </w:rPr>
        <w:t>tolerated and</w:t>
      </w:r>
      <w:r w:rsidR="0027378B" w:rsidRPr="0027378B">
        <w:rPr>
          <w:color w:val="000000" w:themeColor="text1"/>
          <w:sz w:val="19"/>
          <w:szCs w:val="19"/>
          <w:lang w:val="en-AU"/>
        </w:rPr>
        <w:t xml:space="preserve"> may even stabilize execution compared with narrower timestep windows.</w:t>
      </w:r>
    </w:p>
    <w:p w14:paraId="6BA0F9BF" w14:textId="33EF2034" w:rsidR="00CB4EA8" w:rsidRPr="00BD08BC" w:rsidRDefault="00CB4EA8" w:rsidP="00CB4EA8">
      <w:pPr>
        <w:spacing w:before="240" w:after="240" w:line="264" w:lineRule="auto"/>
        <w:jc w:val="center"/>
        <w:rPr>
          <w:sz w:val="16"/>
          <w:szCs w:val="16"/>
        </w:rPr>
      </w:pPr>
      <w:r>
        <w:rPr>
          <w:sz w:val="16"/>
          <w:szCs w:val="16"/>
        </w:rPr>
        <w:t>TABLE I</w:t>
      </w:r>
      <w:r>
        <w:rPr>
          <w:sz w:val="16"/>
          <w:szCs w:val="16"/>
        </w:rPr>
        <w:t>I</w:t>
      </w:r>
    </w:p>
    <w:p w14:paraId="41ECFE9C" w14:textId="6F0C0832" w:rsidR="00CB4EA8" w:rsidRDefault="00CB4EA8" w:rsidP="00CB4EA8">
      <w:pPr>
        <w:ind w:left="605"/>
        <w:jc w:val="center"/>
        <w:rPr>
          <w:sz w:val="16"/>
          <w:szCs w:val="16"/>
        </w:rPr>
      </w:pPr>
      <w:r w:rsidRPr="00B13E05">
        <w:rPr>
          <w:sz w:val="16"/>
          <w:szCs w:val="16"/>
          <w:lang w:val="en-AU"/>
        </w:rPr>
        <w:t xml:space="preserve">Table </w:t>
      </w:r>
      <w:r>
        <w:rPr>
          <w:sz w:val="16"/>
          <w:szCs w:val="16"/>
          <w:lang w:val="en-AU"/>
        </w:rPr>
        <w:t xml:space="preserve">2. </w:t>
      </w:r>
      <w:r w:rsidRPr="00CB4EA8">
        <w:rPr>
          <w:sz w:val="16"/>
          <w:szCs w:val="16"/>
          <w:lang w:val="en-AU"/>
        </w:rPr>
        <w:t xml:space="preserve">Effect of Flow-Window Coverage on LIBERO-Goal Performance </w:t>
      </w:r>
    </w:p>
    <w:p w14:paraId="1999FEB6" w14:textId="21BBA020" w:rsidR="00CB4EA8" w:rsidRDefault="00CB4EA8" w:rsidP="00CB4EA8">
      <w:pPr>
        <w:ind w:left="605"/>
        <w:jc w:val="center"/>
        <w:rPr>
          <w:sz w:val="16"/>
          <w:szCs w:val="16"/>
        </w:rPr>
      </w:pPr>
    </w:p>
    <w:p w14:paraId="43CD5C5E" w14:textId="77777777" w:rsidR="00CB4EA8" w:rsidRDefault="00CB4EA8" w:rsidP="00CB4EA8">
      <w:pPr>
        <w:pBdr>
          <w:top w:val="nil"/>
          <w:left w:val="nil"/>
          <w:bottom w:val="nil"/>
          <w:right w:val="nil"/>
          <w:between w:val="nil"/>
        </w:pBdr>
        <w:spacing w:before="5" w:after="1"/>
        <w:rPr>
          <w:color w:val="000000"/>
          <w:sz w:val="18"/>
          <w:szCs w:val="18"/>
        </w:rPr>
      </w:pPr>
    </w:p>
    <w:tbl>
      <w:tblPr>
        <w:tblW w:w="4808" w:type="dxa"/>
        <w:jc w:val="center"/>
        <w:tblLayout w:type="fixed"/>
        <w:tblLook w:val="0000" w:firstRow="0" w:lastRow="0" w:firstColumn="0" w:lastColumn="0" w:noHBand="0" w:noVBand="0"/>
      </w:tblPr>
      <w:tblGrid>
        <w:gridCol w:w="1597"/>
        <w:gridCol w:w="1767"/>
        <w:gridCol w:w="1444"/>
      </w:tblGrid>
      <w:tr w:rsidR="00CB4EA8" w14:paraId="7FBE6F7B" w14:textId="77777777" w:rsidTr="008E102A">
        <w:trPr>
          <w:trHeight w:val="536"/>
          <w:jc w:val="center"/>
        </w:trPr>
        <w:tc>
          <w:tcPr>
            <w:tcW w:w="1597" w:type="dxa"/>
            <w:tcBorders>
              <w:top w:val="single" w:sz="4" w:space="0" w:color="000000"/>
            </w:tcBorders>
            <w:shd w:val="clear" w:color="auto" w:fill="D1D1D1"/>
          </w:tcPr>
          <w:p w14:paraId="385D4A3B" w14:textId="77777777" w:rsidR="00CB4EA8" w:rsidRDefault="00CB4EA8" w:rsidP="00055D0B">
            <w:pPr>
              <w:pBdr>
                <w:top w:val="nil"/>
                <w:left w:val="nil"/>
                <w:bottom w:val="nil"/>
                <w:right w:val="nil"/>
                <w:between w:val="nil"/>
              </w:pBdr>
              <w:ind w:left="107"/>
              <w:rPr>
                <w:color w:val="000000"/>
                <w:sz w:val="19"/>
                <w:szCs w:val="19"/>
              </w:rPr>
            </w:pPr>
            <w:r>
              <w:rPr>
                <w:color w:val="000000"/>
                <w:sz w:val="19"/>
                <w:szCs w:val="19"/>
              </w:rPr>
              <w:t>Target16</w:t>
            </w:r>
          </w:p>
        </w:tc>
        <w:tc>
          <w:tcPr>
            <w:tcW w:w="1767" w:type="dxa"/>
            <w:tcBorders>
              <w:top w:val="single" w:sz="4" w:space="0" w:color="000000"/>
            </w:tcBorders>
            <w:shd w:val="clear" w:color="auto" w:fill="E8E8E8"/>
          </w:tcPr>
          <w:p w14:paraId="6DF5893B" w14:textId="77777777" w:rsidR="00CB4EA8" w:rsidRDefault="00CB4EA8" w:rsidP="00055D0B">
            <w:pPr>
              <w:pBdr>
                <w:top w:val="nil"/>
                <w:left w:val="nil"/>
                <w:bottom w:val="nil"/>
                <w:right w:val="nil"/>
                <w:between w:val="nil"/>
              </w:pBdr>
              <w:ind w:left="107"/>
              <w:rPr>
                <w:color w:val="000000"/>
                <w:sz w:val="19"/>
                <w:szCs w:val="19"/>
              </w:rPr>
            </w:pPr>
            <w:r>
              <w:rPr>
                <w:color w:val="000000"/>
                <w:sz w:val="19"/>
                <w:szCs w:val="19"/>
              </w:rPr>
              <w:t>Accuracy</w:t>
            </w:r>
          </w:p>
        </w:tc>
        <w:tc>
          <w:tcPr>
            <w:tcW w:w="1444" w:type="dxa"/>
            <w:tcBorders>
              <w:top w:val="single" w:sz="4" w:space="0" w:color="000000"/>
            </w:tcBorders>
            <w:shd w:val="clear" w:color="auto" w:fill="E8E8E8"/>
          </w:tcPr>
          <w:p w14:paraId="7F9E876D" w14:textId="5AA16F2D" w:rsidR="00CB4EA8" w:rsidRDefault="00CB4EA8" w:rsidP="00055D0B">
            <w:pPr>
              <w:pBdr>
                <w:top w:val="nil"/>
                <w:left w:val="nil"/>
                <w:bottom w:val="nil"/>
                <w:right w:val="nil"/>
                <w:between w:val="nil"/>
              </w:pBdr>
              <w:ind w:left="130"/>
              <w:rPr>
                <w:color w:val="000000"/>
                <w:sz w:val="19"/>
                <w:szCs w:val="19"/>
              </w:rPr>
            </w:pPr>
            <w:r>
              <w:rPr>
                <w:color w:val="000000"/>
                <w:sz w:val="19"/>
                <w:szCs w:val="19"/>
              </w:rPr>
              <w:t>Mean RMS Dri</w:t>
            </w:r>
            <w:r w:rsidR="00806D5D">
              <w:rPr>
                <w:color w:val="000000"/>
                <w:sz w:val="19"/>
                <w:szCs w:val="19"/>
              </w:rPr>
              <w:t>ft to FP</w:t>
            </w:r>
          </w:p>
        </w:tc>
      </w:tr>
      <w:tr w:rsidR="00CB4EA8" w14:paraId="40408006" w14:textId="77777777" w:rsidTr="008E102A">
        <w:trPr>
          <w:trHeight w:val="510"/>
          <w:jc w:val="center"/>
        </w:trPr>
        <w:tc>
          <w:tcPr>
            <w:tcW w:w="1597" w:type="dxa"/>
            <w:shd w:val="clear" w:color="auto" w:fill="E8E8E8"/>
          </w:tcPr>
          <w:p w14:paraId="47C7D0DF" w14:textId="77777777" w:rsidR="00CB4EA8" w:rsidRDefault="00CB4EA8" w:rsidP="00055D0B">
            <w:pPr>
              <w:pBdr>
                <w:top w:val="nil"/>
                <w:left w:val="nil"/>
                <w:bottom w:val="nil"/>
                <w:right w:val="nil"/>
                <w:between w:val="nil"/>
              </w:pBdr>
              <w:spacing w:line="264" w:lineRule="auto"/>
              <w:ind w:left="107"/>
              <w:rPr>
                <w:color w:val="000000"/>
                <w:sz w:val="19"/>
                <w:szCs w:val="19"/>
              </w:rPr>
            </w:pPr>
            <w:r>
              <w:rPr>
                <w:color w:val="000000"/>
                <w:sz w:val="19"/>
                <w:szCs w:val="19"/>
              </w:rPr>
              <w:t>FP16</w:t>
            </w:r>
          </w:p>
          <w:p w14:paraId="57A4D958" w14:textId="77777777" w:rsidR="00CB4EA8" w:rsidRDefault="00CB4EA8" w:rsidP="00055D0B">
            <w:pPr>
              <w:pBdr>
                <w:top w:val="nil"/>
                <w:left w:val="nil"/>
                <w:bottom w:val="nil"/>
                <w:right w:val="nil"/>
                <w:between w:val="nil"/>
              </w:pBdr>
              <w:spacing w:line="264" w:lineRule="auto"/>
              <w:ind w:left="107"/>
              <w:rPr>
                <w:color w:val="000000"/>
                <w:sz w:val="19"/>
                <w:szCs w:val="19"/>
              </w:rPr>
            </w:pPr>
            <w:r>
              <w:rPr>
                <w:color w:val="000000"/>
                <w:sz w:val="19"/>
                <w:szCs w:val="19"/>
              </w:rPr>
              <w:t>Baseline</w:t>
            </w:r>
          </w:p>
        </w:tc>
        <w:tc>
          <w:tcPr>
            <w:tcW w:w="1767" w:type="dxa"/>
            <w:shd w:val="clear" w:color="auto" w:fill="F1F1F1"/>
          </w:tcPr>
          <w:p w14:paraId="6A32F91B" w14:textId="77777777" w:rsidR="00CB4EA8" w:rsidRDefault="00CB4EA8" w:rsidP="00055D0B">
            <w:pPr>
              <w:pBdr>
                <w:top w:val="nil"/>
                <w:left w:val="nil"/>
                <w:bottom w:val="nil"/>
                <w:right w:val="nil"/>
                <w:between w:val="nil"/>
              </w:pBdr>
              <w:ind w:left="107"/>
              <w:rPr>
                <w:color w:val="000000"/>
                <w:sz w:val="19"/>
                <w:szCs w:val="19"/>
              </w:rPr>
            </w:pPr>
            <w:r>
              <w:rPr>
                <w:color w:val="000000"/>
                <w:sz w:val="19"/>
                <w:szCs w:val="19"/>
              </w:rPr>
              <w:t>0.94</w:t>
            </w:r>
          </w:p>
        </w:tc>
        <w:tc>
          <w:tcPr>
            <w:tcW w:w="1444" w:type="dxa"/>
            <w:shd w:val="clear" w:color="auto" w:fill="F1F1F1"/>
          </w:tcPr>
          <w:p w14:paraId="408B6F7A" w14:textId="77777777" w:rsidR="00CB4EA8" w:rsidRDefault="00CB4EA8" w:rsidP="00055D0B">
            <w:pPr>
              <w:pBdr>
                <w:top w:val="nil"/>
                <w:left w:val="nil"/>
                <w:bottom w:val="nil"/>
                <w:right w:val="nil"/>
                <w:between w:val="nil"/>
              </w:pBdr>
              <w:spacing w:line="264" w:lineRule="auto"/>
              <w:ind w:left="130" w:right="288"/>
              <w:rPr>
                <w:color w:val="000000"/>
                <w:sz w:val="19"/>
                <w:szCs w:val="19"/>
              </w:rPr>
            </w:pPr>
            <w:r>
              <w:rPr>
                <w:color w:val="000000"/>
                <w:sz w:val="19"/>
                <w:szCs w:val="19"/>
              </w:rPr>
              <w:t>N/A</w:t>
            </w:r>
          </w:p>
        </w:tc>
      </w:tr>
      <w:tr w:rsidR="00CB4EA8" w14:paraId="56D170AC" w14:textId="77777777" w:rsidTr="008E102A">
        <w:trPr>
          <w:trHeight w:val="417"/>
          <w:jc w:val="center"/>
        </w:trPr>
        <w:tc>
          <w:tcPr>
            <w:tcW w:w="1597" w:type="dxa"/>
            <w:shd w:val="clear" w:color="auto" w:fill="E8E8E8"/>
          </w:tcPr>
          <w:p w14:paraId="057C44D1" w14:textId="7BE97B89" w:rsidR="00CB4EA8" w:rsidRDefault="00A432E5" w:rsidP="00055D0B">
            <w:pPr>
              <w:pBdr>
                <w:top w:val="nil"/>
                <w:left w:val="nil"/>
                <w:bottom w:val="nil"/>
                <w:right w:val="nil"/>
                <w:between w:val="nil"/>
              </w:pBdr>
              <w:spacing w:before="113" w:line="264" w:lineRule="auto"/>
              <w:ind w:left="107"/>
              <w:rPr>
                <w:color w:val="000000"/>
                <w:sz w:val="19"/>
                <w:szCs w:val="19"/>
              </w:rPr>
            </w:pPr>
            <w:r>
              <w:rPr>
                <w:color w:val="000000"/>
                <w:sz w:val="19"/>
                <w:szCs w:val="19"/>
              </w:rPr>
              <w:t>24-31</w:t>
            </w:r>
          </w:p>
        </w:tc>
        <w:tc>
          <w:tcPr>
            <w:tcW w:w="1767" w:type="dxa"/>
            <w:shd w:val="clear" w:color="auto" w:fill="F1F1F1"/>
          </w:tcPr>
          <w:p w14:paraId="0B68C937" w14:textId="6243367C" w:rsidR="00CB4EA8" w:rsidRDefault="00CB4EA8" w:rsidP="00055D0B">
            <w:pPr>
              <w:pBdr>
                <w:top w:val="nil"/>
                <w:left w:val="nil"/>
                <w:bottom w:val="nil"/>
                <w:right w:val="nil"/>
                <w:between w:val="nil"/>
              </w:pBdr>
              <w:spacing w:before="113"/>
              <w:ind w:left="107"/>
              <w:rPr>
                <w:color w:val="000000"/>
                <w:sz w:val="19"/>
                <w:szCs w:val="19"/>
              </w:rPr>
            </w:pPr>
            <w:r>
              <w:rPr>
                <w:color w:val="000000"/>
                <w:sz w:val="19"/>
                <w:szCs w:val="19"/>
              </w:rPr>
              <w:t>0.9</w:t>
            </w:r>
            <w:r w:rsidR="00123027">
              <w:rPr>
                <w:color w:val="000000"/>
                <w:sz w:val="19"/>
                <w:szCs w:val="19"/>
              </w:rPr>
              <w:t>4</w:t>
            </w:r>
          </w:p>
        </w:tc>
        <w:tc>
          <w:tcPr>
            <w:tcW w:w="1444" w:type="dxa"/>
            <w:shd w:val="clear" w:color="auto" w:fill="F1F1F1"/>
          </w:tcPr>
          <w:p w14:paraId="4DFBFACD" w14:textId="281E0C5A" w:rsidR="00CB4EA8" w:rsidRDefault="00806D5D" w:rsidP="00055D0B">
            <w:pPr>
              <w:pBdr>
                <w:top w:val="nil"/>
                <w:left w:val="nil"/>
                <w:bottom w:val="nil"/>
                <w:right w:val="nil"/>
                <w:between w:val="nil"/>
              </w:pBdr>
              <w:spacing w:before="113"/>
              <w:ind w:left="130"/>
              <w:rPr>
                <w:color w:val="000000"/>
                <w:sz w:val="19"/>
                <w:szCs w:val="19"/>
              </w:rPr>
            </w:pPr>
            <w:r w:rsidRPr="00806D5D">
              <w:rPr>
                <w:color w:val="000000"/>
                <w:sz w:val="19"/>
                <w:szCs w:val="19"/>
              </w:rPr>
              <w:t>0.001857</w:t>
            </w:r>
          </w:p>
        </w:tc>
      </w:tr>
      <w:tr w:rsidR="00CB4EA8" w14:paraId="384E33E5" w14:textId="77777777" w:rsidTr="008E102A">
        <w:trPr>
          <w:trHeight w:val="595"/>
          <w:jc w:val="center"/>
        </w:trPr>
        <w:tc>
          <w:tcPr>
            <w:tcW w:w="1597" w:type="dxa"/>
            <w:shd w:val="clear" w:color="auto" w:fill="E8E8E8"/>
          </w:tcPr>
          <w:p w14:paraId="3BDC6D65" w14:textId="348F8D5C" w:rsidR="00CB4EA8" w:rsidRDefault="00A432E5" w:rsidP="00055D0B">
            <w:pPr>
              <w:pBdr>
                <w:top w:val="nil"/>
                <w:left w:val="nil"/>
                <w:bottom w:val="nil"/>
                <w:right w:val="nil"/>
                <w:between w:val="nil"/>
              </w:pBdr>
              <w:spacing w:before="113" w:line="264" w:lineRule="auto"/>
              <w:ind w:left="107"/>
              <w:rPr>
                <w:color w:val="000000"/>
                <w:sz w:val="19"/>
                <w:szCs w:val="19"/>
              </w:rPr>
            </w:pPr>
            <w:r>
              <w:rPr>
                <w:color w:val="000000"/>
                <w:sz w:val="19"/>
                <w:szCs w:val="19"/>
              </w:rPr>
              <w:t>16-31</w:t>
            </w:r>
          </w:p>
        </w:tc>
        <w:tc>
          <w:tcPr>
            <w:tcW w:w="1767" w:type="dxa"/>
            <w:shd w:val="clear" w:color="auto" w:fill="F1F1F1"/>
          </w:tcPr>
          <w:p w14:paraId="125D9FA6" w14:textId="77777777" w:rsidR="00CB4EA8" w:rsidRDefault="00CB4EA8" w:rsidP="00055D0B">
            <w:pPr>
              <w:pBdr>
                <w:top w:val="nil"/>
                <w:left w:val="nil"/>
                <w:bottom w:val="nil"/>
                <w:right w:val="nil"/>
                <w:between w:val="nil"/>
              </w:pBdr>
              <w:spacing w:before="113"/>
              <w:ind w:left="107"/>
              <w:rPr>
                <w:color w:val="000000"/>
                <w:sz w:val="19"/>
                <w:szCs w:val="19"/>
              </w:rPr>
            </w:pPr>
            <w:r>
              <w:rPr>
                <w:color w:val="000000"/>
                <w:sz w:val="19"/>
                <w:szCs w:val="19"/>
              </w:rPr>
              <w:t>0.96</w:t>
            </w:r>
          </w:p>
        </w:tc>
        <w:tc>
          <w:tcPr>
            <w:tcW w:w="1444" w:type="dxa"/>
            <w:shd w:val="clear" w:color="auto" w:fill="F1F1F1"/>
          </w:tcPr>
          <w:p w14:paraId="2CC2629F" w14:textId="6EB7B4CE" w:rsidR="00CB4EA8" w:rsidRDefault="00806D5D" w:rsidP="00055D0B">
            <w:pPr>
              <w:pBdr>
                <w:top w:val="nil"/>
                <w:left w:val="nil"/>
                <w:bottom w:val="nil"/>
                <w:right w:val="nil"/>
                <w:between w:val="nil"/>
              </w:pBdr>
              <w:spacing w:before="113"/>
              <w:ind w:left="130"/>
              <w:rPr>
                <w:color w:val="000000"/>
                <w:sz w:val="19"/>
                <w:szCs w:val="19"/>
              </w:rPr>
            </w:pPr>
            <w:r w:rsidRPr="00806D5D">
              <w:rPr>
                <w:color w:val="000000"/>
                <w:sz w:val="19"/>
                <w:szCs w:val="19"/>
              </w:rPr>
              <w:t>0.002110</w:t>
            </w:r>
          </w:p>
        </w:tc>
      </w:tr>
      <w:tr w:rsidR="00CB4EA8" w14:paraId="780E7773" w14:textId="77777777" w:rsidTr="008E102A">
        <w:trPr>
          <w:trHeight w:val="467"/>
          <w:jc w:val="center"/>
        </w:trPr>
        <w:tc>
          <w:tcPr>
            <w:tcW w:w="1597" w:type="dxa"/>
            <w:tcBorders>
              <w:bottom w:val="single" w:sz="4" w:space="0" w:color="000000"/>
            </w:tcBorders>
            <w:shd w:val="clear" w:color="auto" w:fill="D1D1D1"/>
          </w:tcPr>
          <w:p w14:paraId="2B29B2A2" w14:textId="6648DDAE" w:rsidR="00CB4EA8" w:rsidRDefault="00A432E5" w:rsidP="00055D0B">
            <w:pPr>
              <w:pBdr>
                <w:top w:val="nil"/>
                <w:left w:val="nil"/>
                <w:bottom w:val="nil"/>
                <w:right w:val="nil"/>
                <w:between w:val="nil"/>
              </w:pBdr>
              <w:ind w:left="107"/>
              <w:rPr>
                <w:color w:val="000000"/>
                <w:sz w:val="19"/>
                <w:szCs w:val="19"/>
              </w:rPr>
            </w:pPr>
            <w:r>
              <w:rPr>
                <w:color w:val="000000"/>
                <w:sz w:val="19"/>
                <w:szCs w:val="19"/>
              </w:rPr>
              <w:t>0</w:t>
            </w:r>
            <w:r w:rsidR="005717D7">
              <w:rPr>
                <w:color w:val="000000"/>
                <w:sz w:val="19"/>
                <w:szCs w:val="19"/>
              </w:rPr>
              <w:t>-3</w:t>
            </w:r>
            <w:r>
              <w:rPr>
                <w:color w:val="000000"/>
                <w:sz w:val="19"/>
                <w:szCs w:val="19"/>
              </w:rPr>
              <w:t xml:space="preserve">1 </w:t>
            </w:r>
            <w:r w:rsidR="005717D7">
              <w:rPr>
                <w:color w:val="000000"/>
                <w:sz w:val="19"/>
                <w:szCs w:val="19"/>
              </w:rPr>
              <w:t>(All)</w:t>
            </w:r>
          </w:p>
        </w:tc>
        <w:tc>
          <w:tcPr>
            <w:tcW w:w="1767" w:type="dxa"/>
            <w:tcBorders>
              <w:bottom w:val="single" w:sz="4" w:space="0" w:color="000000"/>
            </w:tcBorders>
            <w:shd w:val="clear" w:color="auto" w:fill="E8E8E8"/>
          </w:tcPr>
          <w:p w14:paraId="79B6AD8A" w14:textId="61B5E296" w:rsidR="00CB4EA8" w:rsidRDefault="00CB4EA8" w:rsidP="00055D0B">
            <w:pPr>
              <w:pBdr>
                <w:top w:val="nil"/>
                <w:left w:val="nil"/>
                <w:bottom w:val="nil"/>
                <w:right w:val="nil"/>
                <w:between w:val="nil"/>
              </w:pBdr>
              <w:ind w:left="107"/>
              <w:rPr>
                <w:color w:val="000000"/>
                <w:sz w:val="19"/>
                <w:szCs w:val="19"/>
              </w:rPr>
            </w:pPr>
            <w:r>
              <w:rPr>
                <w:color w:val="000000"/>
                <w:sz w:val="19"/>
                <w:szCs w:val="19"/>
              </w:rPr>
              <w:t>0.9</w:t>
            </w:r>
            <w:r w:rsidR="00123027">
              <w:rPr>
                <w:color w:val="000000"/>
                <w:sz w:val="19"/>
                <w:szCs w:val="19"/>
              </w:rPr>
              <w:t>73</w:t>
            </w:r>
          </w:p>
        </w:tc>
        <w:tc>
          <w:tcPr>
            <w:tcW w:w="1444" w:type="dxa"/>
            <w:tcBorders>
              <w:bottom w:val="single" w:sz="4" w:space="0" w:color="000000"/>
            </w:tcBorders>
            <w:shd w:val="clear" w:color="auto" w:fill="E8E8E8"/>
          </w:tcPr>
          <w:p w14:paraId="702C8C47" w14:textId="5CBD5581" w:rsidR="00CB4EA8" w:rsidRDefault="00806D5D" w:rsidP="00055D0B">
            <w:pPr>
              <w:pBdr>
                <w:top w:val="nil"/>
                <w:left w:val="nil"/>
                <w:bottom w:val="nil"/>
                <w:right w:val="nil"/>
                <w:between w:val="nil"/>
              </w:pBdr>
              <w:ind w:left="130"/>
              <w:rPr>
                <w:color w:val="000000"/>
                <w:sz w:val="19"/>
                <w:szCs w:val="19"/>
              </w:rPr>
            </w:pPr>
            <w:r w:rsidRPr="00806D5D">
              <w:rPr>
                <w:color w:val="000000"/>
                <w:sz w:val="19"/>
                <w:szCs w:val="19"/>
              </w:rPr>
              <w:t>0.003000</w:t>
            </w:r>
          </w:p>
        </w:tc>
      </w:tr>
    </w:tbl>
    <w:p w14:paraId="00B03A86" w14:textId="6104160B" w:rsidR="00293462" w:rsidRPr="00293462" w:rsidRDefault="00593167" w:rsidP="00293462">
      <w:pPr>
        <w:pStyle w:val="Heading2"/>
        <w:numPr>
          <w:ilvl w:val="1"/>
          <w:numId w:val="7"/>
        </w:numPr>
        <w:pBdr>
          <w:top w:val="nil"/>
          <w:left w:val="nil"/>
          <w:bottom w:val="nil"/>
          <w:right w:val="nil"/>
          <w:between w:val="nil"/>
        </w:pBdr>
        <w:tabs>
          <w:tab w:val="left" w:pos="483"/>
        </w:tabs>
        <w:spacing w:before="213" w:line="264" w:lineRule="auto"/>
        <w:ind w:left="96" w:right="38" w:hanging="10"/>
        <w:jc w:val="both"/>
        <w:rPr>
          <w:color w:val="000000" w:themeColor="text1"/>
          <w:sz w:val="19"/>
          <w:szCs w:val="19"/>
          <w:lang w:val="en-AU"/>
        </w:rPr>
      </w:pPr>
      <w:r>
        <w:rPr>
          <w:lang w:val="en-US"/>
        </w:rPr>
        <w:t>Combined</w:t>
      </w:r>
      <w:r w:rsidR="00EE02E5">
        <w:rPr>
          <w:lang w:val="en-US"/>
        </w:rPr>
        <w:t xml:space="preserve"> </w:t>
      </w:r>
      <w:r w:rsidR="00774FA3">
        <w:rPr>
          <w:lang w:val="en-US"/>
        </w:rPr>
        <w:t>Experiments</w:t>
      </w:r>
    </w:p>
    <w:p w14:paraId="619281A6" w14:textId="7CCD51D1" w:rsidR="00A57A0A" w:rsidRPr="00A57A0A" w:rsidRDefault="00A57A0A" w:rsidP="00A57A0A">
      <w:pPr>
        <w:pBdr>
          <w:top w:val="nil"/>
          <w:left w:val="nil"/>
          <w:bottom w:val="nil"/>
          <w:right w:val="nil"/>
          <w:between w:val="nil"/>
        </w:pBdr>
        <w:spacing w:before="213" w:line="264" w:lineRule="auto"/>
        <w:ind w:left="96" w:right="38" w:hanging="10"/>
        <w:jc w:val="both"/>
        <w:rPr>
          <w:color w:val="000000" w:themeColor="text1"/>
          <w:sz w:val="19"/>
          <w:szCs w:val="19"/>
          <w:lang w:val="en-AU"/>
        </w:rPr>
      </w:pPr>
      <w:r w:rsidRPr="00A57A0A">
        <w:rPr>
          <w:color w:val="000000" w:themeColor="text1"/>
          <w:sz w:val="19"/>
          <w:szCs w:val="19"/>
          <w:lang w:val="en-AU"/>
        </w:rPr>
        <w:t xml:space="preserve">Because neither region showed strong degradation under the separate W8A16 setting when evaluated alone, we used the combined 130-layer W8A16 quantization setting as a baseline and then tested its tolerance to </w:t>
      </w:r>
      <w:r w:rsidR="00C70DF6">
        <w:rPr>
          <w:color w:val="000000" w:themeColor="text1"/>
          <w:sz w:val="19"/>
          <w:szCs w:val="19"/>
          <w:lang w:val="en-AU"/>
        </w:rPr>
        <w:t>low precision</w:t>
      </w:r>
      <w:r w:rsidRPr="00A57A0A">
        <w:rPr>
          <w:color w:val="000000" w:themeColor="text1"/>
          <w:sz w:val="19"/>
          <w:szCs w:val="19"/>
          <w:lang w:val="en-AU"/>
        </w:rPr>
        <w:t>. We also added a W16A8 setting specifically for the 16-layer set, while keeping W8A16 for the 114-layer base set as an extra mode. As a result, the 16-layer set actually improved over W8-only or A8-only, with W8A8 becoming the best quantized setting for that region, although it was still slightly below the no-quantization reference (Table II</w:t>
      </w:r>
      <w:r w:rsidR="00B71F34">
        <w:rPr>
          <w:color w:val="000000" w:themeColor="text1"/>
          <w:sz w:val="19"/>
          <w:szCs w:val="19"/>
          <w:lang w:val="en-AU"/>
        </w:rPr>
        <w:t>I</w:t>
      </w:r>
      <w:r w:rsidRPr="00A57A0A">
        <w:rPr>
          <w:color w:val="000000" w:themeColor="text1"/>
          <w:sz w:val="19"/>
          <w:szCs w:val="19"/>
          <w:lang w:val="en-AU"/>
        </w:rPr>
        <w:t>).</w:t>
      </w:r>
    </w:p>
    <w:p w14:paraId="4C84BA36" w14:textId="1FC69183" w:rsidR="00A57A0A" w:rsidRPr="00A57A0A" w:rsidRDefault="00A57A0A" w:rsidP="00A57A0A">
      <w:pPr>
        <w:pBdr>
          <w:top w:val="nil"/>
          <w:left w:val="nil"/>
          <w:bottom w:val="nil"/>
          <w:right w:val="nil"/>
          <w:between w:val="nil"/>
        </w:pBdr>
        <w:spacing w:before="213" w:line="264" w:lineRule="auto"/>
        <w:ind w:left="96" w:right="38" w:hanging="10"/>
        <w:jc w:val="both"/>
        <w:rPr>
          <w:color w:val="000000" w:themeColor="text1"/>
          <w:sz w:val="19"/>
          <w:szCs w:val="19"/>
          <w:lang w:val="en-AU"/>
        </w:rPr>
      </w:pPr>
      <w:r w:rsidRPr="00A57A0A">
        <w:rPr>
          <w:color w:val="000000" w:themeColor="text1"/>
          <w:sz w:val="19"/>
          <w:szCs w:val="19"/>
          <w:lang w:val="en-AU"/>
        </w:rPr>
        <w:t>This finding appeared in the LIBERO</w:t>
      </w:r>
      <w:r w:rsidR="00F44382">
        <w:rPr>
          <w:color w:val="000000" w:themeColor="text1"/>
          <w:sz w:val="19"/>
          <w:szCs w:val="19"/>
          <w:lang w:val="en-AU"/>
        </w:rPr>
        <w:t>_</w:t>
      </w:r>
      <w:r w:rsidRPr="00A57A0A">
        <w:rPr>
          <w:color w:val="000000" w:themeColor="text1"/>
          <w:sz w:val="19"/>
          <w:szCs w:val="19"/>
          <w:lang w:val="en-AU"/>
        </w:rPr>
        <w:t xml:space="preserve">Goal suite. In contrast to the initial experiments, where no clear difference was found when A8, W8, or W8A8 was applied to the 16-layer set alone, this result indicates that the underlying 130-layer W8A16 baseline affected the model’s </w:t>
      </w:r>
      <w:r w:rsidRPr="00A57A0A">
        <w:rPr>
          <w:color w:val="000000" w:themeColor="text1"/>
          <w:sz w:val="19"/>
          <w:szCs w:val="19"/>
          <w:lang w:val="en-AU"/>
        </w:rPr>
        <w:t>behaviour</w:t>
      </w:r>
      <w:r w:rsidRPr="00A57A0A">
        <w:rPr>
          <w:color w:val="000000" w:themeColor="text1"/>
          <w:sz w:val="19"/>
          <w:szCs w:val="19"/>
          <w:lang w:val="en-AU"/>
        </w:rPr>
        <w:t>. Under this combined setting, W8A8 slightly rescued the lower performance of A8-only and W8-only.</w:t>
      </w:r>
      <w:r w:rsidR="00015E84">
        <w:rPr>
          <w:color w:val="000000" w:themeColor="text1"/>
          <w:sz w:val="19"/>
          <w:szCs w:val="19"/>
          <w:lang w:val="en-AU"/>
        </w:rPr>
        <w:t xml:space="preserve"> As for other suites, W8A16 on 130 layers results</w:t>
      </w:r>
      <w:r w:rsidR="00C52B1C">
        <w:rPr>
          <w:color w:val="000000" w:themeColor="text1"/>
          <w:sz w:val="19"/>
          <w:szCs w:val="19"/>
          <w:lang w:val="en-AU"/>
        </w:rPr>
        <w:t xml:space="preserve"> showed </w:t>
      </w:r>
      <w:r w:rsidR="004964AA">
        <w:rPr>
          <w:color w:val="000000" w:themeColor="text1"/>
          <w:sz w:val="19"/>
          <w:szCs w:val="19"/>
          <w:lang w:val="en-AU"/>
        </w:rPr>
        <w:t>no significant</w:t>
      </w:r>
      <w:r w:rsidR="00A26696">
        <w:rPr>
          <w:color w:val="000000" w:themeColor="text1"/>
          <w:sz w:val="19"/>
          <w:szCs w:val="19"/>
          <w:lang w:val="en-AU"/>
        </w:rPr>
        <w:t xml:space="preserve"> </w:t>
      </w:r>
      <w:r w:rsidR="00015E84">
        <w:rPr>
          <w:color w:val="000000" w:themeColor="text1"/>
          <w:sz w:val="19"/>
          <w:szCs w:val="19"/>
          <w:lang w:val="en-AU"/>
        </w:rPr>
        <w:t xml:space="preserve">effect on LIBERO_10 and LIBERO_Object, accuracy </w:t>
      </w:r>
      <w:r w:rsidR="007D5DC8">
        <w:rPr>
          <w:color w:val="000000" w:themeColor="text1"/>
          <w:sz w:val="19"/>
          <w:szCs w:val="19"/>
          <w:lang w:val="en-AU"/>
        </w:rPr>
        <w:t>changed</w:t>
      </w:r>
      <w:r w:rsidR="00015E84">
        <w:rPr>
          <w:color w:val="000000" w:themeColor="text1"/>
          <w:sz w:val="19"/>
          <w:szCs w:val="19"/>
          <w:lang w:val="en-AU"/>
        </w:rPr>
        <w:t xml:space="preserve"> from 0.</w:t>
      </w:r>
      <w:r w:rsidR="004964AA">
        <w:rPr>
          <w:color w:val="000000" w:themeColor="text1"/>
          <w:sz w:val="19"/>
          <w:szCs w:val="19"/>
          <w:lang w:val="en-AU"/>
        </w:rPr>
        <w:t>89</w:t>
      </w:r>
      <w:r w:rsidR="00015E84">
        <w:rPr>
          <w:color w:val="000000" w:themeColor="text1"/>
          <w:sz w:val="19"/>
          <w:szCs w:val="19"/>
          <w:lang w:val="en-AU"/>
        </w:rPr>
        <w:t xml:space="preserve"> to 0.8</w:t>
      </w:r>
      <w:r w:rsidR="004964AA">
        <w:rPr>
          <w:color w:val="000000" w:themeColor="text1"/>
          <w:sz w:val="19"/>
          <w:szCs w:val="19"/>
          <w:lang w:val="en-AU"/>
        </w:rPr>
        <w:t>8</w:t>
      </w:r>
      <w:r w:rsidR="00015E84">
        <w:rPr>
          <w:color w:val="000000" w:themeColor="text1"/>
          <w:sz w:val="19"/>
          <w:szCs w:val="19"/>
          <w:lang w:val="en-AU"/>
        </w:rPr>
        <w:t>, and 0.</w:t>
      </w:r>
      <w:r w:rsidR="007D5DC8">
        <w:rPr>
          <w:color w:val="000000" w:themeColor="text1"/>
          <w:sz w:val="19"/>
          <w:szCs w:val="19"/>
          <w:lang w:val="en-AU"/>
        </w:rPr>
        <w:t>94</w:t>
      </w:r>
      <w:r w:rsidR="00015E84">
        <w:rPr>
          <w:color w:val="000000" w:themeColor="text1"/>
          <w:sz w:val="19"/>
          <w:szCs w:val="19"/>
          <w:lang w:val="en-AU"/>
        </w:rPr>
        <w:t xml:space="preserve"> to 0.9</w:t>
      </w:r>
      <w:r w:rsidR="007D5DC8">
        <w:rPr>
          <w:color w:val="000000" w:themeColor="text1"/>
          <w:sz w:val="19"/>
          <w:szCs w:val="19"/>
          <w:lang w:val="en-AU"/>
        </w:rPr>
        <w:t>6</w:t>
      </w:r>
      <w:r w:rsidR="00015E84">
        <w:rPr>
          <w:color w:val="000000" w:themeColor="text1"/>
          <w:sz w:val="19"/>
          <w:szCs w:val="19"/>
          <w:lang w:val="en-AU"/>
        </w:rPr>
        <w:t xml:space="preserve">, while LIBERO_Spatial and LIBERO_goal dropped accuracy from </w:t>
      </w:r>
      <w:r w:rsidR="00C52B1C">
        <w:rPr>
          <w:color w:val="000000" w:themeColor="text1"/>
          <w:sz w:val="19"/>
          <w:szCs w:val="19"/>
          <w:lang w:val="en-AU"/>
        </w:rPr>
        <w:t>0.9</w:t>
      </w:r>
      <w:r w:rsidR="007D5DC8">
        <w:rPr>
          <w:color w:val="000000" w:themeColor="text1"/>
          <w:sz w:val="19"/>
          <w:szCs w:val="19"/>
          <w:lang w:val="en-AU"/>
        </w:rPr>
        <w:t>4</w:t>
      </w:r>
      <w:r w:rsidR="00C52B1C">
        <w:rPr>
          <w:color w:val="000000" w:themeColor="text1"/>
          <w:sz w:val="19"/>
          <w:szCs w:val="19"/>
          <w:lang w:val="en-AU"/>
        </w:rPr>
        <w:t xml:space="preserve"> </w:t>
      </w:r>
      <w:r w:rsidR="00015E84">
        <w:rPr>
          <w:color w:val="000000" w:themeColor="text1"/>
          <w:sz w:val="19"/>
          <w:szCs w:val="19"/>
          <w:lang w:val="en-AU"/>
        </w:rPr>
        <w:t>to 0.</w:t>
      </w:r>
      <w:r w:rsidR="00C52B1C">
        <w:rPr>
          <w:color w:val="000000" w:themeColor="text1"/>
          <w:sz w:val="19"/>
          <w:szCs w:val="19"/>
          <w:lang w:val="en-AU"/>
        </w:rPr>
        <w:t>0.84</w:t>
      </w:r>
      <w:r w:rsidR="00015E84">
        <w:rPr>
          <w:color w:val="000000" w:themeColor="text1"/>
          <w:sz w:val="19"/>
          <w:szCs w:val="19"/>
          <w:lang w:val="en-AU"/>
        </w:rPr>
        <w:t xml:space="preserve"> and 0.9</w:t>
      </w:r>
      <w:r w:rsidR="007D5DC8">
        <w:rPr>
          <w:color w:val="000000" w:themeColor="text1"/>
          <w:sz w:val="19"/>
          <w:szCs w:val="19"/>
          <w:lang w:val="en-AU"/>
        </w:rPr>
        <w:t>5</w:t>
      </w:r>
      <w:r w:rsidR="00015E84">
        <w:rPr>
          <w:color w:val="000000" w:themeColor="text1"/>
          <w:sz w:val="19"/>
          <w:szCs w:val="19"/>
          <w:lang w:val="en-AU"/>
        </w:rPr>
        <w:t xml:space="preserve"> to 0.88.</w:t>
      </w:r>
      <w:r w:rsidR="0087217B">
        <w:rPr>
          <w:color w:val="000000" w:themeColor="text1"/>
          <w:sz w:val="19"/>
          <w:szCs w:val="19"/>
          <w:lang w:val="en-AU"/>
        </w:rPr>
        <w:t xml:space="preserve"> And LIBERO_Spatial showed no significant changes upon applying A8 across different flow windows, contrast to LIBER_Goal.</w:t>
      </w:r>
    </w:p>
    <w:p w14:paraId="1AE87B97" w14:textId="1A192572" w:rsidR="00A57A0A" w:rsidRDefault="00A57A0A" w:rsidP="00A57A0A">
      <w:pPr>
        <w:pBdr>
          <w:top w:val="nil"/>
          <w:left w:val="nil"/>
          <w:bottom w:val="nil"/>
          <w:right w:val="nil"/>
          <w:between w:val="nil"/>
        </w:pBdr>
        <w:spacing w:before="213" w:line="264" w:lineRule="auto"/>
        <w:ind w:left="96" w:right="38" w:hanging="10"/>
        <w:jc w:val="both"/>
        <w:rPr>
          <w:color w:val="000000" w:themeColor="text1"/>
          <w:sz w:val="19"/>
          <w:szCs w:val="19"/>
          <w:lang w:val="en-AU"/>
        </w:rPr>
      </w:pPr>
      <w:r w:rsidRPr="00A57A0A">
        <w:rPr>
          <w:color w:val="000000" w:themeColor="text1"/>
          <w:sz w:val="19"/>
          <w:szCs w:val="19"/>
          <w:lang w:val="en-AU"/>
        </w:rPr>
        <w:t xml:space="preserve">However, we did not test whether the action head’s attention linear layers are correlated with the other action-head linear layers outside the attention module. These other layers are also used inside the timestep loop, but we only applied W8A16 to them because we were trying to follow the QuantVLA-style setting. Therefore, it is possible that these </w:t>
      </w:r>
      <w:r w:rsidR="008E3BC8">
        <w:rPr>
          <w:color w:val="000000" w:themeColor="text1"/>
          <w:sz w:val="19"/>
          <w:szCs w:val="19"/>
          <w:lang w:val="en-AU"/>
        </w:rPr>
        <w:t xml:space="preserve">findings are due to the fact that </w:t>
      </w:r>
      <w:r w:rsidRPr="00A57A0A">
        <w:rPr>
          <w:color w:val="000000" w:themeColor="text1"/>
          <w:sz w:val="19"/>
          <w:szCs w:val="19"/>
          <w:lang w:val="en-AU"/>
        </w:rPr>
        <w:t xml:space="preserve">action-head FFN linear layers and the selected attention linear layers interact with each other, </w:t>
      </w:r>
      <w:r w:rsidR="00D46C60">
        <w:rPr>
          <w:color w:val="000000" w:themeColor="text1"/>
          <w:sz w:val="19"/>
          <w:szCs w:val="19"/>
          <w:lang w:val="en-AU"/>
        </w:rPr>
        <w:t>or</w:t>
      </w:r>
      <w:r w:rsidRPr="00A57A0A">
        <w:rPr>
          <w:color w:val="000000" w:themeColor="text1"/>
          <w:sz w:val="19"/>
          <w:szCs w:val="19"/>
          <w:lang w:val="en-AU"/>
        </w:rPr>
        <w:t xml:space="preserve"> that W16A8 could produce unexpected results after all. This could help explain why W8A8 together rescued performance in some cases. However, since the benchmark experiments took a long time, it remains unclear whether this effect is caused by overfitting to LIBERO, by the limited number of failure cases, or by a real interaction that still needs further testing.</w:t>
      </w:r>
    </w:p>
    <w:p w14:paraId="434AF080" w14:textId="1BB48521" w:rsidR="004D4BB3" w:rsidRPr="004D4BB3" w:rsidRDefault="004D4BB3" w:rsidP="004D4BB3">
      <w:pPr>
        <w:spacing w:before="240" w:after="240" w:line="264" w:lineRule="auto"/>
        <w:jc w:val="center"/>
        <w:rPr>
          <w:sz w:val="16"/>
          <w:szCs w:val="16"/>
        </w:rPr>
      </w:pPr>
      <w:r>
        <w:rPr>
          <w:sz w:val="16"/>
          <w:szCs w:val="16"/>
        </w:rPr>
        <w:t>TABLE III</w:t>
      </w:r>
    </w:p>
    <w:p w14:paraId="2CF924AC" w14:textId="77777777" w:rsidR="004D4BB3" w:rsidRDefault="004D4BB3" w:rsidP="004D4BB3">
      <w:pPr>
        <w:ind w:left="605"/>
        <w:rPr>
          <w:sz w:val="16"/>
          <w:szCs w:val="16"/>
        </w:rPr>
      </w:pPr>
      <w:r>
        <w:rPr>
          <w:sz w:val="16"/>
          <w:szCs w:val="16"/>
        </w:rPr>
        <w:t xml:space="preserve">Table 3. </w:t>
      </w:r>
      <w:r w:rsidRPr="008A2323">
        <w:rPr>
          <w:sz w:val="16"/>
          <w:szCs w:val="16"/>
        </w:rPr>
        <w:t xml:space="preserve">Effect of </w:t>
      </w:r>
      <w:r w:rsidRPr="00CA6173">
        <w:rPr>
          <w:sz w:val="16"/>
          <w:szCs w:val="16"/>
        </w:rPr>
        <w:t>Flow-Window Coverage</w:t>
      </w:r>
      <w:r>
        <w:rPr>
          <w:sz w:val="16"/>
          <w:szCs w:val="16"/>
        </w:rPr>
        <w:t xml:space="preserve"> </w:t>
      </w:r>
      <w:r w:rsidRPr="008A2323">
        <w:rPr>
          <w:sz w:val="16"/>
          <w:szCs w:val="16"/>
        </w:rPr>
        <w:t>on LIBERO-Goal under the W8A16 / 130-L</w:t>
      </w:r>
      <w:r>
        <w:rPr>
          <w:sz w:val="16"/>
          <w:szCs w:val="16"/>
        </w:rPr>
        <w:t>ayer</w:t>
      </w:r>
      <w:r w:rsidRPr="008A2323">
        <w:rPr>
          <w:sz w:val="16"/>
          <w:szCs w:val="16"/>
        </w:rPr>
        <w:t xml:space="preserve"> Setting</w:t>
      </w:r>
    </w:p>
    <w:p w14:paraId="6D00A543" w14:textId="77777777" w:rsidR="004D4BB3" w:rsidRDefault="004D4BB3" w:rsidP="004D4BB3">
      <w:pPr>
        <w:ind w:left="605"/>
        <w:jc w:val="center"/>
        <w:rPr>
          <w:sz w:val="16"/>
          <w:szCs w:val="16"/>
        </w:rPr>
      </w:pPr>
    </w:p>
    <w:tbl>
      <w:tblPr>
        <w:tblW w:w="3364" w:type="dxa"/>
        <w:jc w:val="center"/>
        <w:tblLayout w:type="fixed"/>
        <w:tblLook w:val="0000" w:firstRow="0" w:lastRow="0" w:firstColumn="0" w:lastColumn="0" w:noHBand="0" w:noVBand="0"/>
      </w:tblPr>
      <w:tblGrid>
        <w:gridCol w:w="1597"/>
        <w:gridCol w:w="1767"/>
      </w:tblGrid>
      <w:tr w:rsidR="00A432E5" w14:paraId="1C523C2F" w14:textId="77777777" w:rsidTr="00E772F1">
        <w:trPr>
          <w:trHeight w:val="536"/>
          <w:jc w:val="center"/>
        </w:trPr>
        <w:tc>
          <w:tcPr>
            <w:tcW w:w="1597" w:type="dxa"/>
            <w:tcBorders>
              <w:top w:val="single" w:sz="4" w:space="0" w:color="000000"/>
            </w:tcBorders>
            <w:shd w:val="clear" w:color="auto" w:fill="D1D1D1"/>
          </w:tcPr>
          <w:p w14:paraId="4CD0DFD1" w14:textId="77777777" w:rsidR="00A432E5" w:rsidRDefault="00A432E5" w:rsidP="00055D0B">
            <w:pPr>
              <w:pBdr>
                <w:top w:val="nil"/>
                <w:left w:val="nil"/>
                <w:bottom w:val="nil"/>
                <w:right w:val="nil"/>
                <w:between w:val="nil"/>
              </w:pBdr>
              <w:ind w:left="107"/>
              <w:rPr>
                <w:color w:val="000000"/>
                <w:sz w:val="19"/>
                <w:szCs w:val="19"/>
              </w:rPr>
            </w:pPr>
            <w:r>
              <w:rPr>
                <w:color w:val="000000"/>
                <w:sz w:val="19"/>
                <w:szCs w:val="19"/>
              </w:rPr>
              <w:t>Target16</w:t>
            </w:r>
          </w:p>
        </w:tc>
        <w:tc>
          <w:tcPr>
            <w:tcW w:w="1767" w:type="dxa"/>
            <w:tcBorders>
              <w:top w:val="single" w:sz="4" w:space="0" w:color="000000"/>
            </w:tcBorders>
            <w:shd w:val="clear" w:color="auto" w:fill="E8E8E8"/>
          </w:tcPr>
          <w:p w14:paraId="04274519" w14:textId="77777777" w:rsidR="00A432E5" w:rsidRDefault="00A432E5" w:rsidP="00055D0B">
            <w:pPr>
              <w:pBdr>
                <w:top w:val="nil"/>
                <w:left w:val="nil"/>
                <w:bottom w:val="nil"/>
                <w:right w:val="nil"/>
                <w:between w:val="nil"/>
              </w:pBdr>
              <w:ind w:left="107"/>
              <w:rPr>
                <w:color w:val="000000"/>
                <w:sz w:val="19"/>
                <w:szCs w:val="19"/>
              </w:rPr>
            </w:pPr>
            <w:r>
              <w:rPr>
                <w:color w:val="000000"/>
                <w:sz w:val="19"/>
                <w:szCs w:val="19"/>
              </w:rPr>
              <w:t>Accuracy</w:t>
            </w:r>
          </w:p>
        </w:tc>
      </w:tr>
      <w:tr w:rsidR="00A432E5" w14:paraId="2EEDD79E" w14:textId="77777777" w:rsidTr="00E772F1">
        <w:trPr>
          <w:trHeight w:val="510"/>
          <w:jc w:val="center"/>
        </w:trPr>
        <w:tc>
          <w:tcPr>
            <w:tcW w:w="1597" w:type="dxa"/>
            <w:shd w:val="clear" w:color="auto" w:fill="E8E8E8"/>
          </w:tcPr>
          <w:p w14:paraId="19DBA1EE" w14:textId="77777777" w:rsidR="00A432E5" w:rsidRDefault="00A432E5" w:rsidP="00055D0B">
            <w:pPr>
              <w:pBdr>
                <w:top w:val="nil"/>
                <w:left w:val="nil"/>
                <w:bottom w:val="nil"/>
                <w:right w:val="nil"/>
                <w:between w:val="nil"/>
              </w:pBdr>
              <w:spacing w:line="264" w:lineRule="auto"/>
              <w:ind w:left="107"/>
              <w:rPr>
                <w:color w:val="000000"/>
                <w:sz w:val="19"/>
                <w:szCs w:val="19"/>
              </w:rPr>
            </w:pPr>
            <w:r w:rsidRPr="00824018">
              <w:rPr>
                <w:color w:val="000000"/>
                <w:sz w:val="19"/>
                <w:szCs w:val="19"/>
              </w:rPr>
              <w:t>W8A16 reference, no A8</w:t>
            </w:r>
            <w:r>
              <w:rPr>
                <w:color w:val="000000"/>
                <w:sz w:val="19"/>
                <w:szCs w:val="19"/>
              </w:rPr>
              <w:t>Baseline</w:t>
            </w:r>
          </w:p>
        </w:tc>
        <w:tc>
          <w:tcPr>
            <w:tcW w:w="1767" w:type="dxa"/>
            <w:shd w:val="clear" w:color="auto" w:fill="F1F1F1"/>
          </w:tcPr>
          <w:p w14:paraId="19DFEC8C" w14:textId="77777777" w:rsidR="00A432E5" w:rsidRDefault="00A432E5" w:rsidP="00055D0B">
            <w:pPr>
              <w:pBdr>
                <w:top w:val="nil"/>
                <w:left w:val="nil"/>
                <w:bottom w:val="nil"/>
                <w:right w:val="nil"/>
                <w:between w:val="nil"/>
              </w:pBdr>
              <w:ind w:left="107"/>
              <w:rPr>
                <w:color w:val="000000"/>
                <w:sz w:val="19"/>
                <w:szCs w:val="19"/>
              </w:rPr>
            </w:pPr>
            <w:r>
              <w:rPr>
                <w:color w:val="000000"/>
                <w:sz w:val="19"/>
                <w:szCs w:val="19"/>
              </w:rPr>
              <w:t>0.88</w:t>
            </w:r>
          </w:p>
        </w:tc>
      </w:tr>
      <w:tr w:rsidR="00A432E5" w14:paraId="0F548DBA" w14:textId="77777777" w:rsidTr="00E772F1">
        <w:trPr>
          <w:trHeight w:val="417"/>
          <w:jc w:val="center"/>
        </w:trPr>
        <w:tc>
          <w:tcPr>
            <w:tcW w:w="1597" w:type="dxa"/>
            <w:shd w:val="clear" w:color="auto" w:fill="E8E8E8"/>
          </w:tcPr>
          <w:p w14:paraId="7575A1EF" w14:textId="7A288107" w:rsidR="00A432E5" w:rsidRDefault="00B66D78" w:rsidP="00055D0B">
            <w:pPr>
              <w:pBdr>
                <w:top w:val="nil"/>
                <w:left w:val="nil"/>
                <w:bottom w:val="nil"/>
                <w:right w:val="nil"/>
                <w:between w:val="nil"/>
              </w:pBdr>
              <w:spacing w:before="113" w:line="264" w:lineRule="auto"/>
              <w:ind w:left="107"/>
              <w:rPr>
                <w:color w:val="000000"/>
                <w:sz w:val="19"/>
                <w:szCs w:val="19"/>
              </w:rPr>
            </w:pPr>
            <w:r w:rsidRPr="00824018">
              <w:rPr>
                <w:color w:val="000000"/>
                <w:sz w:val="19"/>
                <w:szCs w:val="19"/>
              </w:rPr>
              <w:t xml:space="preserve">W8A16 </w:t>
            </w:r>
            <w:r w:rsidR="00A432E5">
              <w:rPr>
                <w:color w:val="000000"/>
                <w:sz w:val="19"/>
                <w:szCs w:val="19"/>
              </w:rPr>
              <w:t>0-7</w:t>
            </w:r>
          </w:p>
        </w:tc>
        <w:tc>
          <w:tcPr>
            <w:tcW w:w="1767" w:type="dxa"/>
            <w:shd w:val="clear" w:color="auto" w:fill="F1F1F1"/>
          </w:tcPr>
          <w:p w14:paraId="3CD2505A" w14:textId="01B87106" w:rsidR="00A432E5" w:rsidRDefault="00A432E5" w:rsidP="00055D0B">
            <w:pPr>
              <w:pBdr>
                <w:top w:val="nil"/>
                <w:left w:val="nil"/>
                <w:bottom w:val="nil"/>
                <w:right w:val="nil"/>
                <w:between w:val="nil"/>
              </w:pBdr>
              <w:spacing w:before="113"/>
              <w:ind w:left="107"/>
              <w:rPr>
                <w:color w:val="000000"/>
                <w:sz w:val="19"/>
                <w:szCs w:val="19"/>
              </w:rPr>
            </w:pPr>
            <w:r w:rsidRPr="00A432E5">
              <w:rPr>
                <w:color w:val="000000"/>
                <w:sz w:val="19"/>
                <w:szCs w:val="19"/>
              </w:rPr>
              <w:t>0.86</w:t>
            </w:r>
          </w:p>
        </w:tc>
      </w:tr>
      <w:tr w:rsidR="00A432E5" w14:paraId="184DC1F0" w14:textId="77777777" w:rsidTr="00E772F1">
        <w:trPr>
          <w:trHeight w:val="595"/>
          <w:jc w:val="center"/>
        </w:trPr>
        <w:tc>
          <w:tcPr>
            <w:tcW w:w="1597" w:type="dxa"/>
            <w:shd w:val="clear" w:color="auto" w:fill="E8E8E8"/>
          </w:tcPr>
          <w:p w14:paraId="39CDC3F4" w14:textId="7B6A5985" w:rsidR="00A432E5" w:rsidRDefault="00B66D78" w:rsidP="00055D0B">
            <w:pPr>
              <w:pBdr>
                <w:top w:val="nil"/>
                <w:left w:val="nil"/>
                <w:bottom w:val="nil"/>
                <w:right w:val="nil"/>
                <w:between w:val="nil"/>
              </w:pBdr>
              <w:spacing w:before="113" w:line="264" w:lineRule="auto"/>
              <w:ind w:left="107"/>
              <w:rPr>
                <w:color w:val="000000"/>
                <w:sz w:val="19"/>
                <w:szCs w:val="19"/>
              </w:rPr>
            </w:pPr>
            <w:r w:rsidRPr="00824018">
              <w:rPr>
                <w:color w:val="000000"/>
                <w:sz w:val="19"/>
                <w:szCs w:val="19"/>
              </w:rPr>
              <w:t xml:space="preserve">W8A16 </w:t>
            </w:r>
            <w:r w:rsidR="00A432E5" w:rsidRPr="004D4BB3">
              <w:rPr>
                <w:color w:val="000000"/>
                <w:sz w:val="19"/>
                <w:szCs w:val="19"/>
              </w:rPr>
              <w:t>8–15</w:t>
            </w:r>
          </w:p>
        </w:tc>
        <w:tc>
          <w:tcPr>
            <w:tcW w:w="1767" w:type="dxa"/>
            <w:shd w:val="clear" w:color="auto" w:fill="F1F1F1"/>
          </w:tcPr>
          <w:p w14:paraId="25E34800" w14:textId="4A3247CB" w:rsidR="00A432E5" w:rsidRDefault="00A432E5" w:rsidP="00055D0B">
            <w:pPr>
              <w:pBdr>
                <w:top w:val="nil"/>
                <w:left w:val="nil"/>
                <w:bottom w:val="nil"/>
                <w:right w:val="nil"/>
                <w:between w:val="nil"/>
              </w:pBdr>
              <w:spacing w:before="113"/>
              <w:ind w:left="107"/>
              <w:rPr>
                <w:color w:val="000000"/>
                <w:sz w:val="19"/>
                <w:szCs w:val="19"/>
              </w:rPr>
            </w:pPr>
            <w:r>
              <w:rPr>
                <w:color w:val="000000"/>
                <w:sz w:val="19"/>
                <w:szCs w:val="19"/>
              </w:rPr>
              <w:t>0.86</w:t>
            </w:r>
          </w:p>
        </w:tc>
      </w:tr>
      <w:tr w:rsidR="00A432E5" w14:paraId="61326A6F" w14:textId="77777777" w:rsidTr="00E772F1">
        <w:trPr>
          <w:trHeight w:val="595"/>
          <w:jc w:val="center"/>
        </w:trPr>
        <w:tc>
          <w:tcPr>
            <w:tcW w:w="1597" w:type="dxa"/>
            <w:shd w:val="clear" w:color="auto" w:fill="E8E8E8"/>
          </w:tcPr>
          <w:p w14:paraId="7A15DCA4" w14:textId="2EA61B1F" w:rsidR="00A432E5" w:rsidRDefault="00B66D78" w:rsidP="00055D0B">
            <w:pPr>
              <w:pBdr>
                <w:top w:val="nil"/>
                <w:left w:val="nil"/>
                <w:bottom w:val="nil"/>
                <w:right w:val="nil"/>
                <w:between w:val="nil"/>
              </w:pBdr>
              <w:spacing w:before="113" w:line="264" w:lineRule="auto"/>
              <w:ind w:left="107"/>
              <w:rPr>
                <w:color w:val="000000"/>
                <w:sz w:val="19"/>
                <w:szCs w:val="19"/>
              </w:rPr>
            </w:pPr>
            <w:r w:rsidRPr="00824018">
              <w:rPr>
                <w:color w:val="000000"/>
                <w:sz w:val="19"/>
                <w:szCs w:val="19"/>
              </w:rPr>
              <w:t xml:space="preserve">W8A16 </w:t>
            </w:r>
            <w:r w:rsidR="00A432E5" w:rsidRPr="004D4BB3">
              <w:rPr>
                <w:color w:val="000000"/>
                <w:sz w:val="19"/>
                <w:szCs w:val="19"/>
              </w:rPr>
              <w:t>16–23</w:t>
            </w:r>
          </w:p>
        </w:tc>
        <w:tc>
          <w:tcPr>
            <w:tcW w:w="1767" w:type="dxa"/>
            <w:shd w:val="clear" w:color="auto" w:fill="F1F1F1"/>
          </w:tcPr>
          <w:p w14:paraId="33BE7238" w14:textId="5AF0C843" w:rsidR="00A432E5" w:rsidRDefault="00A432E5" w:rsidP="00055D0B">
            <w:pPr>
              <w:pBdr>
                <w:top w:val="nil"/>
                <w:left w:val="nil"/>
                <w:bottom w:val="nil"/>
                <w:right w:val="nil"/>
                <w:between w:val="nil"/>
              </w:pBdr>
              <w:spacing w:before="113"/>
              <w:ind w:left="107"/>
              <w:rPr>
                <w:color w:val="000000"/>
                <w:sz w:val="19"/>
                <w:szCs w:val="19"/>
              </w:rPr>
            </w:pPr>
            <w:r>
              <w:rPr>
                <w:color w:val="000000"/>
                <w:sz w:val="19"/>
                <w:szCs w:val="19"/>
              </w:rPr>
              <w:t>0.88</w:t>
            </w:r>
          </w:p>
        </w:tc>
      </w:tr>
      <w:tr w:rsidR="00A432E5" w14:paraId="4F48ACB5" w14:textId="77777777" w:rsidTr="00E772F1">
        <w:trPr>
          <w:trHeight w:val="595"/>
          <w:jc w:val="center"/>
        </w:trPr>
        <w:tc>
          <w:tcPr>
            <w:tcW w:w="1597" w:type="dxa"/>
            <w:shd w:val="clear" w:color="auto" w:fill="E8E8E8"/>
          </w:tcPr>
          <w:p w14:paraId="662A1996" w14:textId="53DD1636" w:rsidR="00A432E5" w:rsidRDefault="00B66D78" w:rsidP="00055D0B">
            <w:pPr>
              <w:pBdr>
                <w:top w:val="nil"/>
                <w:left w:val="nil"/>
                <w:bottom w:val="nil"/>
                <w:right w:val="nil"/>
                <w:between w:val="nil"/>
              </w:pBdr>
              <w:spacing w:before="113" w:line="264" w:lineRule="auto"/>
              <w:ind w:left="107"/>
              <w:rPr>
                <w:color w:val="000000"/>
                <w:sz w:val="19"/>
                <w:szCs w:val="19"/>
              </w:rPr>
            </w:pPr>
            <w:r w:rsidRPr="00824018">
              <w:rPr>
                <w:color w:val="000000"/>
                <w:sz w:val="19"/>
                <w:szCs w:val="19"/>
              </w:rPr>
              <w:t xml:space="preserve">W8A16 </w:t>
            </w:r>
            <w:r w:rsidR="00A432E5" w:rsidRPr="004D4BB3">
              <w:rPr>
                <w:color w:val="000000"/>
                <w:sz w:val="19"/>
                <w:szCs w:val="19"/>
              </w:rPr>
              <w:t>24–31</w:t>
            </w:r>
          </w:p>
        </w:tc>
        <w:tc>
          <w:tcPr>
            <w:tcW w:w="1767" w:type="dxa"/>
            <w:shd w:val="clear" w:color="auto" w:fill="F1F1F1"/>
          </w:tcPr>
          <w:p w14:paraId="78247398" w14:textId="176D4006" w:rsidR="00A432E5" w:rsidRDefault="00A432E5" w:rsidP="00055D0B">
            <w:pPr>
              <w:pBdr>
                <w:top w:val="nil"/>
                <w:left w:val="nil"/>
                <w:bottom w:val="nil"/>
                <w:right w:val="nil"/>
                <w:between w:val="nil"/>
              </w:pBdr>
              <w:spacing w:before="113"/>
              <w:ind w:left="107"/>
              <w:rPr>
                <w:color w:val="000000"/>
                <w:sz w:val="19"/>
                <w:szCs w:val="19"/>
              </w:rPr>
            </w:pPr>
            <w:r>
              <w:rPr>
                <w:color w:val="000000"/>
                <w:sz w:val="19"/>
                <w:szCs w:val="19"/>
              </w:rPr>
              <w:t>0.94</w:t>
            </w:r>
          </w:p>
        </w:tc>
      </w:tr>
      <w:tr w:rsidR="00A432E5" w14:paraId="602FD88E" w14:textId="77777777" w:rsidTr="00E772F1">
        <w:trPr>
          <w:trHeight w:val="595"/>
          <w:jc w:val="center"/>
        </w:trPr>
        <w:tc>
          <w:tcPr>
            <w:tcW w:w="1597" w:type="dxa"/>
            <w:shd w:val="clear" w:color="auto" w:fill="E8E8E8"/>
          </w:tcPr>
          <w:p w14:paraId="71AFDD13" w14:textId="7F2264EE" w:rsidR="00A432E5" w:rsidRPr="004D4BB3" w:rsidRDefault="00B66D78" w:rsidP="00055D0B">
            <w:pPr>
              <w:pBdr>
                <w:top w:val="nil"/>
                <w:left w:val="nil"/>
                <w:bottom w:val="nil"/>
                <w:right w:val="nil"/>
                <w:between w:val="nil"/>
              </w:pBdr>
              <w:spacing w:before="113" w:line="264" w:lineRule="auto"/>
              <w:ind w:left="107"/>
              <w:rPr>
                <w:color w:val="000000"/>
                <w:sz w:val="19"/>
                <w:szCs w:val="19"/>
              </w:rPr>
            </w:pPr>
            <w:r w:rsidRPr="00824018">
              <w:rPr>
                <w:color w:val="000000"/>
                <w:sz w:val="19"/>
                <w:szCs w:val="19"/>
              </w:rPr>
              <w:t xml:space="preserve">W8A16 </w:t>
            </w:r>
            <w:r w:rsidR="00A432E5">
              <w:rPr>
                <w:color w:val="000000"/>
                <w:sz w:val="19"/>
                <w:szCs w:val="19"/>
              </w:rPr>
              <w:t>0-15</w:t>
            </w:r>
          </w:p>
        </w:tc>
        <w:tc>
          <w:tcPr>
            <w:tcW w:w="1767" w:type="dxa"/>
            <w:shd w:val="clear" w:color="auto" w:fill="F1F1F1"/>
          </w:tcPr>
          <w:p w14:paraId="02C10855" w14:textId="7D833A41" w:rsidR="00A432E5" w:rsidRDefault="00A432E5" w:rsidP="00055D0B">
            <w:pPr>
              <w:pBdr>
                <w:top w:val="nil"/>
                <w:left w:val="nil"/>
                <w:bottom w:val="nil"/>
                <w:right w:val="nil"/>
                <w:between w:val="nil"/>
              </w:pBdr>
              <w:spacing w:before="113"/>
              <w:ind w:left="107"/>
              <w:rPr>
                <w:color w:val="000000"/>
                <w:sz w:val="19"/>
                <w:szCs w:val="19"/>
              </w:rPr>
            </w:pPr>
            <w:r>
              <w:rPr>
                <w:color w:val="000000"/>
                <w:sz w:val="19"/>
                <w:szCs w:val="19"/>
              </w:rPr>
              <w:t>0.88</w:t>
            </w:r>
          </w:p>
        </w:tc>
      </w:tr>
      <w:tr w:rsidR="00A432E5" w14:paraId="61C67327" w14:textId="77777777" w:rsidTr="00E772F1">
        <w:trPr>
          <w:trHeight w:val="595"/>
          <w:jc w:val="center"/>
        </w:trPr>
        <w:tc>
          <w:tcPr>
            <w:tcW w:w="1597" w:type="dxa"/>
            <w:shd w:val="clear" w:color="auto" w:fill="E8E8E8"/>
          </w:tcPr>
          <w:p w14:paraId="58EA7AAA" w14:textId="29543F78" w:rsidR="00A432E5" w:rsidRDefault="00B66D78" w:rsidP="00055D0B">
            <w:pPr>
              <w:pBdr>
                <w:top w:val="nil"/>
                <w:left w:val="nil"/>
                <w:bottom w:val="nil"/>
                <w:right w:val="nil"/>
                <w:between w:val="nil"/>
              </w:pBdr>
              <w:spacing w:before="113" w:line="264" w:lineRule="auto"/>
              <w:ind w:left="107"/>
              <w:rPr>
                <w:color w:val="000000"/>
                <w:sz w:val="19"/>
                <w:szCs w:val="19"/>
              </w:rPr>
            </w:pPr>
            <w:r w:rsidRPr="00824018">
              <w:rPr>
                <w:color w:val="000000"/>
                <w:sz w:val="19"/>
                <w:szCs w:val="19"/>
              </w:rPr>
              <w:t xml:space="preserve">W8A16 </w:t>
            </w:r>
            <w:r w:rsidR="00A432E5">
              <w:rPr>
                <w:color w:val="000000"/>
                <w:sz w:val="19"/>
                <w:szCs w:val="19"/>
              </w:rPr>
              <w:t>0-23</w:t>
            </w:r>
          </w:p>
        </w:tc>
        <w:tc>
          <w:tcPr>
            <w:tcW w:w="1767" w:type="dxa"/>
            <w:shd w:val="clear" w:color="auto" w:fill="F1F1F1"/>
          </w:tcPr>
          <w:p w14:paraId="3670BA0E" w14:textId="3FF6E2B1" w:rsidR="00A432E5" w:rsidRDefault="00A432E5" w:rsidP="00055D0B">
            <w:pPr>
              <w:pBdr>
                <w:top w:val="nil"/>
                <w:left w:val="nil"/>
                <w:bottom w:val="nil"/>
                <w:right w:val="nil"/>
                <w:between w:val="nil"/>
              </w:pBdr>
              <w:spacing w:before="113"/>
              <w:ind w:left="107"/>
              <w:rPr>
                <w:color w:val="000000"/>
                <w:sz w:val="19"/>
                <w:szCs w:val="19"/>
              </w:rPr>
            </w:pPr>
            <w:r>
              <w:rPr>
                <w:color w:val="000000"/>
                <w:sz w:val="19"/>
                <w:szCs w:val="19"/>
              </w:rPr>
              <w:t>0.92</w:t>
            </w:r>
          </w:p>
        </w:tc>
      </w:tr>
      <w:tr w:rsidR="00462286" w14:paraId="661C20C7" w14:textId="77777777" w:rsidTr="00E772F1">
        <w:trPr>
          <w:trHeight w:val="595"/>
          <w:jc w:val="center"/>
        </w:trPr>
        <w:tc>
          <w:tcPr>
            <w:tcW w:w="1597" w:type="dxa"/>
            <w:shd w:val="clear" w:color="auto" w:fill="E8E8E8"/>
          </w:tcPr>
          <w:p w14:paraId="1885ACD6" w14:textId="5EFD343F" w:rsidR="00462286" w:rsidRDefault="00B66D78" w:rsidP="00055D0B">
            <w:pPr>
              <w:pBdr>
                <w:top w:val="nil"/>
                <w:left w:val="nil"/>
                <w:bottom w:val="nil"/>
                <w:right w:val="nil"/>
                <w:between w:val="nil"/>
              </w:pBdr>
              <w:spacing w:before="113" w:line="264" w:lineRule="auto"/>
              <w:ind w:left="107"/>
              <w:rPr>
                <w:color w:val="000000"/>
                <w:sz w:val="19"/>
                <w:szCs w:val="19"/>
              </w:rPr>
            </w:pPr>
            <w:r w:rsidRPr="00824018">
              <w:rPr>
                <w:color w:val="000000"/>
                <w:sz w:val="19"/>
                <w:szCs w:val="19"/>
              </w:rPr>
              <w:t xml:space="preserve">W8A16 </w:t>
            </w:r>
            <w:r w:rsidR="00462286">
              <w:rPr>
                <w:color w:val="000000"/>
                <w:sz w:val="19"/>
                <w:szCs w:val="19"/>
              </w:rPr>
              <w:t>0-31</w:t>
            </w:r>
            <w:r>
              <w:rPr>
                <w:color w:val="000000"/>
                <w:sz w:val="19"/>
                <w:szCs w:val="19"/>
              </w:rPr>
              <w:t xml:space="preserve"> </w:t>
            </w:r>
          </w:p>
        </w:tc>
        <w:tc>
          <w:tcPr>
            <w:tcW w:w="1767" w:type="dxa"/>
            <w:shd w:val="clear" w:color="auto" w:fill="F1F1F1"/>
          </w:tcPr>
          <w:p w14:paraId="5B444BC8" w14:textId="34A30C0E" w:rsidR="00462286" w:rsidRDefault="00462286" w:rsidP="00055D0B">
            <w:pPr>
              <w:pBdr>
                <w:top w:val="nil"/>
                <w:left w:val="nil"/>
                <w:bottom w:val="nil"/>
                <w:right w:val="nil"/>
                <w:between w:val="nil"/>
              </w:pBdr>
              <w:spacing w:before="113"/>
              <w:ind w:left="107"/>
              <w:rPr>
                <w:color w:val="000000"/>
                <w:sz w:val="19"/>
                <w:szCs w:val="19"/>
              </w:rPr>
            </w:pPr>
            <w:r>
              <w:rPr>
                <w:color w:val="000000"/>
                <w:sz w:val="19"/>
                <w:szCs w:val="19"/>
              </w:rPr>
              <w:t>0.92</w:t>
            </w:r>
          </w:p>
        </w:tc>
      </w:tr>
      <w:tr w:rsidR="00A432E5" w14:paraId="56DB0E13" w14:textId="77777777" w:rsidTr="00E772F1">
        <w:trPr>
          <w:trHeight w:val="467"/>
          <w:jc w:val="center"/>
        </w:trPr>
        <w:tc>
          <w:tcPr>
            <w:tcW w:w="1597" w:type="dxa"/>
            <w:shd w:val="clear" w:color="auto" w:fill="D1D1D1"/>
          </w:tcPr>
          <w:p w14:paraId="32167DE9" w14:textId="00F56ED1" w:rsidR="00A432E5" w:rsidRDefault="005A345A" w:rsidP="00055D0B">
            <w:pPr>
              <w:pBdr>
                <w:top w:val="nil"/>
                <w:left w:val="nil"/>
                <w:bottom w:val="nil"/>
                <w:right w:val="nil"/>
                <w:between w:val="nil"/>
              </w:pBdr>
              <w:ind w:left="107"/>
              <w:rPr>
                <w:color w:val="000000"/>
                <w:sz w:val="19"/>
                <w:szCs w:val="19"/>
              </w:rPr>
            </w:pPr>
            <w:r>
              <w:rPr>
                <w:color w:val="000000"/>
                <w:sz w:val="19"/>
                <w:szCs w:val="19"/>
              </w:rPr>
              <w:t>W16A8</w:t>
            </w:r>
            <w:r w:rsidR="00B66D78">
              <w:rPr>
                <w:color w:val="000000"/>
                <w:sz w:val="19"/>
                <w:szCs w:val="19"/>
              </w:rPr>
              <w:t xml:space="preserve"> 0-31</w:t>
            </w:r>
          </w:p>
        </w:tc>
        <w:tc>
          <w:tcPr>
            <w:tcW w:w="1767" w:type="dxa"/>
            <w:shd w:val="clear" w:color="auto" w:fill="E8E8E8"/>
          </w:tcPr>
          <w:p w14:paraId="23E92B8A" w14:textId="42A36D3D" w:rsidR="00A432E5" w:rsidRDefault="00A432E5" w:rsidP="00055D0B">
            <w:pPr>
              <w:pBdr>
                <w:top w:val="nil"/>
                <w:left w:val="nil"/>
                <w:bottom w:val="nil"/>
                <w:right w:val="nil"/>
                <w:between w:val="nil"/>
              </w:pBdr>
              <w:ind w:left="107"/>
              <w:rPr>
                <w:color w:val="000000"/>
                <w:sz w:val="19"/>
                <w:szCs w:val="19"/>
              </w:rPr>
            </w:pPr>
            <w:r>
              <w:rPr>
                <w:color w:val="000000"/>
                <w:sz w:val="19"/>
                <w:szCs w:val="19"/>
              </w:rPr>
              <w:t>0.</w:t>
            </w:r>
            <w:r w:rsidR="005A345A">
              <w:rPr>
                <w:color w:val="000000"/>
                <w:sz w:val="19"/>
                <w:szCs w:val="19"/>
              </w:rPr>
              <w:t>88</w:t>
            </w:r>
          </w:p>
        </w:tc>
      </w:tr>
      <w:tr w:rsidR="00A432E5" w14:paraId="13DDB558" w14:textId="77777777" w:rsidTr="00E772F1">
        <w:trPr>
          <w:trHeight w:val="467"/>
          <w:jc w:val="center"/>
        </w:trPr>
        <w:tc>
          <w:tcPr>
            <w:tcW w:w="1597" w:type="dxa"/>
            <w:tcBorders>
              <w:bottom w:val="single" w:sz="4" w:space="0" w:color="000000"/>
            </w:tcBorders>
            <w:shd w:val="clear" w:color="auto" w:fill="D1D1D1"/>
          </w:tcPr>
          <w:p w14:paraId="2CB7D9C0" w14:textId="77777777" w:rsidR="00A432E5" w:rsidRDefault="00A432E5" w:rsidP="00055D0B">
            <w:pPr>
              <w:pBdr>
                <w:top w:val="nil"/>
                <w:left w:val="nil"/>
                <w:bottom w:val="nil"/>
                <w:right w:val="nil"/>
                <w:between w:val="nil"/>
              </w:pBdr>
              <w:ind w:left="107"/>
              <w:rPr>
                <w:color w:val="000000"/>
                <w:sz w:val="19"/>
                <w:szCs w:val="19"/>
              </w:rPr>
            </w:pPr>
          </w:p>
        </w:tc>
        <w:tc>
          <w:tcPr>
            <w:tcW w:w="1767" w:type="dxa"/>
            <w:tcBorders>
              <w:bottom w:val="single" w:sz="4" w:space="0" w:color="000000"/>
            </w:tcBorders>
            <w:shd w:val="clear" w:color="auto" w:fill="E8E8E8"/>
          </w:tcPr>
          <w:p w14:paraId="24297557" w14:textId="77777777" w:rsidR="00A432E5" w:rsidRDefault="00A432E5" w:rsidP="00055D0B">
            <w:pPr>
              <w:pBdr>
                <w:top w:val="nil"/>
                <w:left w:val="nil"/>
                <w:bottom w:val="nil"/>
                <w:right w:val="nil"/>
                <w:between w:val="nil"/>
              </w:pBdr>
              <w:ind w:left="107"/>
              <w:rPr>
                <w:color w:val="000000"/>
                <w:sz w:val="19"/>
                <w:szCs w:val="19"/>
              </w:rPr>
            </w:pPr>
          </w:p>
        </w:tc>
      </w:tr>
    </w:tbl>
    <w:p w14:paraId="4011BED9" w14:textId="7B0C4E71" w:rsidR="00A57A0A" w:rsidRDefault="00A57A0A" w:rsidP="00672EFA">
      <w:pPr>
        <w:pBdr>
          <w:top w:val="nil"/>
          <w:left w:val="nil"/>
          <w:bottom w:val="nil"/>
          <w:right w:val="nil"/>
          <w:between w:val="nil"/>
        </w:pBdr>
        <w:spacing w:before="213" w:line="264" w:lineRule="auto"/>
        <w:ind w:left="96" w:right="38" w:hanging="10"/>
        <w:jc w:val="both"/>
        <w:rPr>
          <w:color w:val="000000" w:themeColor="text1"/>
          <w:sz w:val="19"/>
          <w:szCs w:val="19"/>
          <w:lang w:val="en-AU"/>
        </w:rPr>
      </w:pPr>
      <w:r w:rsidRPr="00A57A0A">
        <w:rPr>
          <w:color w:val="000000" w:themeColor="text1"/>
          <w:sz w:val="19"/>
          <w:szCs w:val="19"/>
          <w:lang w:val="en-AU"/>
        </w:rPr>
        <w:t xml:space="preserve">Meanwhile, this also confirms the initial experiment’s study of the temporal axis. Early timesteps showed more </w:t>
      </w:r>
      <w:r w:rsidRPr="00A57A0A">
        <w:rPr>
          <w:color w:val="000000" w:themeColor="text1"/>
          <w:sz w:val="19"/>
          <w:szCs w:val="19"/>
          <w:lang w:val="en-AU"/>
        </w:rPr>
        <w:t>sensitivity and</w:t>
      </w:r>
      <w:r w:rsidRPr="00A57A0A">
        <w:rPr>
          <w:color w:val="000000" w:themeColor="text1"/>
          <w:sz w:val="19"/>
          <w:szCs w:val="19"/>
          <w:lang w:val="en-AU"/>
        </w:rPr>
        <w:t xml:space="preserve"> perturbing them alone had a negative effect. Again, full-timestep quantization improved accuracy. Quantizing all steps </w:t>
      </w:r>
      <w:r w:rsidR="00E85F01">
        <w:rPr>
          <w:color w:val="000000" w:themeColor="text1"/>
          <w:sz w:val="19"/>
          <w:szCs w:val="19"/>
          <w:lang w:val="en-AU"/>
        </w:rPr>
        <w:t>shows</w:t>
      </w:r>
      <w:r w:rsidRPr="00A57A0A">
        <w:rPr>
          <w:color w:val="000000" w:themeColor="text1"/>
          <w:sz w:val="19"/>
          <w:szCs w:val="19"/>
          <w:lang w:val="en-AU"/>
        </w:rPr>
        <w:t xml:space="preserve"> </w:t>
      </w:r>
      <w:r w:rsidR="00E85F01">
        <w:rPr>
          <w:color w:val="000000" w:themeColor="text1"/>
          <w:sz w:val="19"/>
          <w:szCs w:val="19"/>
          <w:lang w:val="en-AU"/>
        </w:rPr>
        <w:t>slightly</w:t>
      </w:r>
      <w:r w:rsidRPr="00A57A0A">
        <w:rPr>
          <w:color w:val="000000" w:themeColor="text1"/>
          <w:sz w:val="19"/>
          <w:szCs w:val="19"/>
          <w:lang w:val="en-AU"/>
        </w:rPr>
        <w:t xml:space="preserve"> better</w:t>
      </w:r>
      <w:r w:rsidR="00E85F01">
        <w:rPr>
          <w:color w:val="000000" w:themeColor="text1"/>
          <w:sz w:val="19"/>
          <w:szCs w:val="19"/>
          <w:lang w:val="en-AU"/>
        </w:rPr>
        <w:t xml:space="preserve"> performance</w:t>
      </w:r>
      <w:r w:rsidRPr="00A57A0A">
        <w:rPr>
          <w:color w:val="000000" w:themeColor="text1"/>
          <w:sz w:val="19"/>
          <w:szCs w:val="19"/>
          <w:lang w:val="en-AU"/>
        </w:rPr>
        <w:t xml:space="preserve"> than quantizing only a small early window in </w:t>
      </w:r>
      <w:r w:rsidR="00CC00D5">
        <w:rPr>
          <w:color w:val="000000" w:themeColor="text1"/>
          <w:sz w:val="19"/>
          <w:szCs w:val="19"/>
          <w:lang w:val="en-AU"/>
        </w:rPr>
        <w:t>Table III and Table IV</w:t>
      </w:r>
      <w:r w:rsidRPr="00A57A0A">
        <w:rPr>
          <w:color w:val="000000" w:themeColor="text1"/>
          <w:sz w:val="19"/>
          <w:szCs w:val="19"/>
          <w:lang w:val="en-AU"/>
        </w:rPr>
        <w:t>, supporting the initial finding that timestep quantization may work better when applied consistently across the flow trajectory. It also suggests that later steps may be less sensitive than earlier steps.</w:t>
      </w:r>
    </w:p>
    <w:p w14:paraId="723FB170" w14:textId="2E600E20" w:rsidR="00E112E5" w:rsidRPr="00293462" w:rsidRDefault="00E112E5" w:rsidP="00E112E5">
      <w:pPr>
        <w:pStyle w:val="Heading2"/>
        <w:numPr>
          <w:ilvl w:val="1"/>
          <w:numId w:val="7"/>
        </w:numPr>
        <w:pBdr>
          <w:top w:val="nil"/>
          <w:left w:val="nil"/>
          <w:bottom w:val="nil"/>
          <w:right w:val="nil"/>
          <w:between w:val="nil"/>
        </w:pBdr>
        <w:tabs>
          <w:tab w:val="left" w:pos="483"/>
        </w:tabs>
        <w:spacing w:before="213" w:line="264" w:lineRule="auto"/>
        <w:ind w:left="96" w:right="38" w:hanging="10"/>
        <w:jc w:val="both"/>
        <w:rPr>
          <w:color w:val="000000" w:themeColor="text1"/>
          <w:sz w:val="19"/>
          <w:szCs w:val="19"/>
          <w:lang w:val="en-AU"/>
        </w:rPr>
      </w:pPr>
      <w:r>
        <w:rPr>
          <w:lang w:val="en-US"/>
        </w:rPr>
        <w:t>Stress Test</w:t>
      </w:r>
    </w:p>
    <w:p w14:paraId="14EC9D21" w14:textId="58392F1F" w:rsidR="00005817" w:rsidRDefault="00005817" w:rsidP="004C343D">
      <w:pPr>
        <w:pBdr>
          <w:top w:val="nil"/>
          <w:left w:val="nil"/>
          <w:bottom w:val="nil"/>
          <w:right w:val="nil"/>
          <w:between w:val="nil"/>
        </w:pBdr>
        <w:spacing w:before="213" w:line="264" w:lineRule="auto"/>
        <w:ind w:left="96" w:right="38" w:hanging="10"/>
        <w:jc w:val="both"/>
        <w:rPr>
          <w:color w:val="000000" w:themeColor="text1"/>
          <w:sz w:val="19"/>
          <w:szCs w:val="19"/>
          <w:lang w:val="en-AU"/>
        </w:rPr>
      </w:pPr>
      <w:r w:rsidRPr="00005817">
        <w:rPr>
          <w:color w:val="000000" w:themeColor="text1"/>
          <w:sz w:val="19"/>
          <w:szCs w:val="19"/>
          <w:lang w:val="en-AU"/>
        </w:rPr>
        <w:t>The top five most failed tasks were tested as a stress test, and the results showed that it is still too early to say that full-timestep quantization is indeed better than other settings. Early windows may be more sensitive, while full-step quantization can remain strong because the whole flow trajectory stays under one consistent precision regime. However, in stress or high-failure-boundary tasks, full-step quantization can fail more aggressively</w:t>
      </w:r>
      <w:r w:rsidR="00C04324">
        <w:rPr>
          <w:color w:val="000000" w:themeColor="text1"/>
          <w:sz w:val="19"/>
          <w:szCs w:val="19"/>
          <w:lang w:val="en-AU"/>
        </w:rPr>
        <w:t>.</w:t>
      </w:r>
    </w:p>
    <w:p w14:paraId="2DFF781C" w14:textId="77777777" w:rsidR="006B2DAE" w:rsidRPr="004D4BB3" w:rsidRDefault="006B2DAE" w:rsidP="006B2DAE">
      <w:pPr>
        <w:spacing w:before="240" w:after="240" w:line="264" w:lineRule="auto"/>
        <w:jc w:val="center"/>
        <w:rPr>
          <w:sz w:val="16"/>
          <w:szCs w:val="16"/>
        </w:rPr>
      </w:pPr>
      <w:r>
        <w:rPr>
          <w:sz w:val="16"/>
          <w:szCs w:val="16"/>
        </w:rPr>
        <w:lastRenderedPageBreak/>
        <w:t>TABLE IV</w:t>
      </w:r>
    </w:p>
    <w:p w14:paraId="3CAF8F2E" w14:textId="77777777" w:rsidR="006B2DAE" w:rsidRDefault="006B2DAE" w:rsidP="006B2DAE">
      <w:pPr>
        <w:ind w:left="605"/>
        <w:rPr>
          <w:sz w:val="16"/>
          <w:szCs w:val="16"/>
        </w:rPr>
      </w:pPr>
      <w:r>
        <w:rPr>
          <w:sz w:val="16"/>
          <w:szCs w:val="16"/>
        </w:rPr>
        <w:t xml:space="preserve">Table 4. </w:t>
      </w:r>
      <w:r w:rsidRPr="008A2323">
        <w:rPr>
          <w:sz w:val="16"/>
          <w:szCs w:val="16"/>
        </w:rPr>
        <w:t xml:space="preserve">Effect of </w:t>
      </w:r>
      <w:r w:rsidRPr="00CA6173">
        <w:rPr>
          <w:sz w:val="16"/>
          <w:szCs w:val="16"/>
        </w:rPr>
        <w:t>Flow-Window Coverage</w:t>
      </w:r>
      <w:r>
        <w:rPr>
          <w:sz w:val="16"/>
          <w:szCs w:val="16"/>
        </w:rPr>
        <w:t xml:space="preserve"> </w:t>
      </w:r>
      <w:r w:rsidRPr="008A2323">
        <w:rPr>
          <w:sz w:val="16"/>
          <w:szCs w:val="16"/>
        </w:rPr>
        <w:t>on LIBERO-Goal under the W8A16 / 130-L</w:t>
      </w:r>
      <w:r>
        <w:rPr>
          <w:sz w:val="16"/>
          <w:szCs w:val="16"/>
        </w:rPr>
        <w:t>ayer</w:t>
      </w:r>
      <w:r w:rsidRPr="008A2323">
        <w:rPr>
          <w:sz w:val="16"/>
          <w:szCs w:val="16"/>
        </w:rPr>
        <w:t xml:space="preserve"> Setting</w:t>
      </w:r>
    </w:p>
    <w:p w14:paraId="3614BCB7" w14:textId="77777777" w:rsidR="006B2DAE" w:rsidRDefault="006B2DAE" w:rsidP="006B2DAE">
      <w:pPr>
        <w:ind w:left="605"/>
        <w:jc w:val="center"/>
        <w:rPr>
          <w:sz w:val="16"/>
          <w:szCs w:val="16"/>
        </w:rPr>
      </w:pPr>
    </w:p>
    <w:tbl>
      <w:tblPr>
        <w:tblW w:w="3364" w:type="dxa"/>
        <w:jc w:val="center"/>
        <w:tblLayout w:type="fixed"/>
        <w:tblLook w:val="0000" w:firstRow="0" w:lastRow="0" w:firstColumn="0" w:lastColumn="0" w:noHBand="0" w:noVBand="0"/>
      </w:tblPr>
      <w:tblGrid>
        <w:gridCol w:w="1597"/>
        <w:gridCol w:w="1767"/>
      </w:tblGrid>
      <w:tr w:rsidR="006B2DAE" w14:paraId="6DEC8990" w14:textId="77777777" w:rsidTr="00055D0B">
        <w:trPr>
          <w:trHeight w:val="536"/>
          <w:jc w:val="center"/>
        </w:trPr>
        <w:tc>
          <w:tcPr>
            <w:tcW w:w="1597" w:type="dxa"/>
            <w:tcBorders>
              <w:top w:val="single" w:sz="4" w:space="0" w:color="000000"/>
            </w:tcBorders>
            <w:shd w:val="clear" w:color="auto" w:fill="D1D1D1"/>
          </w:tcPr>
          <w:p w14:paraId="54988CA0" w14:textId="77777777" w:rsidR="006B2DAE" w:rsidRDefault="006B2DAE" w:rsidP="00055D0B">
            <w:pPr>
              <w:pBdr>
                <w:top w:val="nil"/>
                <w:left w:val="nil"/>
                <w:bottom w:val="nil"/>
                <w:right w:val="nil"/>
                <w:between w:val="nil"/>
              </w:pBdr>
              <w:ind w:left="107"/>
              <w:rPr>
                <w:color w:val="000000"/>
                <w:sz w:val="19"/>
                <w:szCs w:val="19"/>
              </w:rPr>
            </w:pPr>
            <w:r>
              <w:rPr>
                <w:color w:val="000000"/>
                <w:sz w:val="19"/>
                <w:szCs w:val="19"/>
              </w:rPr>
              <w:t>Target16</w:t>
            </w:r>
          </w:p>
        </w:tc>
        <w:tc>
          <w:tcPr>
            <w:tcW w:w="1767" w:type="dxa"/>
            <w:tcBorders>
              <w:top w:val="single" w:sz="4" w:space="0" w:color="000000"/>
            </w:tcBorders>
            <w:shd w:val="clear" w:color="auto" w:fill="E8E8E8"/>
          </w:tcPr>
          <w:p w14:paraId="7B57AF49" w14:textId="77777777" w:rsidR="006B2DAE" w:rsidRDefault="006B2DAE" w:rsidP="00055D0B">
            <w:pPr>
              <w:pBdr>
                <w:top w:val="nil"/>
                <w:left w:val="nil"/>
                <w:bottom w:val="nil"/>
                <w:right w:val="nil"/>
                <w:between w:val="nil"/>
              </w:pBdr>
              <w:ind w:left="107"/>
              <w:rPr>
                <w:color w:val="000000"/>
                <w:sz w:val="19"/>
                <w:szCs w:val="19"/>
              </w:rPr>
            </w:pPr>
            <w:r>
              <w:rPr>
                <w:color w:val="000000"/>
                <w:sz w:val="19"/>
                <w:szCs w:val="19"/>
              </w:rPr>
              <w:t>Accuracy</w:t>
            </w:r>
          </w:p>
        </w:tc>
      </w:tr>
      <w:tr w:rsidR="006B2DAE" w14:paraId="6FB90FCA" w14:textId="77777777" w:rsidTr="00055D0B">
        <w:trPr>
          <w:trHeight w:val="510"/>
          <w:jc w:val="center"/>
        </w:trPr>
        <w:tc>
          <w:tcPr>
            <w:tcW w:w="1597" w:type="dxa"/>
            <w:shd w:val="clear" w:color="auto" w:fill="E8E8E8"/>
          </w:tcPr>
          <w:p w14:paraId="266657DE" w14:textId="77777777" w:rsidR="006B2DAE" w:rsidRDefault="006B2DAE" w:rsidP="00055D0B">
            <w:pPr>
              <w:pBdr>
                <w:top w:val="nil"/>
                <w:left w:val="nil"/>
                <w:bottom w:val="nil"/>
                <w:right w:val="nil"/>
                <w:between w:val="nil"/>
              </w:pBdr>
              <w:spacing w:line="264" w:lineRule="auto"/>
              <w:ind w:left="107"/>
              <w:rPr>
                <w:color w:val="000000"/>
                <w:sz w:val="19"/>
                <w:szCs w:val="19"/>
              </w:rPr>
            </w:pPr>
            <w:r w:rsidRPr="00824018">
              <w:rPr>
                <w:color w:val="000000"/>
                <w:sz w:val="19"/>
                <w:szCs w:val="19"/>
              </w:rPr>
              <w:t>W8A16 reference, no A8</w:t>
            </w:r>
            <w:r>
              <w:rPr>
                <w:color w:val="000000"/>
                <w:sz w:val="19"/>
                <w:szCs w:val="19"/>
              </w:rPr>
              <w:t>Baseline</w:t>
            </w:r>
          </w:p>
        </w:tc>
        <w:tc>
          <w:tcPr>
            <w:tcW w:w="1767" w:type="dxa"/>
            <w:shd w:val="clear" w:color="auto" w:fill="F1F1F1"/>
          </w:tcPr>
          <w:p w14:paraId="3F45B18C" w14:textId="77777777" w:rsidR="006B2DAE" w:rsidRDefault="006B2DAE" w:rsidP="00055D0B">
            <w:pPr>
              <w:pBdr>
                <w:top w:val="nil"/>
                <w:left w:val="nil"/>
                <w:bottom w:val="nil"/>
                <w:right w:val="nil"/>
                <w:between w:val="nil"/>
              </w:pBdr>
              <w:ind w:left="107"/>
              <w:rPr>
                <w:color w:val="000000"/>
                <w:sz w:val="19"/>
                <w:szCs w:val="19"/>
              </w:rPr>
            </w:pPr>
            <w:r>
              <w:rPr>
                <w:color w:val="000000"/>
                <w:sz w:val="19"/>
                <w:szCs w:val="19"/>
              </w:rPr>
              <w:t>0.88</w:t>
            </w:r>
          </w:p>
        </w:tc>
      </w:tr>
      <w:tr w:rsidR="006B2DAE" w14:paraId="3D6BBB82" w14:textId="77777777" w:rsidTr="00055D0B">
        <w:trPr>
          <w:trHeight w:val="417"/>
          <w:jc w:val="center"/>
        </w:trPr>
        <w:tc>
          <w:tcPr>
            <w:tcW w:w="1597" w:type="dxa"/>
            <w:shd w:val="clear" w:color="auto" w:fill="E8E8E8"/>
          </w:tcPr>
          <w:p w14:paraId="299FA09C" w14:textId="77777777" w:rsidR="006B2DAE" w:rsidRDefault="006B2DAE" w:rsidP="00055D0B">
            <w:pPr>
              <w:pBdr>
                <w:top w:val="nil"/>
                <w:left w:val="nil"/>
                <w:bottom w:val="nil"/>
                <w:right w:val="nil"/>
                <w:between w:val="nil"/>
              </w:pBdr>
              <w:spacing w:before="113" w:line="264" w:lineRule="auto"/>
              <w:ind w:left="107"/>
              <w:rPr>
                <w:color w:val="000000"/>
                <w:sz w:val="19"/>
                <w:szCs w:val="19"/>
              </w:rPr>
            </w:pPr>
            <w:r w:rsidRPr="00824018">
              <w:rPr>
                <w:color w:val="000000"/>
                <w:sz w:val="19"/>
                <w:szCs w:val="19"/>
              </w:rPr>
              <w:t xml:space="preserve">W8A16 </w:t>
            </w:r>
            <w:r>
              <w:rPr>
                <w:color w:val="000000"/>
                <w:sz w:val="19"/>
                <w:szCs w:val="19"/>
              </w:rPr>
              <w:t>0-7</w:t>
            </w:r>
          </w:p>
        </w:tc>
        <w:tc>
          <w:tcPr>
            <w:tcW w:w="1767" w:type="dxa"/>
            <w:shd w:val="clear" w:color="auto" w:fill="F1F1F1"/>
          </w:tcPr>
          <w:p w14:paraId="6BE14D9F" w14:textId="77777777" w:rsidR="006B2DAE" w:rsidRDefault="006B2DAE" w:rsidP="00055D0B">
            <w:pPr>
              <w:pBdr>
                <w:top w:val="nil"/>
                <w:left w:val="nil"/>
                <w:bottom w:val="nil"/>
                <w:right w:val="nil"/>
                <w:between w:val="nil"/>
              </w:pBdr>
              <w:spacing w:before="113"/>
              <w:ind w:left="107"/>
              <w:rPr>
                <w:color w:val="000000"/>
                <w:sz w:val="19"/>
                <w:szCs w:val="19"/>
              </w:rPr>
            </w:pPr>
            <w:r w:rsidRPr="00A432E5">
              <w:rPr>
                <w:color w:val="000000"/>
                <w:sz w:val="19"/>
                <w:szCs w:val="19"/>
              </w:rPr>
              <w:t>0.86</w:t>
            </w:r>
          </w:p>
        </w:tc>
      </w:tr>
      <w:tr w:rsidR="006B2DAE" w14:paraId="211608F7" w14:textId="77777777" w:rsidTr="00055D0B">
        <w:trPr>
          <w:trHeight w:val="595"/>
          <w:jc w:val="center"/>
        </w:trPr>
        <w:tc>
          <w:tcPr>
            <w:tcW w:w="1597" w:type="dxa"/>
            <w:shd w:val="clear" w:color="auto" w:fill="E8E8E8"/>
          </w:tcPr>
          <w:p w14:paraId="69052FAF" w14:textId="77777777" w:rsidR="006B2DAE" w:rsidRDefault="006B2DAE" w:rsidP="00055D0B">
            <w:pPr>
              <w:pBdr>
                <w:top w:val="nil"/>
                <w:left w:val="nil"/>
                <w:bottom w:val="nil"/>
                <w:right w:val="nil"/>
                <w:between w:val="nil"/>
              </w:pBdr>
              <w:spacing w:before="113" w:line="264" w:lineRule="auto"/>
              <w:ind w:left="107"/>
              <w:rPr>
                <w:color w:val="000000"/>
                <w:sz w:val="19"/>
                <w:szCs w:val="19"/>
              </w:rPr>
            </w:pPr>
            <w:r w:rsidRPr="00824018">
              <w:rPr>
                <w:color w:val="000000"/>
                <w:sz w:val="19"/>
                <w:szCs w:val="19"/>
              </w:rPr>
              <w:t xml:space="preserve">W8A16 </w:t>
            </w:r>
            <w:r w:rsidRPr="004D4BB3">
              <w:rPr>
                <w:color w:val="000000"/>
                <w:sz w:val="19"/>
                <w:szCs w:val="19"/>
              </w:rPr>
              <w:t>8–15</w:t>
            </w:r>
          </w:p>
        </w:tc>
        <w:tc>
          <w:tcPr>
            <w:tcW w:w="1767" w:type="dxa"/>
            <w:shd w:val="clear" w:color="auto" w:fill="F1F1F1"/>
          </w:tcPr>
          <w:p w14:paraId="07033507" w14:textId="77777777" w:rsidR="006B2DAE" w:rsidRDefault="006B2DAE" w:rsidP="00055D0B">
            <w:pPr>
              <w:pBdr>
                <w:top w:val="nil"/>
                <w:left w:val="nil"/>
                <w:bottom w:val="nil"/>
                <w:right w:val="nil"/>
                <w:between w:val="nil"/>
              </w:pBdr>
              <w:spacing w:before="113"/>
              <w:ind w:left="107"/>
              <w:rPr>
                <w:color w:val="000000"/>
                <w:sz w:val="19"/>
                <w:szCs w:val="19"/>
              </w:rPr>
            </w:pPr>
            <w:r>
              <w:rPr>
                <w:color w:val="000000"/>
                <w:sz w:val="19"/>
                <w:szCs w:val="19"/>
              </w:rPr>
              <w:t>0.86</w:t>
            </w:r>
          </w:p>
        </w:tc>
      </w:tr>
      <w:tr w:rsidR="006B2DAE" w14:paraId="1D1F5E32" w14:textId="77777777" w:rsidTr="00055D0B">
        <w:trPr>
          <w:trHeight w:val="595"/>
          <w:jc w:val="center"/>
        </w:trPr>
        <w:tc>
          <w:tcPr>
            <w:tcW w:w="1597" w:type="dxa"/>
            <w:shd w:val="clear" w:color="auto" w:fill="E8E8E8"/>
          </w:tcPr>
          <w:p w14:paraId="6562A0C7" w14:textId="77777777" w:rsidR="006B2DAE" w:rsidRDefault="006B2DAE" w:rsidP="00055D0B">
            <w:pPr>
              <w:pBdr>
                <w:top w:val="nil"/>
                <w:left w:val="nil"/>
                <w:bottom w:val="nil"/>
                <w:right w:val="nil"/>
                <w:between w:val="nil"/>
              </w:pBdr>
              <w:spacing w:before="113" w:line="264" w:lineRule="auto"/>
              <w:ind w:left="107"/>
              <w:rPr>
                <w:color w:val="000000"/>
                <w:sz w:val="19"/>
                <w:szCs w:val="19"/>
              </w:rPr>
            </w:pPr>
            <w:r w:rsidRPr="00824018">
              <w:rPr>
                <w:color w:val="000000"/>
                <w:sz w:val="19"/>
                <w:szCs w:val="19"/>
              </w:rPr>
              <w:t xml:space="preserve">W8A16 </w:t>
            </w:r>
            <w:r w:rsidRPr="004D4BB3">
              <w:rPr>
                <w:color w:val="000000"/>
                <w:sz w:val="19"/>
                <w:szCs w:val="19"/>
              </w:rPr>
              <w:t>16–23</w:t>
            </w:r>
          </w:p>
        </w:tc>
        <w:tc>
          <w:tcPr>
            <w:tcW w:w="1767" w:type="dxa"/>
            <w:shd w:val="clear" w:color="auto" w:fill="F1F1F1"/>
          </w:tcPr>
          <w:p w14:paraId="13BEE337" w14:textId="77777777" w:rsidR="006B2DAE" w:rsidRDefault="006B2DAE" w:rsidP="00055D0B">
            <w:pPr>
              <w:pBdr>
                <w:top w:val="nil"/>
                <w:left w:val="nil"/>
                <w:bottom w:val="nil"/>
                <w:right w:val="nil"/>
                <w:between w:val="nil"/>
              </w:pBdr>
              <w:spacing w:before="113"/>
              <w:ind w:left="107"/>
              <w:rPr>
                <w:color w:val="000000"/>
                <w:sz w:val="19"/>
                <w:szCs w:val="19"/>
              </w:rPr>
            </w:pPr>
            <w:r>
              <w:rPr>
                <w:color w:val="000000"/>
                <w:sz w:val="19"/>
                <w:szCs w:val="19"/>
              </w:rPr>
              <w:t>0.88</w:t>
            </w:r>
          </w:p>
        </w:tc>
      </w:tr>
      <w:tr w:rsidR="006B2DAE" w14:paraId="41FDC21B" w14:textId="77777777" w:rsidTr="00055D0B">
        <w:trPr>
          <w:trHeight w:val="595"/>
          <w:jc w:val="center"/>
        </w:trPr>
        <w:tc>
          <w:tcPr>
            <w:tcW w:w="1597" w:type="dxa"/>
            <w:shd w:val="clear" w:color="auto" w:fill="E8E8E8"/>
          </w:tcPr>
          <w:p w14:paraId="576D53E4" w14:textId="77777777" w:rsidR="006B2DAE" w:rsidRDefault="006B2DAE" w:rsidP="00055D0B">
            <w:pPr>
              <w:pBdr>
                <w:top w:val="nil"/>
                <w:left w:val="nil"/>
                <w:bottom w:val="nil"/>
                <w:right w:val="nil"/>
                <w:between w:val="nil"/>
              </w:pBdr>
              <w:spacing w:before="113" w:line="264" w:lineRule="auto"/>
              <w:ind w:left="107"/>
              <w:rPr>
                <w:color w:val="000000"/>
                <w:sz w:val="19"/>
                <w:szCs w:val="19"/>
              </w:rPr>
            </w:pPr>
            <w:r w:rsidRPr="00824018">
              <w:rPr>
                <w:color w:val="000000"/>
                <w:sz w:val="19"/>
                <w:szCs w:val="19"/>
              </w:rPr>
              <w:t xml:space="preserve">W8A16 </w:t>
            </w:r>
            <w:r w:rsidRPr="004D4BB3">
              <w:rPr>
                <w:color w:val="000000"/>
                <w:sz w:val="19"/>
                <w:szCs w:val="19"/>
              </w:rPr>
              <w:t>24–31</w:t>
            </w:r>
          </w:p>
        </w:tc>
        <w:tc>
          <w:tcPr>
            <w:tcW w:w="1767" w:type="dxa"/>
            <w:shd w:val="clear" w:color="auto" w:fill="F1F1F1"/>
          </w:tcPr>
          <w:p w14:paraId="183846B8" w14:textId="77777777" w:rsidR="006B2DAE" w:rsidRDefault="006B2DAE" w:rsidP="00055D0B">
            <w:pPr>
              <w:pBdr>
                <w:top w:val="nil"/>
                <w:left w:val="nil"/>
                <w:bottom w:val="nil"/>
                <w:right w:val="nil"/>
                <w:between w:val="nil"/>
              </w:pBdr>
              <w:spacing w:before="113"/>
              <w:ind w:left="107"/>
              <w:rPr>
                <w:color w:val="000000"/>
                <w:sz w:val="19"/>
                <w:szCs w:val="19"/>
              </w:rPr>
            </w:pPr>
            <w:r>
              <w:rPr>
                <w:color w:val="000000"/>
                <w:sz w:val="19"/>
                <w:szCs w:val="19"/>
              </w:rPr>
              <w:t>0.94</w:t>
            </w:r>
          </w:p>
        </w:tc>
      </w:tr>
      <w:tr w:rsidR="006B2DAE" w14:paraId="2B717683" w14:textId="77777777" w:rsidTr="00055D0B">
        <w:trPr>
          <w:trHeight w:val="595"/>
          <w:jc w:val="center"/>
        </w:trPr>
        <w:tc>
          <w:tcPr>
            <w:tcW w:w="1597" w:type="dxa"/>
            <w:shd w:val="clear" w:color="auto" w:fill="E8E8E8"/>
          </w:tcPr>
          <w:p w14:paraId="3F0C67AA" w14:textId="77777777" w:rsidR="006B2DAE" w:rsidRPr="004D4BB3" w:rsidRDefault="006B2DAE" w:rsidP="00055D0B">
            <w:pPr>
              <w:pBdr>
                <w:top w:val="nil"/>
                <w:left w:val="nil"/>
                <w:bottom w:val="nil"/>
                <w:right w:val="nil"/>
                <w:between w:val="nil"/>
              </w:pBdr>
              <w:spacing w:before="113" w:line="264" w:lineRule="auto"/>
              <w:ind w:left="107"/>
              <w:rPr>
                <w:color w:val="000000"/>
                <w:sz w:val="19"/>
                <w:szCs w:val="19"/>
              </w:rPr>
            </w:pPr>
            <w:r w:rsidRPr="00824018">
              <w:rPr>
                <w:color w:val="000000"/>
                <w:sz w:val="19"/>
                <w:szCs w:val="19"/>
              </w:rPr>
              <w:t xml:space="preserve">W8A16 </w:t>
            </w:r>
            <w:r>
              <w:rPr>
                <w:color w:val="000000"/>
                <w:sz w:val="19"/>
                <w:szCs w:val="19"/>
              </w:rPr>
              <w:t>0-15</w:t>
            </w:r>
          </w:p>
        </w:tc>
        <w:tc>
          <w:tcPr>
            <w:tcW w:w="1767" w:type="dxa"/>
            <w:shd w:val="clear" w:color="auto" w:fill="F1F1F1"/>
          </w:tcPr>
          <w:p w14:paraId="59F1C723" w14:textId="77777777" w:rsidR="006B2DAE" w:rsidRDefault="006B2DAE" w:rsidP="00055D0B">
            <w:pPr>
              <w:pBdr>
                <w:top w:val="nil"/>
                <w:left w:val="nil"/>
                <w:bottom w:val="nil"/>
                <w:right w:val="nil"/>
                <w:between w:val="nil"/>
              </w:pBdr>
              <w:spacing w:before="113"/>
              <w:ind w:left="107"/>
              <w:rPr>
                <w:color w:val="000000"/>
                <w:sz w:val="19"/>
                <w:szCs w:val="19"/>
              </w:rPr>
            </w:pPr>
            <w:r>
              <w:rPr>
                <w:color w:val="000000"/>
                <w:sz w:val="19"/>
                <w:szCs w:val="19"/>
              </w:rPr>
              <w:t>0.88</w:t>
            </w:r>
          </w:p>
        </w:tc>
      </w:tr>
      <w:tr w:rsidR="006B2DAE" w14:paraId="3DA060AD" w14:textId="77777777" w:rsidTr="00055D0B">
        <w:trPr>
          <w:trHeight w:val="595"/>
          <w:jc w:val="center"/>
        </w:trPr>
        <w:tc>
          <w:tcPr>
            <w:tcW w:w="1597" w:type="dxa"/>
            <w:shd w:val="clear" w:color="auto" w:fill="E8E8E8"/>
          </w:tcPr>
          <w:p w14:paraId="3ADC4F8A" w14:textId="77777777" w:rsidR="006B2DAE" w:rsidRDefault="006B2DAE" w:rsidP="00055D0B">
            <w:pPr>
              <w:pBdr>
                <w:top w:val="nil"/>
                <w:left w:val="nil"/>
                <w:bottom w:val="nil"/>
                <w:right w:val="nil"/>
                <w:between w:val="nil"/>
              </w:pBdr>
              <w:spacing w:before="113" w:line="264" w:lineRule="auto"/>
              <w:ind w:left="107"/>
              <w:rPr>
                <w:color w:val="000000"/>
                <w:sz w:val="19"/>
                <w:szCs w:val="19"/>
              </w:rPr>
            </w:pPr>
            <w:r w:rsidRPr="00824018">
              <w:rPr>
                <w:color w:val="000000"/>
                <w:sz w:val="19"/>
                <w:szCs w:val="19"/>
              </w:rPr>
              <w:t xml:space="preserve">W8A16 </w:t>
            </w:r>
            <w:r>
              <w:rPr>
                <w:color w:val="000000"/>
                <w:sz w:val="19"/>
                <w:szCs w:val="19"/>
              </w:rPr>
              <w:t>0-23</w:t>
            </w:r>
          </w:p>
        </w:tc>
        <w:tc>
          <w:tcPr>
            <w:tcW w:w="1767" w:type="dxa"/>
            <w:shd w:val="clear" w:color="auto" w:fill="F1F1F1"/>
          </w:tcPr>
          <w:p w14:paraId="30E433B4" w14:textId="77777777" w:rsidR="006B2DAE" w:rsidRDefault="006B2DAE" w:rsidP="00055D0B">
            <w:pPr>
              <w:pBdr>
                <w:top w:val="nil"/>
                <w:left w:val="nil"/>
                <w:bottom w:val="nil"/>
                <w:right w:val="nil"/>
                <w:between w:val="nil"/>
              </w:pBdr>
              <w:spacing w:before="113"/>
              <w:ind w:left="107"/>
              <w:rPr>
                <w:color w:val="000000"/>
                <w:sz w:val="19"/>
                <w:szCs w:val="19"/>
              </w:rPr>
            </w:pPr>
            <w:r>
              <w:rPr>
                <w:color w:val="000000"/>
                <w:sz w:val="19"/>
                <w:szCs w:val="19"/>
              </w:rPr>
              <w:t>0.92</w:t>
            </w:r>
          </w:p>
        </w:tc>
      </w:tr>
      <w:tr w:rsidR="006B2DAE" w14:paraId="0F110832" w14:textId="77777777" w:rsidTr="00055D0B">
        <w:trPr>
          <w:trHeight w:val="595"/>
          <w:jc w:val="center"/>
        </w:trPr>
        <w:tc>
          <w:tcPr>
            <w:tcW w:w="1597" w:type="dxa"/>
            <w:shd w:val="clear" w:color="auto" w:fill="E8E8E8"/>
          </w:tcPr>
          <w:p w14:paraId="4CA98FFC" w14:textId="77777777" w:rsidR="006B2DAE" w:rsidRDefault="006B2DAE" w:rsidP="00055D0B">
            <w:pPr>
              <w:pBdr>
                <w:top w:val="nil"/>
                <w:left w:val="nil"/>
                <w:bottom w:val="nil"/>
                <w:right w:val="nil"/>
                <w:between w:val="nil"/>
              </w:pBdr>
              <w:spacing w:before="113" w:line="264" w:lineRule="auto"/>
              <w:ind w:left="107"/>
              <w:rPr>
                <w:color w:val="000000"/>
                <w:sz w:val="19"/>
                <w:szCs w:val="19"/>
              </w:rPr>
            </w:pPr>
            <w:r w:rsidRPr="00824018">
              <w:rPr>
                <w:color w:val="000000"/>
                <w:sz w:val="19"/>
                <w:szCs w:val="19"/>
              </w:rPr>
              <w:t xml:space="preserve">W8A16 </w:t>
            </w:r>
            <w:r>
              <w:rPr>
                <w:color w:val="000000"/>
                <w:sz w:val="19"/>
                <w:szCs w:val="19"/>
              </w:rPr>
              <w:t xml:space="preserve">0-31 </w:t>
            </w:r>
          </w:p>
        </w:tc>
        <w:tc>
          <w:tcPr>
            <w:tcW w:w="1767" w:type="dxa"/>
            <w:shd w:val="clear" w:color="auto" w:fill="F1F1F1"/>
          </w:tcPr>
          <w:p w14:paraId="200586CC" w14:textId="77777777" w:rsidR="006B2DAE" w:rsidRDefault="006B2DAE" w:rsidP="00055D0B">
            <w:pPr>
              <w:pBdr>
                <w:top w:val="nil"/>
                <w:left w:val="nil"/>
                <w:bottom w:val="nil"/>
                <w:right w:val="nil"/>
                <w:between w:val="nil"/>
              </w:pBdr>
              <w:spacing w:before="113"/>
              <w:ind w:left="107"/>
              <w:rPr>
                <w:color w:val="000000"/>
                <w:sz w:val="19"/>
                <w:szCs w:val="19"/>
              </w:rPr>
            </w:pPr>
            <w:r>
              <w:rPr>
                <w:color w:val="000000"/>
                <w:sz w:val="19"/>
                <w:szCs w:val="19"/>
              </w:rPr>
              <w:t>0.92</w:t>
            </w:r>
          </w:p>
        </w:tc>
      </w:tr>
      <w:tr w:rsidR="006B2DAE" w14:paraId="376B554B" w14:textId="77777777" w:rsidTr="00055D0B">
        <w:trPr>
          <w:trHeight w:val="467"/>
          <w:jc w:val="center"/>
        </w:trPr>
        <w:tc>
          <w:tcPr>
            <w:tcW w:w="1597" w:type="dxa"/>
            <w:shd w:val="clear" w:color="auto" w:fill="D1D1D1"/>
          </w:tcPr>
          <w:p w14:paraId="1B740F9A" w14:textId="77777777" w:rsidR="006B2DAE" w:rsidRDefault="006B2DAE" w:rsidP="00055D0B">
            <w:pPr>
              <w:pBdr>
                <w:top w:val="nil"/>
                <w:left w:val="nil"/>
                <w:bottom w:val="nil"/>
                <w:right w:val="nil"/>
                <w:between w:val="nil"/>
              </w:pBdr>
              <w:ind w:left="107"/>
              <w:rPr>
                <w:color w:val="000000"/>
                <w:sz w:val="19"/>
                <w:szCs w:val="19"/>
              </w:rPr>
            </w:pPr>
            <w:r>
              <w:rPr>
                <w:color w:val="000000"/>
                <w:sz w:val="19"/>
                <w:szCs w:val="19"/>
              </w:rPr>
              <w:t>W16A8 0-31</w:t>
            </w:r>
          </w:p>
        </w:tc>
        <w:tc>
          <w:tcPr>
            <w:tcW w:w="1767" w:type="dxa"/>
            <w:shd w:val="clear" w:color="auto" w:fill="E8E8E8"/>
          </w:tcPr>
          <w:p w14:paraId="4E874B94" w14:textId="77777777" w:rsidR="006B2DAE" w:rsidRDefault="006B2DAE" w:rsidP="00055D0B">
            <w:pPr>
              <w:pBdr>
                <w:top w:val="nil"/>
                <w:left w:val="nil"/>
                <w:bottom w:val="nil"/>
                <w:right w:val="nil"/>
                <w:between w:val="nil"/>
              </w:pBdr>
              <w:ind w:left="107"/>
              <w:rPr>
                <w:color w:val="000000"/>
                <w:sz w:val="19"/>
                <w:szCs w:val="19"/>
              </w:rPr>
            </w:pPr>
            <w:r>
              <w:rPr>
                <w:color w:val="000000"/>
                <w:sz w:val="19"/>
                <w:szCs w:val="19"/>
              </w:rPr>
              <w:t>0.88</w:t>
            </w:r>
          </w:p>
        </w:tc>
      </w:tr>
      <w:tr w:rsidR="006B2DAE" w14:paraId="369D1C5F" w14:textId="77777777" w:rsidTr="00055D0B">
        <w:trPr>
          <w:trHeight w:val="467"/>
          <w:jc w:val="center"/>
        </w:trPr>
        <w:tc>
          <w:tcPr>
            <w:tcW w:w="1597" w:type="dxa"/>
            <w:tcBorders>
              <w:bottom w:val="single" w:sz="4" w:space="0" w:color="000000"/>
            </w:tcBorders>
            <w:shd w:val="clear" w:color="auto" w:fill="D1D1D1"/>
          </w:tcPr>
          <w:p w14:paraId="2BB3E0A2" w14:textId="77777777" w:rsidR="006B2DAE" w:rsidRDefault="006B2DAE" w:rsidP="00055D0B">
            <w:pPr>
              <w:pBdr>
                <w:top w:val="nil"/>
                <w:left w:val="nil"/>
                <w:bottom w:val="nil"/>
                <w:right w:val="nil"/>
                <w:between w:val="nil"/>
              </w:pBdr>
              <w:ind w:left="107"/>
              <w:rPr>
                <w:color w:val="000000"/>
                <w:sz w:val="19"/>
                <w:szCs w:val="19"/>
              </w:rPr>
            </w:pPr>
          </w:p>
        </w:tc>
        <w:tc>
          <w:tcPr>
            <w:tcW w:w="1767" w:type="dxa"/>
            <w:tcBorders>
              <w:bottom w:val="single" w:sz="4" w:space="0" w:color="000000"/>
            </w:tcBorders>
            <w:shd w:val="clear" w:color="auto" w:fill="E8E8E8"/>
          </w:tcPr>
          <w:p w14:paraId="2EBD7E25" w14:textId="77777777" w:rsidR="006B2DAE" w:rsidRDefault="006B2DAE" w:rsidP="00055D0B">
            <w:pPr>
              <w:pBdr>
                <w:top w:val="nil"/>
                <w:left w:val="nil"/>
                <w:bottom w:val="nil"/>
                <w:right w:val="nil"/>
                <w:between w:val="nil"/>
              </w:pBdr>
              <w:ind w:left="107"/>
              <w:rPr>
                <w:color w:val="000000"/>
                <w:sz w:val="19"/>
                <w:szCs w:val="19"/>
              </w:rPr>
            </w:pPr>
          </w:p>
        </w:tc>
      </w:tr>
    </w:tbl>
    <w:p w14:paraId="19462282" w14:textId="18F86C82" w:rsidR="00870A35" w:rsidRPr="008E3BC8" w:rsidRDefault="00005817" w:rsidP="006B2DAE">
      <w:pPr>
        <w:spacing w:before="240" w:after="240" w:line="264" w:lineRule="auto"/>
        <w:rPr>
          <w:color w:val="000000" w:themeColor="text1"/>
          <w:sz w:val="19"/>
          <w:szCs w:val="19"/>
          <w:lang w:val="en-AU"/>
        </w:rPr>
      </w:pPr>
      <w:r w:rsidRPr="00005817">
        <w:rPr>
          <w:color w:val="000000" w:themeColor="text1"/>
          <w:sz w:val="19"/>
          <w:szCs w:val="19"/>
          <w:lang w:val="en-AU"/>
        </w:rPr>
        <w:t>The selected 16 attention linear layers are safe when tested alone, but their interaction with the 114-layer base set can reduce accuracy. LLM A8 is catastrophic, while LLM W8 is safe, although it is not perfect when combined with the other region. A8 on the selected 16 layers is not catastrophic and can sometimes improve the W8 setting, but again, onl</w:t>
      </w:r>
      <w:r w:rsidR="006B2DAE">
        <w:rPr>
          <w:color w:val="000000" w:themeColor="text1"/>
          <w:sz w:val="19"/>
          <w:szCs w:val="19"/>
          <w:lang w:val="en-AU"/>
        </w:rPr>
        <w:t>y</w:t>
      </w:r>
      <w:r w:rsidRPr="00005817">
        <w:rPr>
          <w:color w:val="000000" w:themeColor="text1"/>
          <w:sz w:val="19"/>
          <w:szCs w:val="19"/>
          <w:lang w:val="en-AU"/>
        </w:rPr>
        <w:t xml:space="preserve"> in the context of the combined-region experiment. Moreover, this effect is strongest in the Goal suite. It is unclear whether the type of task is a factor, or whether the model is simply overfitting to LIBERO too much. The timestep-window results show that early flow steps are generally more sensitive than later steps, which is the safer conclusion. Overall, these findings are closely related to the characteristics of VLA models.</w:t>
      </w:r>
    </w:p>
    <w:p w14:paraId="57D5FE09" w14:textId="38F4375B" w:rsidR="7F3BE381" w:rsidRPr="00A31803" w:rsidRDefault="00F33AA4" w:rsidP="00A31803">
      <w:pPr>
        <w:pStyle w:val="Heading1"/>
        <w:numPr>
          <w:ilvl w:val="0"/>
          <w:numId w:val="7"/>
        </w:numPr>
        <w:tabs>
          <w:tab w:val="left" w:pos="318"/>
        </w:tabs>
        <w:ind w:left="318" w:hanging="230"/>
      </w:pPr>
      <w:r>
        <w:t>CONCLUSION</w:t>
      </w:r>
    </w:p>
    <w:p w14:paraId="3971DBCB" w14:textId="77777777" w:rsidR="00187EF1" w:rsidRPr="00187EF1" w:rsidRDefault="00187EF1" w:rsidP="00187EF1">
      <w:pPr>
        <w:pBdr>
          <w:top w:val="nil"/>
          <w:left w:val="nil"/>
          <w:bottom w:val="nil"/>
          <w:right w:val="nil"/>
          <w:between w:val="nil"/>
        </w:pBdr>
        <w:spacing w:before="213" w:line="264" w:lineRule="auto"/>
        <w:ind w:left="96" w:right="38" w:hanging="10"/>
        <w:jc w:val="both"/>
        <w:rPr>
          <w:color w:val="000000" w:themeColor="text1"/>
          <w:sz w:val="19"/>
          <w:szCs w:val="19"/>
          <w:lang w:val="en-AU"/>
        </w:rPr>
      </w:pPr>
      <w:r w:rsidRPr="00187EF1">
        <w:rPr>
          <w:color w:val="000000" w:themeColor="text1"/>
          <w:sz w:val="19"/>
          <w:szCs w:val="19"/>
          <w:lang w:val="en-AU"/>
        </w:rPr>
        <w:t>This study is not primarily about quantization for efficiency, because the studied layers do not occupy a large amount of memory or computational overhead. Instead, it asks a more specific question: how sensitive is the flow-matching head as a unique type of action head in VLA models?</w:t>
      </w:r>
    </w:p>
    <w:p w14:paraId="6009CC91" w14:textId="77777777" w:rsidR="00187EF1" w:rsidRPr="00187EF1" w:rsidRDefault="00187EF1" w:rsidP="00187EF1">
      <w:pPr>
        <w:pBdr>
          <w:top w:val="nil"/>
          <w:left w:val="nil"/>
          <w:bottom w:val="nil"/>
          <w:right w:val="nil"/>
          <w:between w:val="nil"/>
        </w:pBdr>
        <w:spacing w:before="213" w:line="264" w:lineRule="auto"/>
        <w:ind w:left="96" w:right="38" w:hanging="10"/>
        <w:jc w:val="both"/>
        <w:rPr>
          <w:color w:val="000000" w:themeColor="text1"/>
          <w:sz w:val="19"/>
          <w:szCs w:val="19"/>
          <w:lang w:val="en-AU"/>
        </w:rPr>
      </w:pPr>
      <w:r w:rsidRPr="00187EF1">
        <w:rPr>
          <w:color w:val="000000" w:themeColor="text1"/>
          <w:sz w:val="19"/>
          <w:szCs w:val="19"/>
          <w:lang w:val="en-AU"/>
        </w:rPr>
        <w:t xml:space="preserve">The results show that sensitivity does not necessarily come from certain layers by themselves. Instead, in Evo-1, the more important issue is the combination of different quantized regions. If anything, the LLM side appears more sensitive in some settings, possibly because the model is already relatively small. This makes it important for multimodal models to consider degradation caused by combining quantization across different regions. The results indicate that quantization errors are not simply independent </w:t>
      </w:r>
      <w:r w:rsidRPr="00187EF1">
        <w:rPr>
          <w:color w:val="000000" w:themeColor="text1"/>
          <w:sz w:val="19"/>
          <w:szCs w:val="19"/>
          <w:lang w:val="en-AU"/>
        </w:rPr>
        <w:t>across the VLM side and the flow-action side. Small errors in the context representation and small errors inside the flow-matching action update can accumulate and become visible only in the combined setting.</w:t>
      </w:r>
    </w:p>
    <w:p w14:paraId="72F9BE00" w14:textId="7B93B121" w:rsidR="00187EF1" w:rsidRPr="00187EF1" w:rsidRDefault="00187EF1" w:rsidP="00187EF1">
      <w:pPr>
        <w:pBdr>
          <w:top w:val="nil"/>
          <w:left w:val="nil"/>
          <w:bottom w:val="nil"/>
          <w:right w:val="nil"/>
          <w:between w:val="nil"/>
        </w:pBdr>
        <w:spacing w:before="213" w:line="264" w:lineRule="auto"/>
        <w:ind w:left="96" w:right="38" w:hanging="10"/>
        <w:jc w:val="both"/>
        <w:rPr>
          <w:color w:val="000000" w:themeColor="text1"/>
          <w:sz w:val="19"/>
          <w:szCs w:val="19"/>
          <w:lang w:val="en-AU"/>
        </w:rPr>
      </w:pPr>
      <w:r w:rsidRPr="00187EF1">
        <w:rPr>
          <w:color w:val="000000" w:themeColor="text1"/>
          <w:sz w:val="19"/>
          <w:szCs w:val="19"/>
          <w:lang w:val="en-AU"/>
        </w:rPr>
        <w:t>For the selected 16-layer group, the results suggest that weight and activation quantization interact in a nontrivial way. For these layers, quantizing only weights or only activations can disturb the action head more than quantizing both</w:t>
      </w:r>
      <w:r w:rsidR="0014550D">
        <w:rPr>
          <w:color w:val="000000" w:themeColor="text1"/>
          <w:sz w:val="19"/>
          <w:szCs w:val="19"/>
          <w:lang w:val="en-AU"/>
        </w:rPr>
        <w:t xml:space="preserve"> sometimes </w:t>
      </w:r>
      <w:r w:rsidRPr="00187EF1">
        <w:rPr>
          <w:color w:val="000000" w:themeColor="text1"/>
          <w:sz w:val="19"/>
          <w:szCs w:val="19"/>
          <w:lang w:val="en-AU"/>
        </w:rPr>
        <w:t xml:space="preserve">under the same calibrated setting. However, the underlying reason for this </w:t>
      </w:r>
      <w:r w:rsidR="00BF29A3" w:rsidRPr="00187EF1">
        <w:rPr>
          <w:color w:val="000000" w:themeColor="text1"/>
          <w:sz w:val="19"/>
          <w:szCs w:val="19"/>
          <w:lang w:val="en-AU"/>
        </w:rPr>
        <w:t>behaviour</w:t>
      </w:r>
      <w:r w:rsidRPr="00187EF1">
        <w:rPr>
          <w:color w:val="000000" w:themeColor="text1"/>
          <w:sz w:val="19"/>
          <w:szCs w:val="19"/>
          <w:lang w:val="en-AU"/>
        </w:rPr>
        <w:t xml:space="preserve"> is not explained by this study.</w:t>
      </w:r>
    </w:p>
    <w:p w14:paraId="43300CFC" w14:textId="1F8C800C" w:rsidR="00187EF1" w:rsidRPr="00187EF1" w:rsidRDefault="00187EF1" w:rsidP="00BF35E4">
      <w:pPr>
        <w:pBdr>
          <w:top w:val="nil"/>
          <w:left w:val="nil"/>
          <w:bottom w:val="nil"/>
          <w:right w:val="nil"/>
          <w:between w:val="nil"/>
        </w:pBdr>
        <w:spacing w:before="213" w:line="264" w:lineRule="auto"/>
        <w:ind w:left="96" w:right="38" w:hanging="10"/>
        <w:jc w:val="both"/>
        <w:rPr>
          <w:color w:val="000000" w:themeColor="text1"/>
          <w:sz w:val="19"/>
          <w:szCs w:val="19"/>
          <w:lang w:val="en-AU"/>
        </w:rPr>
      </w:pPr>
      <w:r w:rsidRPr="00187EF1">
        <w:rPr>
          <w:color w:val="000000" w:themeColor="text1"/>
          <w:sz w:val="19"/>
          <w:szCs w:val="19"/>
          <w:lang w:val="en-AU"/>
        </w:rPr>
        <w:t xml:space="preserve">Overall, the results support three conclusions. First, the selected 16 action-head attention linear layers are quantizable and are not more sensitive than ordinary FFN-only targets when tested alone. However, the action head as a whole can still be sensitive when different quantized regions are combined, so it still requires controlled settings. Second, timestep-window sensitivity shows a trend where later steps are less sensitive and earlier steps are more sensitive, although this does not mean sensitivity changes linearly across the temporal axis. Third, the effect of quantization depends on both region interaction and task setting, so success or failure cannot be explained by </w:t>
      </w:r>
      <w:r w:rsidR="00BF29A3">
        <w:rPr>
          <w:color w:val="000000" w:themeColor="text1"/>
          <w:sz w:val="19"/>
          <w:szCs w:val="19"/>
          <w:lang w:val="en-AU"/>
        </w:rPr>
        <w:t xml:space="preserve">location of the </w:t>
      </w:r>
      <w:r w:rsidRPr="00187EF1">
        <w:rPr>
          <w:color w:val="000000" w:themeColor="text1"/>
          <w:sz w:val="19"/>
          <w:szCs w:val="19"/>
          <w:lang w:val="en-AU"/>
        </w:rPr>
        <w:t>layer</w:t>
      </w:r>
      <w:r w:rsidR="004F213F">
        <w:rPr>
          <w:color w:val="000000" w:themeColor="text1"/>
          <w:sz w:val="19"/>
          <w:szCs w:val="19"/>
          <w:lang w:val="en-AU"/>
        </w:rPr>
        <w:t>s</w:t>
      </w:r>
      <w:r w:rsidRPr="00187EF1">
        <w:rPr>
          <w:color w:val="000000" w:themeColor="text1"/>
          <w:sz w:val="19"/>
          <w:szCs w:val="19"/>
          <w:lang w:val="en-AU"/>
        </w:rPr>
        <w:t xml:space="preserve"> alone.</w:t>
      </w:r>
    </w:p>
    <w:p w14:paraId="18EA8229" w14:textId="32363888" w:rsidR="12E9A33A" w:rsidRPr="00187EF1" w:rsidRDefault="00DF1A96" w:rsidP="00360166">
      <w:pPr>
        <w:pBdr>
          <w:top w:val="nil"/>
          <w:left w:val="nil"/>
          <w:bottom w:val="nil"/>
          <w:right w:val="nil"/>
          <w:between w:val="nil"/>
        </w:pBdr>
        <w:spacing w:before="213" w:line="264" w:lineRule="auto"/>
        <w:ind w:left="96" w:right="38" w:hanging="10"/>
        <w:jc w:val="both"/>
        <w:rPr>
          <w:color w:val="000000" w:themeColor="text1"/>
          <w:sz w:val="19"/>
          <w:szCs w:val="19"/>
          <w:lang w:val="en-AU"/>
        </w:rPr>
      </w:pPr>
      <w:r w:rsidRPr="00DF1A96">
        <w:rPr>
          <w:color w:val="000000" w:themeColor="text1"/>
          <w:sz w:val="19"/>
          <w:szCs w:val="19"/>
          <w:lang w:val="en-AU"/>
        </w:rPr>
        <w:t>Future studies should not rely only on layer-wise accuracy or similarity metrics. They should also evaluate action drift, flow-trajectory drift, gripper mismatch, and other relevant robot-control metrics. Our study did not rigorously analyze the correlation between sensitivity, drift, and accuracy. However, in some</w:t>
      </w:r>
      <w:r w:rsidR="00F62ECE">
        <w:rPr>
          <w:color w:val="000000" w:themeColor="text1"/>
          <w:sz w:val="19"/>
          <w:szCs w:val="19"/>
          <w:lang w:val="en-AU"/>
        </w:rPr>
        <w:t xml:space="preserve"> task</w:t>
      </w:r>
      <w:r w:rsidRPr="00DF1A96">
        <w:rPr>
          <w:color w:val="000000" w:themeColor="text1"/>
          <w:sz w:val="19"/>
          <w:szCs w:val="19"/>
          <w:lang w:val="en-AU"/>
        </w:rPr>
        <w:t xml:space="preserve"> </w:t>
      </w:r>
      <w:r w:rsidR="00482259">
        <w:rPr>
          <w:color w:val="000000" w:themeColor="text1"/>
          <w:sz w:val="19"/>
          <w:szCs w:val="19"/>
          <w:lang w:val="en-AU"/>
        </w:rPr>
        <w:t>episodes</w:t>
      </w:r>
      <w:r w:rsidRPr="00DF1A96">
        <w:rPr>
          <w:color w:val="000000" w:themeColor="text1"/>
          <w:sz w:val="19"/>
          <w:szCs w:val="19"/>
          <w:lang w:val="en-AU"/>
        </w:rPr>
        <w:t xml:space="preserve">, higher drift did not necessarily correspond to lower accuracy, and sometimes it even appeared to improve accuracy under certain settings. </w:t>
      </w:r>
      <w:r w:rsidR="00F06864">
        <w:rPr>
          <w:color w:val="000000" w:themeColor="text1"/>
          <w:sz w:val="19"/>
          <w:szCs w:val="19"/>
          <w:lang w:val="en-AU"/>
        </w:rPr>
        <w:t>T</w:t>
      </w:r>
      <w:r w:rsidRPr="00DF1A96">
        <w:rPr>
          <w:color w:val="000000" w:themeColor="text1"/>
          <w:sz w:val="19"/>
          <w:szCs w:val="19"/>
          <w:lang w:val="en-AU"/>
        </w:rPr>
        <w:t xml:space="preserve">his report </w:t>
      </w:r>
      <w:r w:rsidR="008B3741">
        <w:rPr>
          <w:color w:val="000000" w:themeColor="text1"/>
          <w:sz w:val="19"/>
          <w:szCs w:val="19"/>
          <w:lang w:val="en-AU"/>
        </w:rPr>
        <w:t xml:space="preserve">simply </w:t>
      </w:r>
      <w:r w:rsidRPr="00DF1A96">
        <w:rPr>
          <w:color w:val="000000" w:themeColor="text1"/>
          <w:sz w:val="19"/>
          <w:szCs w:val="19"/>
          <w:lang w:val="en-AU"/>
        </w:rPr>
        <w:t xml:space="preserve">treats both action-space evidence and task-space evidence as </w:t>
      </w:r>
      <w:r w:rsidR="001140FD">
        <w:rPr>
          <w:color w:val="000000" w:themeColor="text1"/>
          <w:sz w:val="19"/>
          <w:szCs w:val="19"/>
          <w:lang w:val="en-AU"/>
        </w:rPr>
        <w:t>our</w:t>
      </w:r>
      <w:r w:rsidR="000118B8">
        <w:rPr>
          <w:color w:val="000000" w:themeColor="text1"/>
          <w:sz w:val="19"/>
          <w:szCs w:val="19"/>
          <w:lang w:val="en-AU"/>
        </w:rPr>
        <w:t xml:space="preserve"> main</w:t>
      </w:r>
      <w:r w:rsidRPr="00DF1A96">
        <w:rPr>
          <w:color w:val="000000" w:themeColor="text1"/>
          <w:sz w:val="19"/>
          <w:szCs w:val="19"/>
          <w:lang w:val="en-AU"/>
        </w:rPr>
        <w:t xml:space="preserve"> criteria for evaluating quantization effects in </w:t>
      </w:r>
      <w:r w:rsidR="00EC4C65">
        <w:rPr>
          <w:color w:val="000000" w:themeColor="text1"/>
          <w:sz w:val="19"/>
          <w:szCs w:val="19"/>
          <w:lang w:val="en-AU"/>
        </w:rPr>
        <w:t>Evo-1’s</w:t>
      </w:r>
      <w:r w:rsidRPr="00DF1A96">
        <w:rPr>
          <w:color w:val="000000" w:themeColor="text1"/>
          <w:sz w:val="19"/>
          <w:szCs w:val="19"/>
          <w:lang w:val="en-AU"/>
        </w:rPr>
        <w:t xml:space="preserve"> </w:t>
      </w:r>
      <w:r w:rsidR="00360166">
        <w:rPr>
          <w:color w:val="000000" w:themeColor="text1"/>
          <w:sz w:val="19"/>
          <w:szCs w:val="19"/>
          <w:lang w:val="en-AU"/>
        </w:rPr>
        <w:t xml:space="preserve">flow matching </w:t>
      </w:r>
      <w:r w:rsidRPr="00DF1A96">
        <w:rPr>
          <w:color w:val="000000" w:themeColor="text1"/>
          <w:sz w:val="19"/>
          <w:szCs w:val="19"/>
          <w:lang w:val="en-AU"/>
        </w:rPr>
        <w:t>action head.</w:t>
      </w:r>
    </w:p>
    <w:p w14:paraId="0866AA8A" w14:textId="77777777" w:rsidR="00870054" w:rsidRDefault="00870054" w:rsidP="00870054">
      <w:pPr>
        <w:pStyle w:val="Heading1"/>
        <w:numPr>
          <w:ilvl w:val="0"/>
          <w:numId w:val="8"/>
        </w:numPr>
        <w:tabs>
          <w:tab w:val="left" w:pos="316"/>
        </w:tabs>
        <w:spacing w:before="208"/>
        <w:ind w:left="316" w:hanging="230"/>
      </w:pPr>
      <w:r>
        <w:t>REFERENCES</w:t>
      </w:r>
    </w:p>
    <w:p w14:paraId="14E9EB83" w14:textId="71D97BD0" w:rsidR="7F3BE381" w:rsidRDefault="00C82C99" w:rsidP="7F3BE381">
      <w:pPr>
        <w:spacing w:before="244" w:line="264" w:lineRule="auto"/>
        <w:ind w:left="96" w:right="49" w:hanging="10"/>
        <w:jc w:val="both"/>
        <w:rPr>
          <w:sz w:val="20"/>
          <w:szCs w:val="20"/>
        </w:rPr>
      </w:pPr>
      <w:r>
        <w:rPr>
          <w:sz w:val="19"/>
          <w:szCs w:val="19"/>
          <w:lang w:val="en-US"/>
        </w:rPr>
        <w:t xml:space="preserve">[1] Y. </w:t>
      </w:r>
      <w:r w:rsidRPr="7F3BE381">
        <w:rPr>
          <w:sz w:val="19"/>
          <w:szCs w:val="19"/>
          <w:lang w:val="en-US"/>
        </w:rPr>
        <w:t>Xu, Y. Yang, Z. Fan, et al., “QVLA: Not All Channels Are Equal in Vision-Language-Action Model's Quantization”, 2026</w:t>
      </w:r>
    </w:p>
    <w:p w14:paraId="3BC1F799" w14:textId="3F6FC38A" w:rsidR="00870054" w:rsidRDefault="00C82C99" w:rsidP="7F3BE381">
      <w:pPr>
        <w:spacing w:before="244" w:line="264" w:lineRule="auto"/>
        <w:ind w:left="96" w:right="49" w:hanging="10"/>
        <w:jc w:val="both"/>
        <w:rPr>
          <w:sz w:val="20"/>
          <w:szCs w:val="20"/>
        </w:rPr>
      </w:pPr>
      <w:r>
        <w:rPr>
          <w:sz w:val="19"/>
          <w:szCs w:val="19"/>
          <w:lang w:val="en-US"/>
        </w:rPr>
        <w:t>[</w:t>
      </w:r>
      <w:r w:rsidR="00870054" w:rsidRPr="7F3BE381">
        <w:rPr>
          <w:sz w:val="19"/>
          <w:szCs w:val="19"/>
          <w:lang w:val="en-US"/>
        </w:rPr>
        <w:t>2] Z. Zheng, H. Cao, S. Tian, et al., “DyQ-VLA: Temporal-Dynamic-Aware Quantization for Embodied Vision-Language-Action Models”, 2026</w:t>
      </w:r>
      <w:r w:rsidR="00870054">
        <w:rPr>
          <w:sz w:val="19"/>
          <w:szCs w:val="19"/>
          <w:lang w:val="en-US"/>
        </w:rPr>
        <w:t>.</w:t>
      </w:r>
    </w:p>
    <w:p w14:paraId="6BC7B5FC" w14:textId="67E38DD3" w:rsidR="00870054" w:rsidRDefault="00870054" w:rsidP="7F3BE381">
      <w:pPr>
        <w:spacing w:before="244" w:line="264" w:lineRule="auto"/>
        <w:ind w:left="96" w:right="49" w:hanging="10"/>
        <w:jc w:val="both"/>
        <w:rPr>
          <w:sz w:val="20"/>
          <w:szCs w:val="20"/>
        </w:rPr>
      </w:pPr>
      <w:r w:rsidRPr="7F3BE381">
        <w:rPr>
          <w:sz w:val="19"/>
          <w:szCs w:val="19"/>
          <w:lang w:val="en-US"/>
        </w:rPr>
        <w:t>[3] J. Zhang, Y. Hsieh, Z. Wan, et al., “QuantVLA: Scale Calibrated Post-Training Quantization for Vision Language-Action Models”, 202</w:t>
      </w:r>
      <w:r>
        <w:rPr>
          <w:sz w:val="19"/>
          <w:szCs w:val="19"/>
          <w:lang w:val="en-US"/>
        </w:rPr>
        <w:t>6.</w:t>
      </w:r>
    </w:p>
    <w:p w14:paraId="213CA899" w14:textId="30888095" w:rsidR="00870054" w:rsidRDefault="00870054" w:rsidP="004724F0">
      <w:pPr>
        <w:spacing w:before="244" w:line="264" w:lineRule="auto"/>
        <w:ind w:right="49"/>
        <w:jc w:val="both"/>
        <w:rPr>
          <w:sz w:val="20"/>
          <w:szCs w:val="20"/>
        </w:rPr>
      </w:pPr>
    </w:p>
    <w:p w14:paraId="7C05A18D" w14:textId="3D7B1A70" w:rsidR="00870054" w:rsidRPr="005968AF" w:rsidRDefault="00D870C7" w:rsidP="00D870C7">
      <w:pPr>
        <w:pStyle w:val="Heading1"/>
        <w:tabs>
          <w:tab w:val="left" w:pos="366"/>
        </w:tabs>
      </w:pPr>
      <w:r>
        <w:t>APPENDIX</w:t>
      </w:r>
    </w:p>
    <w:p w14:paraId="03FA3F18" w14:textId="65CFD9DC" w:rsidR="005968AF" w:rsidRPr="005968AF" w:rsidRDefault="005968AF" w:rsidP="005968AF">
      <w:pPr>
        <w:pStyle w:val="Heading2"/>
        <w:numPr>
          <w:ilvl w:val="1"/>
          <w:numId w:val="4"/>
        </w:numPr>
        <w:tabs>
          <w:tab w:val="left" w:pos="481"/>
        </w:tabs>
        <w:spacing w:before="240"/>
        <w:ind w:left="481" w:hanging="395"/>
        <w:rPr>
          <w:lang w:val="en-US"/>
        </w:rPr>
      </w:pPr>
      <w:r w:rsidRPr="7F3BE381">
        <w:rPr>
          <w:lang w:val="en-US"/>
        </w:rPr>
        <w:t>Link to GitHub Repository</w:t>
      </w:r>
    </w:p>
    <w:p w14:paraId="781A602B" w14:textId="59D23CAB" w:rsidR="005968AF" w:rsidRDefault="005968AF" w:rsidP="7F3BE381">
      <w:pPr>
        <w:spacing w:before="244" w:line="264" w:lineRule="auto"/>
        <w:ind w:left="96" w:right="49" w:hanging="10"/>
        <w:jc w:val="both"/>
        <w:rPr>
          <w:sz w:val="20"/>
          <w:szCs w:val="20"/>
        </w:rPr>
        <w:sectPr w:rsidR="005968AF">
          <w:pgSz w:w="11910" w:h="16840"/>
          <w:pgMar w:top="1380" w:right="1133" w:bottom="280" w:left="1133" w:header="720" w:footer="720" w:gutter="0"/>
          <w:cols w:num="2" w:space="720" w:equalWidth="0">
            <w:col w:w="4670" w:space="303"/>
            <w:col w:w="4670"/>
          </w:cols>
        </w:sectPr>
      </w:pPr>
      <w:hyperlink r:id="rId6" w:history="1">
        <w:r w:rsidRPr="005968AF">
          <w:rPr>
            <w:rStyle w:val="Hyperlink"/>
            <w:sz w:val="20"/>
            <w:szCs w:val="20"/>
          </w:rPr>
          <w:t>meowooomeowwooo-dev/VLA_Quantization</w:t>
        </w:r>
      </w:hyperlink>
    </w:p>
    <w:p w14:paraId="00000060" w14:textId="1B596F70" w:rsidR="007761C0" w:rsidRDefault="007761C0" w:rsidP="001278BF">
      <w:pPr>
        <w:spacing w:line="264" w:lineRule="auto"/>
        <w:ind w:right="5021"/>
        <w:jc w:val="both"/>
        <w:rPr>
          <w:i/>
          <w:iCs/>
          <w:sz w:val="19"/>
          <w:szCs w:val="19"/>
          <w:lang w:val="en-US"/>
        </w:rPr>
      </w:pPr>
    </w:p>
    <w:sectPr w:rsidR="007761C0">
      <w:pgSz w:w="11910" w:h="16840"/>
      <w:pgMar w:top="138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C22201CF-38A7-476B-B07B-7F9B6ABD12E0}"/>
  </w:font>
  <w:font w:name="Aptos">
    <w:charset w:val="00"/>
    <w:family w:val="swiss"/>
    <w:pitch w:val="variable"/>
    <w:sig w:usb0="20000287" w:usb1="00000003" w:usb2="00000000" w:usb3="00000000" w:csb0="0000019F" w:csb1="00000000"/>
    <w:embedRegular r:id="rId2" w:fontKey="{99678DDD-7383-47D2-9125-764EBB2E9DF7}"/>
    <w:embedItalic r:id="rId3" w:fontKey="{C3587CCB-5EC0-4D20-B0E3-F04F221D4690}"/>
  </w:font>
  <w:font w:name="Calibri">
    <w:panose1 w:val="020F0502020204030204"/>
    <w:charset w:val="00"/>
    <w:family w:val="swiss"/>
    <w:pitch w:val="variable"/>
    <w:sig w:usb0="E4002EFF" w:usb1="C200247B" w:usb2="00000009" w:usb3="00000000" w:csb0="000001FF" w:csb1="00000000"/>
    <w:embedRegular r:id="rId4" w:fontKey="{DFD3FCEB-9CD0-4534-8398-880073EB935E}"/>
  </w:font>
  <w:font w:name="Cambria">
    <w:panose1 w:val="02040503050406030204"/>
    <w:charset w:val="00"/>
    <w:family w:val="roman"/>
    <w:pitch w:val="variable"/>
    <w:sig w:usb0="E00006FF" w:usb1="420024FF" w:usb2="02000000" w:usb3="00000000" w:csb0="0000019F" w:csb1="00000000"/>
    <w:embedRegular r:id="rId5" w:fontKey="{B7117325-39A9-4AC1-AB36-4E68891B965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B814"/>
    <w:multiLevelType w:val="multilevel"/>
    <w:tmpl w:val="D8F2701C"/>
    <w:lvl w:ilvl="0">
      <w:start w:val="1"/>
      <w:numFmt w:val="decimal"/>
      <w:lvlText w:val="[%1]"/>
      <w:lvlJc w:val="left"/>
      <w:pPr>
        <w:ind w:left="801" w:hanging="452"/>
      </w:pPr>
      <w:rPr>
        <w:rFonts w:ascii="Times New Roman" w:eastAsia="Times New Roman" w:hAnsi="Times New Roman" w:cs="Times New Roman"/>
        <w:b w:val="0"/>
        <w:bCs w:val="0"/>
        <w:i w:val="0"/>
        <w:iCs w:val="0"/>
        <w:sz w:val="18"/>
        <w:szCs w:val="18"/>
      </w:rPr>
    </w:lvl>
    <w:lvl w:ilvl="1">
      <w:numFmt w:val="bullet"/>
      <w:lvlText w:val="•"/>
      <w:lvlJc w:val="left"/>
      <w:pPr>
        <w:ind w:left="1684" w:hanging="452"/>
      </w:pPr>
    </w:lvl>
    <w:lvl w:ilvl="2">
      <w:numFmt w:val="bullet"/>
      <w:lvlText w:val="•"/>
      <w:lvlJc w:val="left"/>
      <w:pPr>
        <w:ind w:left="2568" w:hanging="452"/>
      </w:pPr>
    </w:lvl>
    <w:lvl w:ilvl="3">
      <w:numFmt w:val="bullet"/>
      <w:lvlText w:val="•"/>
      <w:lvlJc w:val="left"/>
      <w:pPr>
        <w:ind w:left="3452" w:hanging="452"/>
      </w:pPr>
    </w:lvl>
    <w:lvl w:ilvl="4">
      <w:numFmt w:val="bullet"/>
      <w:lvlText w:val="•"/>
      <w:lvlJc w:val="left"/>
      <w:pPr>
        <w:ind w:left="4336" w:hanging="451"/>
      </w:pPr>
    </w:lvl>
    <w:lvl w:ilvl="5">
      <w:numFmt w:val="bullet"/>
      <w:lvlText w:val="•"/>
      <w:lvlJc w:val="left"/>
      <w:pPr>
        <w:ind w:left="5220" w:hanging="452"/>
      </w:pPr>
    </w:lvl>
    <w:lvl w:ilvl="6">
      <w:numFmt w:val="bullet"/>
      <w:lvlText w:val="•"/>
      <w:lvlJc w:val="left"/>
      <w:pPr>
        <w:ind w:left="6104" w:hanging="452"/>
      </w:pPr>
    </w:lvl>
    <w:lvl w:ilvl="7">
      <w:numFmt w:val="bullet"/>
      <w:lvlText w:val="•"/>
      <w:lvlJc w:val="left"/>
      <w:pPr>
        <w:ind w:left="6988" w:hanging="452"/>
      </w:pPr>
    </w:lvl>
    <w:lvl w:ilvl="8">
      <w:numFmt w:val="bullet"/>
      <w:lvlText w:val="•"/>
      <w:lvlJc w:val="left"/>
      <w:pPr>
        <w:ind w:left="7872" w:hanging="452"/>
      </w:pPr>
    </w:lvl>
  </w:abstractNum>
  <w:abstractNum w:abstractNumId="1" w15:restartNumberingAfterBreak="0">
    <w:nsid w:val="22902332"/>
    <w:multiLevelType w:val="hybridMultilevel"/>
    <w:tmpl w:val="A24EFE26"/>
    <w:lvl w:ilvl="0" w:tplc="C0F02A26">
      <w:start w:val="1"/>
      <w:numFmt w:val="upperRoman"/>
      <w:lvlText w:val="%1."/>
      <w:lvlJc w:val="left"/>
      <w:pPr>
        <w:ind w:left="675" w:hanging="360"/>
      </w:pPr>
    </w:lvl>
    <w:lvl w:ilvl="1" w:tplc="3E06C17C">
      <w:start w:val="1"/>
      <w:numFmt w:val="lowerLetter"/>
      <w:lvlText w:val="%2."/>
      <w:lvlJc w:val="left"/>
      <w:pPr>
        <w:ind w:left="1395" w:hanging="360"/>
      </w:pPr>
    </w:lvl>
    <w:lvl w:ilvl="2" w:tplc="2932E7D6">
      <w:start w:val="1"/>
      <w:numFmt w:val="lowerRoman"/>
      <w:lvlText w:val="%3."/>
      <w:lvlJc w:val="right"/>
      <w:pPr>
        <w:ind w:left="2115" w:hanging="180"/>
      </w:pPr>
    </w:lvl>
    <w:lvl w:ilvl="3" w:tplc="9920F4DA">
      <w:start w:val="1"/>
      <w:numFmt w:val="decimal"/>
      <w:lvlText w:val="%4."/>
      <w:lvlJc w:val="left"/>
      <w:pPr>
        <w:ind w:left="2835" w:hanging="360"/>
      </w:pPr>
    </w:lvl>
    <w:lvl w:ilvl="4" w:tplc="0316E528">
      <w:start w:val="1"/>
      <w:numFmt w:val="lowerLetter"/>
      <w:lvlText w:val="%5."/>
      <w:lvlJc w:val="left"/>
      <w:pPr>
        <w:ind w:left="3555" w:hanging="360"/>
      </w:pPr>
    </w:lvl>
    <w:lvl w:ilvl="5" w:tplc="C792DE5C">
      <w:start w:val="1"/>
      <w:numFmt w:val="lowerRoman"/>
      <w:lvlText w:val="%6."/>
      <w:lvlJc w:val="right"/>
      <w:pPr>
        <w:ind w:left="4275" w:hanging="180"/>
      </w:pPr>
    </w:lvl>
    <w:lvl w:ilvl="6" w:tplc="EB6C47E4">
      <w:start w:val="1"/>
      <w:numFmt w:val="decimal"/>
      <w:lvlText w:val="%7."/>
      <w:lvlJc w:val="left"/>
      <w:pPr>
        <w:ind w:left="4995" w:hanging="360"/>
      </w:pPr>
    </w:lvl>
    <w:lvl w:ilvl="7" w:tplc="6938F516">
      <w:start w:val="1"/>
      <w:numFmt w:val="lowerLetter"/>
      <w:lvlText w:val="%8."/>
      <w:lvlJc w:val="left"/>
      <w:pPr>
        <w:ind w:left="5715" w:hanging="360"/>
      </w:pPr>
    </w:lvl>
    <w:lvl w:ilvl="8" w:tplc="CDBAD1CC">
      <w:start w:val="1"/>
      <w:numFmt w:val="lowerRoman"/>
      <w:lvlText w:val="%9."/>
      <w:lvlJc w:val="right"/>
      <w:pPr>
        <w:ind w:left="6435" w:hanging="180"/>
      </w:pPr>
    </w:lvl>
  </w:abstractNum>
  <w:abstractNum w:abstractNumId="2" w15:restartNumberingAfterBreak="0">
    <w:nsid w:val="23FF156E"/>
    <w:multiLevelType w:val="multilevel"/>
    <w:tmpl w:val="EA8EFE42"/>
    <w:lvl w:ilvl="0">
      <w:start w:val="1"/>
      <w:numFmt w:val="decimal"/>
      <w:lvlText w:val="%1."/>
      <w:lvlJc w:val="left"/>
      <w:pPr>
        <w:ind w:left="3073" w:hanging="238"/>
      </w:pPr>
      <w:rPr>
        <w:rFonts w:ascii="Times New Roman" w:eastAsia="Times New Roman" w:hAnsi="Times New Roman" w:cs="Times New Roman"/>
        <w:b/>
        <w:bCs/>
        <w:i w:val="0"/>
        <w:iCs w:val="0"/>
        <w:sz w:val="23"/>
        <w:szCs w:val="23"/>
      </w:rPr>
    </w:lvl>
    <w:lvl w:ilvl="1">
      <w:start w:val="1"/>
      <w:numFmt w:val="decimal"/>
      <w:lvlText w:val="%1.%2."/>
      <w:lvlJc w:val="left"/>
      <w:pPr>
        <w:ind w:left="484" w:hanging="397"/>
      </w:pPr>
      <w:rPr>
        <w:rFonts w:ascii="Times New Roman" w:eastAsia="Times New Roman" w:hAnsi="Times New Roman" w:cs="Times New Roman"/>
        <w:b/>
        <w:bCs/>
        <w:i w:val="0"/>
        <w:iCs w:val="0"/>
        <w:sz w:val="23"/>
        <w:szCs w:val="23"/>
      </w:rPr>
    </w:lvl>
    <w:lvl w:ilvl="2">
      <w:numFmt w:val="bullet"/>
      <w:lvlText w:val="•"/>
      <w:lvlJc w:val="left"/>
      <w:pPr>
        <w:ind w:left="397" w:hanging="397"/>
      </w:pPr>
    </w:lvl>
    <w:lvl w:ilvl="3">
      <w:numFmt w:val="bullet"/>
      <w:lvlText w:val="•"/>
      <w:lvlJc w:val="left"/>
      <w:pPr>
        <w:ind w:left="315" w:hanging="397"/>
      </w:pPr>
    </w:lvl>
    <w:lvl w:ilvl="4">
      <w:numFmt w:val="bullet"/>
      <w:lvlText w:val="•"/>
      <w:lvlJc w:val="left"/>
      <w:pPr>
        <w:ind w:left="233" w:hanging="397"/>
      </w:pPr>
    </w:lvl>
    <w:lvl w:ilvl="5">
      <w:numFmt w:val="bullet"/>
      <w:lvlText w:val="•"/>
      <w:lvlJc w:val="left"/>
      <w:pPr>
        <w:ind w:left="151" w:hanging="397"/>
      </w:pPr>
    </w:lvl>
    <w:lvl w:ilvl="6">
      <w:numFmt w:val="bullet"/>
      <w:lvlText w:val="•"/>
      <w:lvlJc w:val="left"/>
      <w:pPr>
        <w:ind w:left="69" w:hanging="397"/>
      </w:pPr>
    </w:lvl>
    <w:lvl w:ilvl="7">
      <w:numFmt w:val="bullet"/>
      <w:lvlText w:val="•"/>
      <w:lvlJc w:val="left"/>
      <w:pPr>
        <w:ind w:left="-13" w:hanging="397"/>
      </w:pPr>
    </w:lvl>
    <w:lvl w:ilvl="8">
      <w:numFmt w:val="bullet"/>
      <w:lvlText w:val="•"/>
      <w:lvlJc w:val="left"/>
      <w:pPr>
        <w:ind w:left="-95" w:hanging="397"/>
      </w:pPr>
    </w:lvl>
  </w:abstractNum>
  <w:abstractNum w:abstractNumId="3" w15:restartNumberingAfterBreak="0">
    <w:nsid w:val="289A8D4A"/>
    <w:multiLevelType w:val="hybridMultilevel"/>
    <w:tmpl w:val="DFD4741A"/>
    <w:lvl w:ilvl="0" w:tplc="A1F85392">
      <w:start w:val="1"/>
      <w:numFmt w:val="upperRoman"/>
      <w:lvlText w:val="%1."/>
      <w:lvlJc w:val="left"/>
      <w:pPr>
        <w:ind w:left="446" w:hanging="360"/>
      </w:pPr>
    </w:lvl>
    <w:lvl w:ilvl="1" w:tplc="802E0BAC">
      <w:start w:val="1"/>
      <w:numFmt w:val="lowerLetter"/>
      <w:lvlText w:val="%2."/>
      <w:lvlJc w:val="left"/>
      <w:pPr>
        <w:ind w:left="1166" w:hanging="360"/>
      </w:pPr>
    </w:lvl>
    <w:lvl w:ilvl="2" w:tplc="4732AA1E">
      <w:start w:val="1"/>
      <w:numFmt w:val="lowerRoman"/>
      <w:lvlText w:val="%3."/>
      <w:lvlJc w:val="right"/>
      <w:pPr>
        <w:ind w:left="1886" w:hanging="180"/>
      </w:pPr>
    </w:lvl>
    <w:lvl w:ilvl="3" w:tplc="C11E1DA8">
      <w:start w:val="1"/>
      <w:numFmt w:val="decimal"/>
      <w:lvlText w:val="%4."/>
      <w:lvlJc w:val="left"/>
      <w:pPr>
        <w:ind w:left="2606" w:hanging="360"/>
      </w:pPr>
    </w:lvl>
    <w:lvl w:ilvl="4" w:tplc="1D7C9482">
      <w:start w:val="1"/>
      <w:numFmt w:val="lowerLetter"/>
      <w:lvlText w:val="%5."/>
      <w:lvlJc w:val="left"/>
      <w:pPr>
        <w:ind w:left="3326" w:hanging="360"/>
      </w:pPr>
    </w:lvl>
    <w:lvl w:ilvl="5" w:tplc="C61256E8">
      <w:start w:val="1"/>
      <w:numFmt w:val="lowerRoman"/>
      <w:lvlText w:val="%6."/>
      <w:lvlJc w:val="right"/>
      <w:pPr>
        <w:ind w:left="4046" w:hanging="180"/>
      </w:pPr>
    </w:lvl>
    <w:lvl w:ilvl="6" w:tplc="9D52EE9E">
      <w:start w:val="1"/>
      <w:numFmt w:val="decimal"/>
      <w:lvlText w:val="%7."/>
      <w:lvlJc w:val="left"/>
      <w:pPr>
        <w:ind w:left="4766" w:hanging="360"/>
      </w:pPr>
    </w:lvl>
    <w:lvl w:ilvl="7" w:tplc="A386C5DE">
      <w:start w:val="1"/>
      <w:numFmt w:val="lowerLetter"/>
      <w:lvlText w:val="%8."/>
      <w:lvlJc w:val="left"/>
      <w:pPr>
        <w:ind w:left="5486" w:hanging="360"/>
      </w:pPr>
    </w:lvl>
    <w:lvl w:ilvl="8" w:tplc="80CEC922">
      <w:start w:val="1"/>
      <w:numFmt w:val="lowerRoman"/>
      <w:lvlText w:val="%9."/>
      <w:lvlJc w:val="right"/>
      <w:pPr>
        <w:ind w:left="6206" w:hanging="180"/>
      </w:pPr>
    </w:lvl>
  </w:abstractNum>
  <w:abstractNum w:abstractNumId="4" w15:restartNumberingAfterBreak="0">
    <w:nsid w:val="2D06F91A"/>
    <w:multiLevelType w:val="hybridMultilevel"/>
    <w:tmpl w:val="9EDA7F58"/>
    <w:lvl w:ilvl="0" w:tplc="D2FC9C9C">
      <w:start w:val="1"/>
      <w:numFmt w:val="bullet"/>
      <w:lvlText w:val="·"/>
      <w:lvlJc w:val="left"/>
      <w:pPr>
        <w:ind w:left="446" w:hanging="360"/>
      </w:pPr>
      <w:rPr>
        <w:rFonts w:ascii="Symbol" w:hAnsi="Symbol" w:hint="default"/>
      </w:rPr>
    </w:lvl>
    <w:lvl w:ilvl="1" w:tplc="96C464FC">
      <w:start w:val="1"/>
      <w:numFmt w:val="lowerLetter"/>
      <w:lvlText w:val="%2."/>
      <w:lvlJc w:val="left"/>
      <w:pPr>
        <w:ind w:left="1166" w:hanging="360"/>
      </w:pPr>
    </w:lvl>
    <w:lvl w:ilvl="2" w:tplc="721279F4">
      <w:start w:val="1"/>
      <w:numFmt w:val="lowerRoman"/>
      <w:lvlText w:val="%3."/>
      <w:lvlJc w:val="right"/>
      <w:pPr>
        <w:ind w:left="1886" w:hanging="180"/>
      </w:pPr>
    </w:lvl>
    <w:lvl w:ilvl="3" w:tplc="F64A37EE">
      <w:start w:val="1"/>
      <w:numFmt w:val="decimal"/>
      <w:lvlText w:val="%4."/>
      <w:lvlJc w:val="left"/>
      <w:pPr>
        <w:ind w:left="2606" w:hanging="360"/>
      </w:pPr>
    </w:lvl>
    <w:lvl w:ilvl="4" w:tplc="38428CA6">
      <w:start w:val="1"/>
      <w:numFmt w:val="lowerLetter"/>
      <w:lvlText w:val="%5."/>
      <w:lvlJc w:val="left"/>
      <w:pPr>
        <w:ind w:left="3326" w:hanging="360"/>
      </w:pPr>
    </w:lvl>
    <w:lvl w:ilvl="5" w:tplc="454E5852">
      <w:start w:val="1"/>
      <w:numFmt w:val="lowerRoman"/>
      <w:lvlText w:val="%6."/>
      <w:lvlJc w:val="right"/>
      <w:pPr>
        <w:ind w:left="4046" w:hanging="180"/>
      </w:pPr>
    </w:lvl>
    <w:lvl w:ilvl="6" w:tplc="A9883A20">
      <w:start w:val="1"/>
      <w:numFmt w:val="decimal"/>
      <w:lvlText w:val="%7."/>
      <w:lvlJc w:val="left"/>
      <w:pPr>
        <w:ind w:left="4766" w:hanging="360"/>
      </w:pPr>
    </w:lvl>
    <w:lvl w:ilvl="7" w:tplc="4D74B8AE">
      <w:start w:val="1"/>
      <w:numFmt w:val="lowerLetter"/>
      <w:lvlText w:val="%8."/>
      <w:lvlJc w:val="left"/>
      <w:pPr>
        <w:ind w:left="5486" w:hanging="360"/>
      </w:pPr>
    </w:lvl>
    <w:lvl w:ilvl="8" w:tplc="9BC42A06">
      <w:start w:val="1"/>
      <w:numFmt w:val="lowerRoman"/>
      <w:lvlText w:val="%9."/>
      <w:lvlJc w:val="right"/>
      <w:pPr>
        <w:ind w:left="6206" w:hanging="180"/>
      </w:pPr>
    </w:lvl>
  </w:abstractNum>
  <w:abstractNum w:abstractNumId="5" w15:restartNumberingAfterBreak="0">
    <w:nsid w:val="2DCCD423"/>
    <w:multiLevelType w:val="multilevel"/>
    <w:tmpl w:val="EA8EFE42"/>
    <w:lvl w:ilvl="0">
      <w:start w:val="1"/>
      <w:numFmt w:val="decimal"/>
      <w:lvlText w:val="%1."/>
      <w:lvlJc w:val="left"/>
      <w:pPr>
        <w:ind w:left="3073" w:hanging="238"/>
      </w:pPr>
      <w:rPr>
        <w:rFonts w:ascii="Times New Roman" w:eastAsia="Times New Roman" w:hAnsi="Times New Roman" w:cs="Times New Roman"/>
        <w:b/>
        <w:bCs/>
        <w:i w:val="0"/>
        <w:iCs w:val="0"/>
        <w:sz w:val="23"/>
        <w:szCs w:val="23"/>
      </w:rPr>
    </w:lvl>
    <w:lvl w:ilvl="1">
      <w:start w:val="1"/>
      <w:numFmt w:val="decimal"/>
      <w:lvlText w:val="%1.%2."/>
      <w:lvlJc w:val="left"/>
      <w:pPr>
        <w:ind w:left="484" w:hanging="397"/>
      </w:pPr>
      <w:rPr>
        <w:rFonts w:ascii="Times New Roman" w:eastAsia="Times New Roman" w:hAnsi="Times New Roman" w:cs="Times New Roman"/>
        <w:b/>
        <w:bCs/>
        <w:i w:val="0"/>
        <w:iCs w:val="0"/>
        <w:sz w:val="23"/>
        <w:szCs w:val="23"/>
      </w:rPr>
    </w:lvl>
    <w:lvl w:ilvl="2">
      <w:numFmt w:val="bullet"/>
      <w:lvlText w:val="•"/>
      <w:lvlJc w:val="left"/>
      <w:pPr>
        <w:ind w:left="397" w:hanging="397"/>
      </w:pPr>
    </w:lvl>
    <w:lvl w:ilvl="3">
      <w:numFmt w:val="bullet"/>
      <w:lvlText w:val="•"/>
      <w:lvlJc w:val="left"/>
      <w:pPr>
        <w:ind w:left="315" w:hanging="397"/>
      </w:pPr>
    </w:lvl>
    <w:lvl w:ilvl="4">
      <w:numFmt w:val="bullet"/>
      <w:lvlText w:val="•"/>
      <w:lvlJc w:val="left"/>
      <w:pPr>
        <w:ind w:left="233" w:hanging="397"/>
      </w:pPr>
    </w:lvl>
    <w:lvl w:ilvl="5">
      <w:numFmt w:val="bullet"/>
      <w:lvlText w:val="•"/>
      <w:lvlJc w:val="left"/>
      <w:pPr>
        <w:ind w:left="151" w:hanging="397"/>
      </w:pPr>
    </w:lvl>
    <w:lvl w:ilvl="6">
      <w:numFmt w:val="bullet"/>
      <w:lvlText w:val="•"/>
      <w:lvlJc w:val="left"/>
      <w:pPr>
        <w:ind w:left="69" w:hanging="397"/>
      </w:pPr>
    </w:lvl>
    <w:lvl w:ilvl="7">
      <w:numFmt w:val="bullet"/>
      <w:lvlText w:val="•"/>
      <w:lvlJc w:val="left"/>
      <w:pPr>
        <w:ind w:left="-13" w:hanging="397"/>
      </w:pPr>
    </w:lvl>
    <w:lvl w:ilvl="8">
      <w:numFmt w:val="bullet"/>
      <w:lvlText w:val="•"/>
      <w:lvlJc w:val="left"/>
      <w:pPr>
        <w:ind w:left="-95" w:hanging="397"/>
      </w:pPr>
    </w:lvl>
  </w:abstractNum>
  <w:abstractNum w:abstractNumId="6" w15:restartNumberingAfterBreak="0">
    <w:nsid w:val="389D9008"/>
    <w:multiLevelType w:val="multilevel"/>
    <w:tmpl w:val="345ABE9A"/>
    <w:lvl w:ilvl="0">
      <w:start w:val="1"/>
      <w:numFmt w:val="upperRoman"/>
      <w:lvlText w:val="%1."/>
      <w:lvlJc w:val="left"/>
      <w:pPr>
        <w:ind w:left="663" w:hanging="348"/>
      </w:pPr>
      <w:rPr>
        <w:rFonts w:ascii="Times New Roman" w:eastAsia="Times New Roman" w:hAnsi="Times New Roman" w:cs="Times New Roman"/>
        <w:b w:val="0"/>
        <w:bCs w:val="0"/>
        <w:i w:val="0"/>
        <w:iCs w:val="0"/>
        <w:sz w:val="19"/>
        <w:szCs w:val="19"/>
      </w:rPr>
    </w:lvl>
    <w:lvl w:ilvl="1">
      <w:numFmt w:val="bullet"/>
      <w:lvlText w:val="•"/>
      <w:lvlJc w:val="left"/>
      <w:pPr>
        <w:ind w:left="1061" w:hanging="348"/>
      </w:pPr>
    </w:lvl>
    <w:lvl w:ilvl="2">
      <w:numFmt w:val="bullet"/>
      <w:lvlText w:val="•"/>
      <w:lvlJc w:val="left"/>
      <w:pPr>
        <w:ind w:left="1462" w:hanging="348"/>
      </w:pPr>
    </w:lvl>
    <w:lvl w:ilvl="3">
      <w:numFmt w:val="bullet"/>
      <w:lvlText w:val="•"/>
      <w:lvlJc w:val="left"/>
      <w:pPr>
        <w:ind w:left="1864" w:hanging="347"/>
      </w:pPr>
    </w:lvl>
    <w:lvl w:ilvl="4">
      <w:numFmt w:val="bullet"/>
      <w:lvlText w:val="•"/>
      <w:lvlJc w:val="left"/>
      <w:pPr>
        <w:ind w:left="2265" w:hanging="348"/>
      </w:pPr>
    </w:lvl>
    <w:lvl w:ilvl="5">
      <w:numFmt w:val="bullet"/>
      <w:lvlText w:val="•"/>
      <w:lvlJc w:val="left"/>
      <w:pPr>
        <w:ind w:left="2667" w:hanging="348"/>
      </w:pPr>
    </w:lvl>
    <w:lvl w:ilvl="6">
      <w:numFmt w:val="bullet"/>
      <w:lvlText w:val="•"/>
      <w:lvlJc w:val="left"/>
      <w:pPr>
        <w:ind w:left="3068" w:hanging="348"/>
      </w:pPr>
    </w:lvl>
    <w:lvl w:ilvl="7">
      <w:numFmt w:val="bullet"/>
      <w:lvlText w:val="•"/>
      <w:lvlJc w:val="left"/>
      <w:pPr>
        <w:ind w:left="3470" w:hanging="348"/>
      </w:pPr>
    </w:lvl>
    <w:lvl w:ilvl="8">
      <w:numFmt w:val="bullet"/>
      <w:lvlText w:val="•"/>
      <w:lvlJc w:val="left"/>
      <w:pPr>
        <w:ind w:left="3871" w:hanging="348"/>
      </w:pPr>
    </w:lvl>
  </w:abstractNum>
  <w:abstractNum w:abstractNumId="7" w15:restartNumberingAfterBreak="0">
    <w:nsid w:val="7FD42DF0"/>
    <w:multiLevelType w:val="multilevel"/>
    <w:tmpl w:val="CF78E314"/>
    <w:lvl w:ilvl="0">
      <w:start w:val="1"/>
      <w:numFmt w:val="upperLetter"/>
      <w:lvlText w:val="%1."/>
      <w:lvlJc w:val="left"/>
      <w:pPr>
        <w:ind w:left="367" w:hanging="281"/>
      </w:pPr>
      <w:rPr>
        <w:rFonts w:ascii="Times New Roman" w:eastAsia="Times New Roman" w:hAnsi="Times New Roman" w:cs="Times New Roman"/>
        <w:b/>
        <w:bCs/>
        <w:i w:val="0"/>
        <w:iCs w:val="0"/>
        <w:sz w:val="23"/>
        <w:szCs w:val="23"/>
      </w:rPr>
    </w:lvl>
    <w:lvl w:ilvl="1">
      <w:start w:val="1"/>
      <w:numFmt w:val="decimal"/>
      <w:lvlText w:val="%1.%2"/>
      <w:lvlJc w:val="left"/>
      <w:pPr>
        <w:ind w:left="482" w:hanging="396"/>
      </w:pPr>
      <w:rPr>
        <w:rFonts w:ascii="Times New Roman" w:eastAsia="Times New Roman" w:hAnsi="Times New Roman" w:cs="Times New Roman"/>
        <w:b/>
        <w:bCs/>
        <w:i w:val="0"/>
        <w:iCs w:val="0"/>
        <w:sz w:val="23"/>
        <w:szCs w:val="23"/>
      </w:rPr>
    </w:lvl>
    <w:lvl w:ilvl="2">
      <w:numFmt w:val="bullet"/>
      <w:lvlText w:val="•"/>
      <w:lvlJc w:val="left"/>
      <w:pPr>
        <w:ind w:left="1497" w:hanging="396"/>
      </w:pPr>
    </w:lvl>
    <w:lvl w:ilvl="3">
      <w:numFmt w:val="bullet"/>
      <w:lvlText w:val="•"/>
      <w:lvlJc w:val="left"/>
      <w:pPr>
        <w:ind w:left="2515" w:hanging="396"/>
      </w:pPr>
    </w:lvl>
    <w:lvl w:ilvl="4">
      <w:numFmt w:val="bullet"/>
      <w:lvlText w:val="•"/>
      <w:lvlJc w:val="left"/>
      <w:pPr>
        <w:ind w:left="3533" w:hanging="396"/>
      </w:pPr>
    </w:lvl>
    <w:lvl w:ilvl="5">
      <w:numFmt w:val="bullet"/>
      <w:lvlText w:val="•"/>
      <w:lvlJc w:val="left"/>
      <w:pPr>
        <w:ind w:left="4551" w:hanging="396"/>
      </w:pPr>
    </w:lvl>
    <w:lvl w:ilvl="6">
      <w:numFmt w:val="bullet"/>
      <w:lvlText w:val="•"/>
      <w:lvlJc w:val="left"/>
      <w:pPr>
        <w:ind w:left="5569" w:hanging="396"/>
      </w:pPr>
    </w:lvl>
    <w:lvl w:ilvl="7">
      <w:numFmt w:val="bullet"/>
      <w:lvlText w:val="•"/>
      <w:lvlJc w:val="left"/>
      <w:pPr>
        <w:ind w:left="6586" w:hanging="396"/>
      </w:pPr>
    </w:lvl>
    <w:lvl w:ilvl="8">
      <w:numFmt w:val="bullet"/>
      <w:lvlText w:val="•"/>
      <w:lvlJc w:val="left"/>
      <w:pPr>
        <w:ind w:left="7604" w:hanging="396"/>
      </w:pPr>
    </w:lvl>
  </w:abstractNum>
  <w:num w:numId="1" w16cid:durableId="777407149">
    <w:abstractNumId w:val="1"/>
  </w:num>
  <w:num w:numId="2" w16cid:durableId="1661351591">
    <w:abstractNumId w:val="4"/>
  </w:num>
  <w:num w:numId="3" w16cid:durableId="1443450684">
    <w:abstractNumId w:val="3"/>
  </w:num>
  <w:num w:numId="4" w16cid:durableId="1675525688">
    <w:abstractNumId w:val="7"/>
  </w:num>
  <w:num w:numId="5" w16cid:durableId="17854316">
    <w:abstractNumId w:val="0"/>
  </w:num>
  <w:num w:numId="6" w16cid:durableId="431244458">
    <w:abstractNumId w:val="6"/>
  </w:num>
  <w:num w:numId="7" w16cid:durableId="1508128274">
    <w:abstractNumId w:val="5"/>
  </w:num>
  <w:num w:numId="8" w16cid:durableId="1157112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366"/>
    <w:rsid w:val="00003001"/>
    <w:rsid w:val="00005817"/>
    <w:rsid w:val="00006ADD"/>
    <w:rsid w:val="000118B8"/>
    <w:rsid w:val="0001557E"/>
    <w:rsid w:val="000158C1"/>
    <w:rsid w:val="00015AD7"/>
    <w:rsid w:val="00015E84"/>
    <w:rsid w:val="00044D63"/>
    <w:rsid w:val="000517E1"/>
    <w:rsid w:val="00057065"/>
    <w:rsid w:val="0007442B"/>
    <w:rsid w:val="000A300A"/>
    <w:rsid w:val="000A472D"/>
    <w:rsid w:val="000A5C42"/>
    <w:rsid w:val="000B6794"/>
    <w:rsid w:val="000C62A2"/>
    <w:rsid w:val="000D1FE4"/>
    <w:rsid w:val="000E09F3"/>
    <w:rsid w:val="000E4E3B"/>
    <w:rsid w:val="000F37DB"/>
    <w:rsid w:val="000F44B9"/>
    <w:rsid w:val="00101084"/>
    <w:rsid w:val="00106055"/>
    <w:rsid w:val="001140FD"/>
    <w:rsid w:val="00120349"/>
    <w:rsid w:val="00123027"/>
    <w:rsid w:val="001278BF"/>
    <w:rsid w:val="00134486"/>
    <w:rsid w:val="00141ECB"/>
    <w:rsid w:val="00142FE9"/>
    <w:rsid w:val="0014550D"/>
    <w:rsid w:val="0015028A"/>
    <w:rsid w:val="00153E3B"/>
    <w:rsid w:val="00154E58"/>
    <w:rsid w:val="001646A2"/>
    <w:rsid w:val="0017019F"/>
    <w:rsid w:val="00172139"/>
    <w:rsid w:val="00187EF1"/>
    <w:rsid w:val="0019169D"/>
    <w:rsid w:val="001917A8"/>
    <w:rsid w:val="00191F19"/>
    <w:rsid w:val="00196FAC"/>
    <w:rsid w:val="001A3423"/>
    <w:rsid w:val="001A54C0"/>
    <w:rsid w:val="001A7726"/>
    <w:rsid w:val="001B2995"/>
    <w:rsid w:val="001B66D1"/>
    <w:rsid w:val="001C034C"/>
    <w:rsid w:val="001D1366"/>
    <w:rsid w:val="001D3C11"/>
    <w:rsid w:val="001D77B6"/>
    <w:rsid w:val="001E3C32"/>
    <w:rsid w:val="001F1EAA"/>
    <w:rsid w:val="001F44F4"/>
    <w:rsid w:val="001F7C7B"/>
    <w:rsid w:val="002138E3"/>
    <w:rsid w:val="00215CAD"/>
    <w:rsid w:val="00216E2F"/>
    <w:rsid w:val="00255A41"/>
    <w:rsid w:val="00263F52"/>
    <w:rsid w:val="002661F0"/>
    <w:rsid w:val="00272D59"/>
    <w:rsid w:val="0027378B"/>
    <w:rsid w:val="00274E4A"/>
    <w:rsid w:val="00284895"/>
    <w:rsid w:val="00293462"/>
    <w:rsid w:val="002A7658"/>
    <w:rsid w:val="002D6F81"/>
    <w:rsid w:val="002E5349"/>
    <w:rsid w:val="00305C3B"/>
    <w:rsid w:val="00310DE4"/>
    <w:rsid w:val="00324ABB"/>
    <w:rsid w:val="00351A26"/>
    <w:rsid w:val="00357D04"/>
    <w:rsid w:val="00360166"/>
    <w:rsid w:val="00370998"/>
    <w:rsid w:val="003818D4"/>
    <w:rsid w:val="00393833"/>
    <w:rsid w:val="003946A4"/>
    <w:rsid w:val="003954A5"/>
    <w:rsid w:val="003B5D00"/>
    <w:rsid w:val="003B740B"/>
    <w:rsid w:val="003C2D81"/>
    <w:rsid w:val="003E01D2"/>
    <w:rsid w:val="00432A2D"/>
    <w:rsid w:val="00434EC1"/>
    <w:rsid w:val="00435F79"/>
    <w:rsid w:val="0045087B"/>
    <w:rsid w:val="0045608C"/>
    <w:rsid w:val="00457BBC"/>
    <w:rsid w:val="00462286"/>
    <w:rsid w:val="004724F0"/>
    <w:rsid w:val="00482259"/>
    <w:rsid w:val="00483635"/>
    <w:rsid w:val="0049003E"/>
    <w:rsid w:val="004923E8"/>
    <w:rsid w:val="00492C71"/>
    <w:rsid w:val="004964AA"/>
    <w:rsid w:val="004A5ACA"/>
    <w:rsid w:val="004C343D"/>
    <w:rsid w:val="004C5B69"/>
    <w:rsid w:val="004C765F"/>
    <w:rsid w:val="004D4BB3"/>
    <w:rsid w:val="004F213F"/>
    <w:rsid w:val="005135DA"/>
    <w:rsid w:val="00514B23"/>
    <w:rsid w:val="0051591A"/>
    <w:rsid w:val="0052119B"/>
    <w:rsid w:val="005357A6"/>
    <w:rsid w:val="00536607"/>
    <w:rsid w:val="00541AC4"/>
    <w:rsid w:val="00550B53"/>
    <w:rsid w:val="005717D7"/>
    <w:rsid w:val="00576110"/>
    <w:rsid w:val="005813B4"/>
    <w:rsid w:val="00591DB3"/>
    <w:rsid w:val="00593167"/>
    <w:rsid w:val="00596429"/>
    <w:rsid w:val="005968AF"/>
    <w:rsid w:val="005A345A"/>
    <w:rsid w:val="005A774B"/>
    <w:rsid w:val="005B4A9D"/>
    <w:rsid w:val="005B68D7"/>
    <w:rsid w:val="005C0083"/>
    <w:rsid w:val="005D526D"/>
    <w:rsid w:val="005D6901"/>
    <w:rsid w:val="00614B6F"/>
    <w:rsid w:val="006159BE"/>
    <w:rsid w:val="00617DB8"/>
    <w:rsid w:val="0062527B"/>
    <w:rsid w:val="006321C6"/>
    <w:rsid w:val="00635FAA"/>
    <w:rsid w:val="00643F2F"/>
    <w:rsid w:val="00654149"/>
    <w:rsid w:val="00670F21"/>
    <w:rsid w:val="0067100C"/>
    <w:rsid w:val="00672EFA"/>
    <w:rsid w:val="006876EE"/>
    <w:rsid w:val="006A2CB3"/>
    <w:rsid w:val="006B2DAE"/>
    <w:rsid w:val="006B377F"/>
    <w:rsid w:val="006C5F00"/>
    <w:rsid w:val="006E1432"/>
    <w:rsid w:val="006E3C2D"/>
    <w:rsid w:val="006E7463"/>
    <w:rsid w:val="007028A1"/>
    <w:rsid w:val="00703999"/>
    <w:rsid w:val="00703E96"/>
    <w:rsid w:val="00706359"/>
    <w:rsid w:val="0070692A"/>
    <w:rsid w:val="00713423"/>
    <w:rsid w:val="00717A2F"/>
    <w:rsid w:val="007263D0"/>
    <w:rsid w:val="007276FF"/>
    <w:rsid w:val="007315C5"/>
    <w:rsid w:val="00774FA3"/>
    <w:rsid w:val="007761C0"/>
    <w:rsid w:val="007978F3"/>
    <w:rsid w:val="007D3813"/>
    <w:rsid w:val="007D45A0"/>
    <w:rsid w:val="007D5DC8"/>
    <w:rsid w:val="007E6DAB"/>
    <w:rsid w:val="00804D46"/>
    <w:rsid w:val="00804FCC"/>
    <w:rsid w:val="00805119"/>
    <w:rsid w:val="00806D5D"/>
    <w:rsid w:val="008179C1"/>
    <w:rsid w:val="00823D21"/>
    <w:rsid w:val="00824018"/>
    <w:rsid w:val="00832BC4"/>
    <w:rsid w:val="008344AD"/>
    <w:rsid w:val="008371DB"/>
    <w:rsid w:val="00840C84"/>
    <w:rsid w:val="008626A4"/>
    <w:rsid w:val="00870054"/>
    <w:rsid w:val="00870A35"/>
    <w:rsid w:val="008715BF"/>
    <w:rsid w:val="0087217B"/>
    <w:rsid w:val="008743DA"/>
    <w:rsid w:val="0088057E"/>
    <w:rsid w:val="00880AE5"/>
    <w:rsid w:val="00883BA4"/>
    <w:rsid w:val="00886B4B"/>
    <w:rsid w:val="008A1AF8"/>
    <w:rsid w:val="008A2323"/>
    <w:rsid w:val="008A45E7"/>
    <w:rsid w:val="008B3741"/>
    <w:rsid w:val="008B7AD5"/>
    <w:rsid w:val="008C0C5E"/>
    <w:rsid w:val="008D471D"/>
    <w:rsid w:val="008E102A"/>
    <w:rsid w:val="008E3BC8"/>
    <w:rsid w:val="00900F4A"/>
    <w:rsid w:val="00930EC6"/>
    <w:rsid w:val="009324CF"/>
    <w:rsid w:val="00940B16"/>
    <w:rsid w:val="00940BD5"/>
    <w:rsid w:val="00941F6B"/>
    <w:rsid w:val="00954A0D"/>
    <w:rsid w:val="0096618A"/>
    <w:rsid w:val="0097179E"/>
    <w:rsid w:val="009765F4"/>
    <w:rsid w:val="00984D1C"/>
    <w:rsid w:val="00991FFF"/>
    <w:rsid w:val="00993F9C"/>
    <w:rsid w:val="009B745C"/>
    <w:rsid w:val="009E4F98"/>
    <w:rsid w:val="00A011A6"/>
    <w:rsid w:val="00A26696"/>
    <w:rsid w:val="00A31803"/>
    <w:rsid w:val="00A35D01"/>
    <w:rsid w:val="00A432E5"/>
    <w:rsid w:val="00A5170E"/>
    <w:rsid w:val="00A57A0A"/>
    <w:rsid w:val="00A60006"/>
    <w:rsid w:val="00A60F1C"/>
    <w:rsid w:val="00A94FBE"/>
    <w:rsid w:val="00AA0EC2"/>
    <w:rsid w:val="00AA1C7D"/>
    <w:rsid w:val="00AA353A"/>
    <w:rsid w:val="00AA4DEB"/>
    <w:rsid w:val="00AA511B"/>
    <w:rsid w:val="00AB3E8E"/>
    <w:rsid w:val="00AD5598"/>
    <w:rsid w:val="00AF1D3F"/>
    <w:rsid w:val="00AF7D64"/>
    <w:rsid w:val="00B04FEA"/>
    <w:rsid w:val="00B13E05"/>
    <w:rsid w:val="00B23105"/>
    <w:rsid w:val="00B30713"/>
    <w:rsid w:val="00B3179C"/>
    <w:rsid w:val="00B46678"/>
    <w:rsid w:val="00B47E1C"/>
    <w:rsid w:val="00B53E52"/>
    <w:rsid w:val="00B617AD"/>
    <w:rsid w:val="00B654DB"/>
    <w:rsid w:val="00B66D78"/>
    <w:rsid w:val="00B71F34"/>
    <w:rsid w:val="00B85677"/>
    <w:rsid w:val="00B87260"/>
    <w:rsid w:val="00B94113"/>
    <w:rsid w:val="00BA573E"/>
    <w:rsid w:val="00BD08BC"/>
    <w:rsid w:val="00BE4475"/>
    <w:rsid w:val="00BF29A3"/>
    <w:rsid w:val="00BF35E4"/>
    <w:rsid w:val="00C00D37"/>
    <w:rsid w:val="00C04324"/>
    <w:rsid w:val="00C2419C"/>
    <w:rsid w:val="00C343CE"/>
    <w:rsid w:val="00C37A28"/>
    <w:rsid w:val="00C52B1C"/>
    <w:rsid w:val="00C63C00"/>
    <w:rsid w:val="00C70DF6"/>
    <w:rsid w:val="00C77E9B"/>
    <w:rsid w:val="00C82C99"/>
    <w:rsid w:val="00C85A90"/>
    <w:rsid w:val="00CA6173"/>
    <w:rsid w:val="00CB4EA8"/>
    <w:rsid w:val="00CC00D5"/>
    <w:rsid w:val="00CC22C5"/>
    <w:rsid w:val="00CF0A61"/>
    <w:rsid w:val="00D057D7"/>
    <w:rsid w:val="00D24E18"/>
    <w:rsid w:val="00D348C2"/>
    <w:rsid w:val="00D353E8"/>
    <w:rsid w:val="00D46C60"/>
    <w:rsid w:val="00D577C6"/>
    <w:rsid w:val="00D61FF0"/>
    <w:rsid w:val="00D662F2"/>
    <w:rsid w:val="00D870C7"/>
    <w:rsid w:val="00D9335B"/>
    <w:rsid w:val="00DA3C14"/>
    <w:rsid w:val="00DA3D9A"/>
    <w:rsid w:val="00DB5402"/>
    <w:rsid w:val="00DB677B"/>
    <w:rsid w:val="00DD2934"/>
    <w:rsid w:val="00DD6C8F"/>
    <w:rsid w:val="00DF1A96"/>
    <w:rsid w:val="00E04228"/>
    <w:rsid w:val="00E112E5"/>
    <w:rsid w:val="00E17C8B"/>
    <w:rsid w:val="00E421EF"/>
    <w:rsid w:val="00E55FC1"/>
    <w:rsid w:val="00E772F1"/>
    <w:rsid w:val="00E82D9B"/>
    <w:rsid w:val="00E85F01"/>
    <w:rsid w:val="00EA29BA"/>
    <w:rsid w:val="00EB545E"/>
    <w:rsid w:val="00EC17BB"/>
    <w:rsid w:val="00EC4C65"/>
    <w:rsid w:val="00ED06D5"/>
    <w:rsid w:val="00EE02E5"/>
    <w:rsid w:val="00EE4DCE"/>
    <w:rsid w:val="00EF1738"/>
    <w:rsid w:val="00F06864"/>
    <w:rsid w:val="00F170B0"/>
    <w:rsid w:val="00F320F0"/>
    <w:rsid w:val="00F33AA4"/>
    <w:rsid w:val="00F35830"/>
    <w:rsid w:val="00F36B9C"/>
    <w:rsid w:val="00F44382"/>
    <w:rsid w:val="00F533FE"/>
    <w:rsid w:val="00F62ECE"/>
    <w:rsid w:val="00F66BD5"/>
    <w:rsid w:val="00F69476"/>
    <w:rsid w:val="00F75DF2"/>
    <w:rsid w:val="00F85AC9"/>
    <w:rsid w:val="00F936A6"/>
    <w:rsid w:val="00F9394D"/>
    <w:rsid w:val="00F964EF"/>
    <w:rsid w:val="00FC2161"/>
    <w:rsid w:val="00FC2893"/>
    <w:rsid w:val="00FD0429"/>
    <w:rsid w:val="00FD3D2F"/>
    <w:rsid w:val="00FD50EC"/>
    <w:rsid w:val="00FD75BB"/>
    <w:rsid w:val="0265FA30"/>
    <w:rsid w:val="028176FE"/>
    <w:rsid w:val="03361830"/>
    <w:rsid w:val="0344F81D"/>
    <w:rsid w:val="0511A0F6"/>
    <w:rsid w:val="05589B67"/>
    <w:rsid w:val="05DDA118"/>
    <w:rsid w:val="06167122"/>
    <w:rsid w:val="061D16D9"/>
    <w:rsid w:val="07C52C14"/>
    <w:rsid w:val="081B9041"/>
    <w:rsid w:val="082ACA24"/>
    <w:rsid w:val="092440DE"/>
    <w:rsid w:val="095CF427"/>
    <w:rsid w:val="09DA3E5D"/>
    <w:rsid w:val="09FF58B4"/>
    <w:rsid w:val="0A8AEA8B"/>
    <w:rsid w:val="0B0D062C"/>
    <w:rsid w:val="0BAB106A"/>
    <w:rsid w:val="0BFE2646"/>
    <w:rsid w:val="0C35224C"/>
    <w:rsid w:val="0CDDF4D4"/>
    <w:rsid w:val="0DB21814"/>
    <w:rsid w:val="0E315AF2"/>
    <w:rsid w:val="0E502FB3"/>
    <w:rsid w:val="0E89DEA2"/>
    <w:rsid w:val="0EFD7B20"/>
    <w:rsid w:val="0F2C5316"/>
    <w:rsid w:val="10691908"/>
    <w:rsid w:val="10ABD3DF"/>
    <w:rsid w:val="10E21731"/>
    <w:rsid w:val="12E9A33A"/>
    <w:rsid w:val="13117FF5"/>
    <w:rsid w:val="134D91D9"/>
    <w:rsid w:val="1403ECB1"/>
    <w:rsid w:val="1457C4C5"/>
    <w:rsid w:val="14CB8775"/>
    <w:rsid w:val="15A31E48"/>
    <w:rsid w:val="162B5D67"/>
    <w:rsid w:val="1716057A"/>
    <w:rsid w:val="17C45DB9"/>
    <w:rsid w:val="18A86EE2"/>
    <w:rsid w:val="18C38761"/>
    <w:rsid w:val="19169567"/>
    <w:rsid w:val="19AF1FED"/>
    <w:rsid w:val="19CE73DA"/>
    <w:rsid w:val="19EC2741"/>
    <w:rsid w:val="1AFF4D53"/>
    <w:rsid w:val="1C21D889"/>
    <w:rsid w:val="1C4F1039"/>
    <w:rsid w:val="1C617BEA"/>
    <w:rsid w:val="1C89B7F0"/>
    <w:rsid w:val="1CE6C585"/>
    <w:rsid w:val="1D5A3B02"/>
    <w:rsid w:val="1DCBDD58"/>
    <w:rsid w:val="1DE912DC"/>
    <w:rsid w:val="1EABF71A"/>
    <w:rsid w:val="1EB94C13"/>
    <w:rsid w:val="1EF5424A"/>
    <w:rsid w:val="201DF312"/>
    <w:rsid w:val="2026232E"/>
    <w:rsid w:val="2199ECE7"/>
    <w:rsid w:val="22749744"/>
    <w:rsid w:val="22AFBBE8"/>
    <w:rsid w:val="22C54903"/>
    <w:rsid w:val="245F9ADF"/>
    <w:rsid w:val="24B48D89"/>
    <w:rsid w:val="2516BB3C"/>
    <w:rsid w:val="2567F07B"/>
    <w:rsid w:val="25B9CB0F"/>
    <w:rsid w:val="2605BC1C"/>
    <w:rsid w:val="28857DBF"/>
    <w:rsid w:val="28B69803"/>
    <w:rsid w:val="28EA210E"/>
    <w:rsid w:val="29C92409"/>
    <w:rsid w:val="29E01CB7"/>
    <w:rsid w:val="2A878165"/>
    <w:rsid w:val="2BCE02DA"/>
    <w:rsid w:val="2C4E6624"/>
    <w:rsid w:val="2CD1A6E5"/>
    <w:rsid w:val="2D99C688"/>
    <w:rsid w:val="2DF10453"/>
    <w:rsid w:val="2E43C1E0"/>
    <w:rsid w:val="2EFF19F1"/>
    <w:rsid w:val="2F72C7E3"/>
    <w:rsid w:val="30B8AAB9"/>
    <w:rsid w:val="31484DDE"/>
    <w:rsid w:val="31708A4A"/>
    <w:rsid w:val="31C6852B"/>
    <w:rsid w:val="323665E4"/>
    <w:rsid w:val="324B0402"/>
    <w:rsid w:val="325FBD02"/>
    <w:rsid w:val="326C54CF"/>
    <w:rsid w:val="34D71678"/>
    <w:rsid w:val="356C2AC5"/>
    <w:rsid w:val="35A4CBB9"/>
    <w:rsid w:val="3612B44B"/>
    <w:rsid w:val="3617ECD3"/>
    <w:rsid w:val="3668B904"/>
    <w:rsid w:val="3689C949"/>
    <w:rsid w:val="368C653C"/>
    <w:rsid w:val="3749D782"/>
    <w:rsid w:val="375ABB0E"/>
    <w:rsid w:val="38414E39"/>
    <w:rsid w:val="3857076D"/>
    <w:rsid w:val="387B73D4"/>
    <w:rsid w:val="38BD7119"/>
    <w:rsid w:val="397A170C"/>
    <w:rsid w:val="3A22FF41"/>
    <w:rsid w:val="3AB17C8C"/>
    <w:rsid w:val="3B396AD7"/>
    <w:rsid w:val="3CCA46B9"/>
    <w:rsid w:val="3CD2BAF9"/>
    <w:rsid w:val="3D20C117"/>
    <w:rsid w:val="3D442F26"/>
    <w:rsid w:val="3D6C572B"/>
    <w:rsid w:val="3E211DCC"/>
    <w:rsid w:val="3F6C6E92"/>
    <w:rsid w:val="400C4541"/>
    <w:rsid w:val="425F5179"/>
    <w:rsid w:val="42BA9BAC"/>
    <w:rsid w:val="42D5D460"/>
    <w:rsid w:val="439107EA"/>
    <w:rsid w:val="43D48E9F"/>
    <w:rsid w:val="447F6493"/>
    <w:rsid w:val="454BBDA9"/>
    <w:rsid w:val="45780F67"/>
    <w:rsid w:val="45A1D19A"/>
    <w:rsid w:val="4610258D"/>
    <w:rsid w:val="461833C9"/>
    <w:rsid w:val="467ADDB4"/>
    <w:rsid w:val="4680C391"/>
    <w:rsid w:val="4695BFF9"/>
    <w:rsid w:val="46EB5B30"/>
    <w:rsid w:val="475D810C"/>
    <w:rsid w:val="47F58D21"/>
    <w:rsid w:val="48116734"/>
    <w:rsid w:val="484987CF"/>
    <w:rsid w:val="487B23FB"/>
    <w:rsid w:val="4A220D5C"/>
    <w:rsid w:val="4AD2B1A6"/>
    <w:rsid w:val="4AD9C391"/>
    <w:rsid w:val="4CAFCF84"/>
    <w:rsid w:val="4D6CD3D1"/>
    <w:rsid w:val="4D74A97E"/>
    <w:rsid w:val="4DC04AAB"/>
    <w:rsid w:val="4ED4EC1B"/>
    <w:rsid w:val="4FBA32C8"/>
    <w:rsid w:val="4FF9DAEC"/>
    <w:rsid w:val="52B90240"/>
    <w:rsid w:val="530E36E3"/>
    <w:rsid w:val="53AE324A"/>
    <w:rsid w:val="5402FF68"/>
    <w:rsid w:val="54251BFF"/>
    <w:rsid w:val="542C1257"/>
    <w:rsid w:val="545FBB31"/>
    <w:rsid w:val="546DE06E"/>
    <w:rsid w:val="5491B111"/>
    <w:rsid w:val="54D3060E"/>
    <w:rsid w:val="55125018"/>
    <w:rsid w:val="555A5FBD"/>
    <w:rsid w:val="557DFE33"/>
    <w:rsid w:val="561D4C38"/>
    <w:rsid w:val="56B93DE7"/>
    <w:rsid w:val="57379261"/>
    <w:rsid w:val="576745EE"/>
    <w:rsid w:val="5780E23A"/>
    <w:rsid w:val="57A3591E"/>
    <w:rsid w:val="57C62074"/>
    <w:rsid w:val="5918B039"/>
    <w:rsid w:val="59796A72"/>
    <w:rsid w:val="598A26A8"/>
    <w:rsid w:val="598A86C5"/>
    <w:rsid w:val="5B08A846"/>
    <w:rsid w:val="5BADA950"/>
    <w:rsid w:val="5C628D10"/>
    <w:rsid w:val="5CF1853E"/>
    <w:rsid w:val="5D320F97"/>
    <w:rsid w:val="5DE47915"/>
    <w:rsid w:val="5E5BB8DE"/>
    <w:rsid w:val="5E8B20C7"/>
    <w:rsid w:val="5F5BC52D"/>
    <w:rsid w:val="5F7D9147"/>
    <w:rsid w:val="60500041"/>
    <w:rsid w:val="61352FCB"/>
    <w:rsid w:val="615CB405"/>
    <w:rsid w:val="61791DB7"/>
    <w:rsid w:val="6194FE79"/>
    <w:rsid w:val="61B30208"/>
    <w:rsid w:val="6236461A"/>
    <w:rsid w:val="62472449"/>
    <w:rsid w:val="63782C8D"/>
    <w:rsid w:val="63A35B12"/>
    <w:rsid w:val="63E6763F"/>
    <w:rsid w:val="6531DE61"/>
    <w:rsid w:val="660978A7"/>
    <w:rsid w:val="6644776D"/>
    <w:rsid w:val="6909BA5E"/>
    <w:rsid w:val="6923D573"/>
    <w:rsid w:val="698CFC79"/>
    <w:rsid w:val="69A31C37"/>
    <w:rsid w:val="69C9B04B"/>
    <w:rsid w:val="6A0971E3"/>
    <w:rsid w:val="6A8ABBCD"/>
    <w:rsid w:val="6A92E128"/>
    <w:rsid w:val="6BB838F4"/>
    <w:rsid w:val="6C2F2C95"/>
    <w:rsid w:val="6C464F30"/>
    <w:rsid w:val="6C640504"/>
    <w:rsid w:val="6C7EE39E"/>
    <w:rsid w:val="6D91B301"/>
    <w:rsid w:val="6D9A3ADD"/>
    <w:rsid w:val="6DABEAF9"/>
    <w:rsid w:val="6DAE02D2"/>
    <w:rsid w:val="6DB55F50"/>
    <w:rsid w:val="6FA5CC8E"/>
    <w:rsid w:val="6FAF3981"/>
    <w:rsid w:val="70023A1E"/>
    <w:rsid w:val="701909C4"/>
    <w:rsid w:val="70EF7CEA"/>
    <w:rsid w:val="71551326"/>
    <w:rsid w:val="71BDF13F"/>
    <w:rsid w:val="746D04BE"/>
    <w:rsid w:val="747E446D"/>
    <w:rsid w:val="758AE659"/>
    <w:rsid w:val="75F4746E"/>
    <w:rsid w:val="76A7CCA3"/>
    <w:rsid w:val="7749272E"/>
    <w:rsid w:val="7767ABC8"/>
    <w:rsid w:val="776BC475"/>
    <w:rsid w:val="77C08357"/>
    <w:rsid w:val="79807F83"/>
    <w:rsid w:val="79CA717F"/>
    <w:rsid w:val="79D0ABCA"/>
    <w:rsid w:val="7A6AD7D2"/>
    <w:rsid w:val="7A7752C0"/>
    <w:rsid w:val="7AA314D7"/>
    <w:rsid w:val="7AB179AC"/>
    <w:rsid w:val="7D29117C"/>
    <w:rsid w:val="7DC4EAA4"/>
    <w:rsid w:val="7E2D8408"/>
    <w:rsid w:val="7EE55C15"/>
    <w:rsid w:val="7F3BE381"/>
    <w:rsid w:val="7F67EBC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0D5A8"/>
  <w15:docId w15:val="{CCAB0989-D505-4D63-BFEE-8B9B2F888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DB3"/>
  </w:style>
  <w:style w:type="paragraph" w:styleId="Heading1">
    <w:name w:val="heading 1"/>
    <w:basedOn w:val="Normal"/>
    <w:next w:val="Normal"/>
    <w:link w:val="Heading1Char"/>
    <w:uiPriority w:val="9"/>
    <w:qFormat/>
    <w:pPr>
      <w:ind w:left="316" w:hanging="230"/>
      <w:outlineLvl w:val="0"/>
    </w:pPr>
    <w:rPr>
      <w:b/>
      <w:bCs/>
      <w:sz w:val="23"/>
      <w:szCs w:val="23"/>
    </w:rPr>
  </w:style>
  <w:style w:type="paragraph" w:styleId="Heading2">
    <w:name w:val="heading 2"/>
    <w:basedOn w:val="Normal"/>
    <w:next w:val="Normal"/>
    <w:link w:val="Heading2Char"/>
    <w:uiPriority w:val="9"/>
    <w:unhideWhenUsed/>
    <w:qFormat/>
    <w:pPr>
      <w:ind w:left="480" w:hanging="395"/>
      <w:outlineLvl w:val="1"/>
    </w:pPr>
    <w:rPr>
      <w:b/>
      <w:bCs/>
      <w:sz w:val="23"/>
      <w:szCs w:val="23"/>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67"/>
      <w:ind w:right="95"/>
      <w:jc w:val="center"/>
    </w:pPr>
    <w:rPr>
      <w:b/>
      <w:bCs/>
      <w:sz w:val="31"/>
      <w:szCs w:val="31"/>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7F3BE381"/>
    <w:pPr>
      <w:ind w:left="720"/>
      <w:contextualSpacing/>
    </w:pPr>
  </w:style>
  <w:style w:type="character" w:styleId="Hyperlink">
    <w:name w:val="Hyperlink"/>
    <w:basedOn w:val="DefaultParagraphFont"/>
    <w:uiPriority w:val="99"/>
    <w:unhideWhenUsed/>
    <w:rsid w:val="7F3BE381"/>
    <w:rPr>
      <w:color w:val="0000FF"/>
      <w:u w:val="single"/>
    </w:rPr>
  </w:style>
  <w:style w:type="character" w:customStyle="1" w:styleId="Heading2Char">
    <w:name w:val="Heading 2 Char"/>
    <w:basedOn w:val="DefaultParagraphFont"/>
    <w:link w:val="Heading2"/>
    <w:uiPriority w:val="9"/>
    <w:rsid w:val="00003001"/>
    <w:rPr>
      <w:b/>
      <w:bCs/>
      <w:sz w:val="23"/>
      <w:szCs w:val="23"/>
    </w:rPr>
  </w:style>
  <w:style w:type="paragraph" w:styleId="NormalWeb">
    <w:name w:val="Normal (Web)"/>
    <w:basedOn w:val="Normal"/>
    <w:uiPriority w:val="99"/>
    <w:semiHidden/>
    <w:unhideWhenUsed/>
    <w:rsid w:val="00324ABB"/>
    <w:rPr>
      <w:sz w:val="24"/>
      <w:szCs w:val="24"/>
    </w:rPr>
  </w:style>
  <w:style w:type="character" w:customStyle="1" w:styleId="Heading1Char">
    <w:name w:val="Heading 1 Char"/>
    <w:basedOn w:val="DefaultParagraphFont"/>
    <w:link w:val="Heading1"/>
    <w:uiPriority w:val="9"/>
    <w:rsid w:val="001A3423"/>
    <w:rPr>
      <w:b/>
      <w:bCs/>
      <w:sz w:val="23"/>
      <w:szCs w:val="23"/>
    </w:rPr>
  </w:style>
  <w:style w:type="character" w:styleId="UnresolvedMention">
    <w:name w:val="Unresolved Mention"/>
    <w:basedOn w:val="DefaultParagraphFont"/>
    <w:uiPriority w:val="99"/>
    <w:semiHidden/>
    <w:unhideWhenUsed/>
    <w:rsid w:val="005968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meowooomeowwooo-dev/VLA_Quantization"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PKrxWghrtxQ/8iivdtG4uKloFQ==">CgMxLjA4AHIhMUtUS0V3bjBGNzRGdTZrUy1Ldm1IN2JMNkhfRXlheW43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5</Pages>
  <Words>2837</Words>
  <Characters>16176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18976</CharactersWithSpaces>
  <SharedDoc>false</SharedDoc>
  <HLinks>
    <vt:vector size="6" baseType="variant">
      <vt:variant>
        <vt:i4>7077889</vt:i4>
      </vt:variant>
      <vt:variant>
        <vt:i4>0</vt:i4>
      </vt:variant>
      <vt:variant>
        <vt:i4>0</vt:i4>
      </vt:variant>
      <vt:variant>
        <vt:i4>5</vt:i4>
      </vt:variant>
      <vt:variant>
        <vt:lpwstr>https://github.com/meowooomeowwooo-dev/VLA_Quantization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mea woo</dc:creator>
  <cp:lastModifiedBy>mea woo</cp:lastModifiedBy>
  <cp:revision>323</cp:revision>
  <dcterms:created xsi:type="dcterms:W3CDTF">2026-05-24T09:02:00Z</dcterms:created>
  <dcterms:modified xsi:type="dcterms:W3CDTF">2026-05-24T13:33:00Z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2024-12-04T00:00:00Z</vt:lpwstr>
  </property>
  <property fmtid="{D5CDD505-2E9C-101B-9397-08002B2CF9AE}" pid="3" name="Creator">
    <vt:lpwstr>Microsoft® Word for Microsoft 365</vt:lpwstr>
  </property>
  <property fmtid="{D5CDD505-2E9C-101B-9397-08002B2CF9AE}" pid="4" name="LastSaved">
    <vt:lpwstr>2026-03-29T00:00:00Z</vt:lpwstr>
  </property>
  <property fmtid="{D5CDD505-2E9C-101B-9397-08002B2CF9AE}" pid="5" name="Producer">
    <vt:lpwstr>3-Heights(TM) PDF Security Shell 4.8.25.2 (http://www.pdf-tools.com)</vt:lpwstr>
  </property>
</Properties>
</file>