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F4E79"/>
          <w:sz w:val="26"/>
        </w:rPr>
        <w:t>TEAM ROLE CONTRACT: B2: DATA LAYER</w:t>
      </w:r>
    </w:p>
    <w:tbl>
      <w:tblPr>
        <w:tblW w:type="auto" w:w="0"/>
        <w:jc w:val="center"/>
        <w:tblLayout w:type="fixed"/>
        <w:tblLook w:firstColumn="1" w:firstRow="1" w:lastColumn="0" w:lastRow="0" w:noHBand="0" w:noVBand="1" w:val="04A0"/>
      </w:tblPr>
      <w:tblGrid>
        <w:gridCol w:w="5162"/>
        <w:gridCol w:w="5162"/>
      </w:tblGrid>
      <w:tr>
        <w:tc>
          <w:tcPr>
            <w:tcW w:type="dxa" w:w="5155"/>
            <w:shd w:fill="F1F5F9"/>
            <w:tcBorders>
              <w:top w:val="single" w:sz="4" w:space="0" w:color="CBD5E1"/>
              <w:bottom w:val="single" w:sz="4" w:space="0" w:color="CBD5E1"/>
              <w:left w:val="single" w:sz="4" w:space="0" w:color="CBD5E1"/>
              <w:right w:val="single" w:sz="4" w:space="0" w:color="CBD5E1"/>
            </w:tcBorders>
            <w:tcMar>
              <w:top w:w="45" w:type="dxa"/>
              <w:bottom w:w="45" w:type="dxa"/>
              <w:left w:w="90" w:type="dxa"/>
              <w:right w:w="90" w:type="dxa"/>
            </w:tcMar>
          </w:tcPr>
          <w:p>
            <w:pPr>
              <w:spacing w:after="20" w:before="20"/>
            </w:pPr>
            <w:r>
              <w:rPr>
                <w:rFonts w:ascii="Calibri" w:hAnsi="Calibri"/>
                <w:b/>
                <w:color w:val="0F172A"/>
                <w:sz w:val="17"/>
              </w:rPr>
              <w:t>Project:</w:t>
            </w:r>
            <w:r>
              <w:rPr>
                <w:rFonts w:ascii="Calibri" w:hAnsi="Calibri"/>
                <w:sz w:val="17"/>
              </w:rPr>
              <w:t xml:space="preserve"> TBD (Privacy-First Android UPI Expense Tracker)</w:t>
            </w:r>
          </w:p>
        </w:tc>
        <w:tc>
          <w:tcPr>
            <w:tcW w:type="dxa" w:w="5155"/>
            <w:shd w:fill="F1F5F9"/>
            <w:tcBorders>
              <w:top w:val="single" w:sz="4" w:space="0" w:color="CBD5E1"/>
              <w:bottom w:val="single" w:sz="4" w:space="0" w:color="CBD5E1"/>
              <w:left w:val="single" w:sz="4" w:space="0" w:color="CBD5E1"/>
              <w:right w:val="single" w:sz="4" w:space="0" w:color="CBD5E1"/>
            </w:tcBorders>
            <w:tcMar>
              <w:top w:w="45" w:type="dxa"/>
              <w:bottom w:w="45" w:type="dxa"/>
              <w:left w:w="90" w:type="dxa"/>
              <w:right w:w="90" w:type="dxa"/>
            </w:tcMar>
          </w:tcPr>
          <w:p>
            <w:pPr>
              <w:spacing w:after="20" w:before="20"/>
            </w:pPr>
            <w:r>
              <w:rPr>
                <w:rFonts w:ascii="Calibri" w:hAnsi="Calibri"/>
                <w:b/>
                <w:color w:val="0F172A"/>
                <w:sz w:val="17"/>
              </w:rPr>
              <w:t>Git Branch:</w:t>
            </w:r>
            <w:r>
              <w:rPr>
                <w:rFonts w:ascii="Calibri" w:hAnsi="Calibri"/>
                <w:sz w:val="17"/>
              </w:rPr>
              <w:t xml:space="preserve"> b2-data</w:t>
            </w:r>
          </w:p>
        </w:tc>
      </w:tr>
      <w:tr>
        <w:tc>
          <w:tcPr>
            <w:tcW w:type="dxa" w:w="5155"/>
            <w:shd w:fill="F1F5F9"/>
            <w:tcBorders>
              <w:top w:val="single" w:sz="4" w:space="0" w:color="CBD5E1"/>
              <w:bottom w:val="single" w:sz="4" w:space="0" w:color="CBD5E1"/>
              <w:left w:val="single" w:sz="4" w:space="0" w:color="CBD5E1"/>
              <w:right w:val="single" w:sz="4" w:space="0" w:color="CBD5E1"/>
            </w:tcBorders>
            <w:tcMar>
              <w:top w:w="45" w:type="dxa"/>
              <w:bottom w:w="45" w:type="dxa"/>
              <w:left w:w="90" w:type="dxa"/>
              <w:right w:w="90" w:type="dxa"/>
            </w:tcMar>
          </w:tcPr>
          <w:p>
            <w:pPr>
              <w:spacing w:after="20" w:before="20"/>
            </w:pPr>
            <w:r>
              <w:rPr>
                <w:rFonts w:ascii="Calibri" w:hAnsi="Calibri"/>
                <w:b/>
                <w:color w:val="0F172A"/>
                <w:sz w:val="17"/>
              </w:rPr>
              <w:t>Role Assignment:</w:t>
            </w:r>
            <w:r>
              <w:rPr>
                <w:rFonts w:ascii="Calibri" w:hAnsi="Calibri"/>
                <w:sz w:val="17"/>
              </w:rPr>
              <w:t xml:space="preserve"> B2: Data Layer</w:t>
            </w:r>
          </w:p>
        </w:tc>
        <w:tc>
          <w:tcPr>
            <w:tcW w:type="dxa" w:w="5155"/>
            <w:shd w:fill="F1F5F9"/>
            <w:tcBorders>
              <w:top w:val="single" w:sz="4" w:space="0" w:color="CBD5E1"/>
              <w:bottom w:val="single" w:sz="4" w:space="0" w:color="CBD5E1"/>
              <w:left w:val="single" w:sz="4" w:space="0" w:color="CBD5E1"/>
              <w:right w:val="single" w:sz="4" w:space="0" w:color="CBD5E1"/>
            </w:tcBorders>
            <w:tcMar>
              <w:top w:w="45" w:type="dxa"/>
              <w:bottom w:w="45" w:type="dxa"/>
              <w:left w:w="90" w:type="dxa"/>
              <w:right w:w="90" w:type="dxa"/>
            </w:tcMar>
          </w:tcPr>
          <w:p>
            <w:pPr>
              <w:spacing w:after="20" w:before="20"/>
            </w:pPr>
            <w:r>
              <w:rPr>
                <w:rFonts w:ascii="Calibri" w:hAnsi="Calibri"/>
                <w:b/>
                <w:color w:val="0F172A"/>
                <w:sz w:val="17"/>
              </w:rPr>
              <w:t>Date / Sprint:</w:t>
            </w:r>
            <w:r>
              <w:rPr>
                <w:rFonts w:ascii="Calibri" w:hAnsi="Calibri"/>
                <w:sz w:val="17"/>
              </w:rPr>
              <w:t xml:space="preserve"> TBD (24-Hour Hackathon)</w:t>
            </w:r>
          </w:p>
        </w:tc>
      </w:tr>
    </w:tbl>
    <w:p>
      <w:pPr>
        <w:spacing w:before="0" w:after="40"/>
      </w:pPr>
    </w:p>
    <w:p>
      <w:pPr>
        <w:keepNext/>
        <w:spacing w:before="80" w:after="40"/>
      </w:pPr>
      <w:r>
        <w:rPr>
          <w:rFonts w:ascii="Calibri" w:hAnsi="Calibri"/>
          <w:b/>
          <w:color w:val="1F4E79"/>
          <w:sz w:val="20"/>
        </w:rPr>
        <w:t>1. Title and Metadata</w:t>
      </w:r>
    </w:p>
    <w:p>
      <w:pPr>
        <w:pStyle w:val="ListBullet"/>
        <w:spacing w:before="0" w:after="30" w:line="254" w:lineRule="auto"/>
      </w:pPr>
      <w:r>
        <w:rPr>
          <w:rFonts w:ascii="Calibri" w:hAnsi="Calibri"/>
          <w:b/>
          <w:color w:val="0F172A"/>
          <w:sz w:val="17"/>
        </w:rPr>
        <w:t xml:space="preserve">Document Title: </w:t>
      </w:r>
      <w:r>
        <w:rPr>
          <w:rFonts w:ascii="Calibri" w:hAnsi="Calibri"/>
          <w:color w:val="1E293B"/>
          <w:sz w:val="17"/>
        </w:rPr>
        <w:t>Team Role Contract – B2: Data Layer</w:t>
      </w:r>
    </w:p>
    <w:p>
      <w:pPr>
        <w:pStyle w:val="ListBullet"/>
        <w:spacing w:before="0" w:after="30" w:line="254" w:lineRule="auto"/>
      </w:pPr>
      <w:r>
        <w:rPr>
          <w:rFonts w:ascii="Calibri" w:hAnsi="Calibri"/>
          <w:b/>
          <w:color w:val="0F172A"/>
          <w:sz w:val="17"/>
        </w:rPr>
        <w:t xml:space="preserve">Project Name: </w:t>
      </w:r>
      <w:r>
        <w:rPr>
          <w:rFonts w:ascii="Calibri" w:hAnsi="Calibri"/>
          <w:color w:val="1E293B"/>
          <w:sz w:val="17"/>
        </w:rPr>
        <w:t>TBD (Privacy-First Android Expense Tracker that auto-logs UPI bank SMS on-device)</w:t>
      </w:r>
    </w:p>
    <w:p>
      <w:pPr>
        <w:pStyle w:val="ListBullet"/>
        <w:spacing w:before="0" w:after="30" w:line="254" w:lineRule="auto"/>
      </w:pPr>
      <w:r>
        <w:rPr>
          <w:rFonts w:ascii="Calibri" w:hAnsi="Calibri"/>
          <w:b/>
          <w:color w:val="0F172A"/>
          <w:sz w:val="17"/>
        </w:rPr>
        <w:t xml:space="preserve">Role Assignment: </w:t>
      </w:r>
      <w:r>
        <w:rPr>
          <w:rFonts w:ascii="Calibri" w:hAnsi="Calibri"/>
          <w:color w:val="1E293B"/>
          <w:sz w:val="17"/>
        </w:rPr>
        <w:t>B2: Data Layer</w:t>
      </w:r>
    </w:p>
    <w:p>
      <w:pPr>
        <w:pStyle w:val="ListBullet"/>
        <w:spacing w:before="0" w:after="30" w:line="254" w:lineRule="auto"/>
      </w:pPr>
      <w:r>
        <w:rPr>
          <w:rFonts w:ascii="Calibri" w:hAnsi="Calibri"/>
          <w:b/>
          <w:color w:val="0F172A"/>
          <w:sz w:val="17"/>
        </w:rPr>
        <w:t xml:space="preserve">Git Branch: </w:t>
      </w:r>
      <w:r>
        <w:rPr>
          <w:rFonts w:ascii="Calibri" w:hAnsi="Calibri"/>
          <w:color w:val="1E293B"/>
          <w:sz w:val="17"/>
        </w:rPr>
        <w:t>b2-data</w:t>
      </w:r>
    </w:p>
    <w:p>
      <w:pPr>
        <w:pStyle w:val="ListBullet"/>
        <w:spacing w:before="0" w:after="30" w:line="254" w:lineRule="auto"/>
      </w:pPr>
      <w:r>
        <w:rPr>
          <w:rFonts w:ascii="Calibri" w:hAnsi="Calibri"/>
          <w:b/>
          <w:color w:val="0F172A"/>
          <w:sz w:val="17"/>
        </w:rPr>
        <w:t xml:space="preserve">Date / Sprint: </w:t>
      </w:r>
      <w:r>
        <w:rPr>
          <w:rFonts w:ascii="Calibri" w:hAnsi="Calibri"/>
          <w:color w:val="1E293B"/>
          <w:sz w:val="17"/>
        </w:rPr>
        <w:t>TBD (24-Hour Hackathon)</w:t>
      </w:r>
    </w:p>
    <w:p>
      <w:pPr>
        <w:keepNext/>
        <w:spacing w:before="80" w:after="40"/>
      </w:pPr>
      <w:r>
        <w:rPr>
          <w:rFonts w:ascii="Calibri" w:hAnsi="Calibri"/>
          <w:b/>
          <w:color w:val="1F4E79"/>
          <w:sz w:val="20"/>
        </w:rPr>
        <w:t>2. Purpose of the Role</w:t>
      </w:r>
    </w:p>
    <w:p>
      <w:pPr>
        <w:spacing w:before="0" w:after="40" w:line="254" w:lineRule="auto"/>
      </w:pPr>
      <w:r>
        <w:rPr>
          <w:rFonts w:ascii="Calibri" w:hAnsi="Calibri"/>
          <w:color w:val="1E293B"/>
          <w:sz w:val="17"/>
        </w:rPr>
        <w:t>The purpose of the B2 role is to architect and implement the local data layer, persistent storage, and reactive state management for the application. B2 is responsible for establishing the core Transaction data model, Room database tables, deduplication logic, and ViewModels. B2 delivers clean, encrypted local data storage and seamless data observation for the UI layer.</w:t>
      </w:r>
    </w:p>
    <w:p>
      <w:pPr>
        <w:keepNext/>
        <w:spacing w:before="80" w:after="40"/>
      </w:pPr>
      <w:r>
        <w:rPr>
          <w:rFonts w:ascii="Calibri" w:hAnsi="Calibri"/>
          <w:b/>
          <w:color w:val="1F4E79"/>
          <w:sz w:val="20"/>
        </w:rPr>
        <w:t>3. Core Deliverables</w:t>
      </w:r>
    </w:p>
    <w:tbl>
      <w:tblPr>
        <w:tblW w:type="auto" w:w="0"/>
        <w:jc w:val="center"/>
        <w:tblLayout w:type="fixed"/>
        <w:tblLook w:firstColumn="1" w:firstRow="1" w:lastColumn="0" w:lastRow="0" w:noHBand="0" w:noVBand="1" w:val="04A0"/>
      </w:tblPr>
      <w:tblGrid>
        <w:gridCol w:w="2581"/>
        <w:gridCol w:w="2581"/>
        <w:gridCol w:w="2581"/>
        <w:gridCol w:w="2581"/>
      </w:tblGrid>
      <w:tr>
        <w:tc>
          <w:tcPr>
            <w:tcW w:type="dxa" w:w="1224"/>
            <w:shd w:fill="1F4E79"/>
            <w:tcBorders>
              <w:top w:val="single" w:sz="4" w:space="0" w:color="1F4E79"/>
              <w:bottom w:val="single" w:sz="4" w:space="0" w:color="1F4E79"/>
              <w:left w:val="single" w:sz="4" w:space="0" w:color="1F4E79"/>
              <w:right w:val="single" w:sz="4" w:space="0" w:color="1F4E79"/>
            </w:tcBorders>
            <w:tcMar>
              <w:top w:w="50" w:type="dxa"/>
              <w:bottom w:w="50" w:type="dxa"/>
              <w:left w:w="70" w:type="dxa"/>
              <w:right w:w="70" w:type="dxa"/>
            </w:tcMar>
          </w:tcPr>
          <w:p>
            <w:pPr>
              <w:spacing w:before="0" w:after="0" w:line="240" w:lineRule="auto"/>
            </w:pPr>
            <w:r>
              <w:rPr>
                <w:rFonts w:ascii="Calibri" w:hAnsi="Calibri"/>
                <w:b/>
                <w:color w:val="FFFFFF"/>
                <w:sz w:val="16"/>
              </w:rPr>
              <w:t>Task #</w:t>
            </w:r>
          </w:p>
        </w:tc>
        <w:tc>
          <w:tcPr>
            <w:tcW w:type="dxa" w:w="2664"/>
            <w:shd w:fill="1F4E79"/>
            <w:tcBorders>
              <w:top w:val="single" w:sz="4" w:space="0" w:color="1F4E79"/>
              <w:bottom w:val="single" w:sz="4" w:space="0" w:color="1F4E79"/>
              <w:left w:val="single" w:sz="4" w:space="0" w:color="1F4E79"/>
              <w:right w:val="single" w:sz="4" w:space="0" w:color="1F4E79"/>
            </w:tcBorders>
            <w:tcMar>
              <w:top w:w="50" w:type="dxa"/>
              <w:bottom w:w="50" w:type="dxa"/>
              <w:left w:w="70" w:type="dxa"/>
              <w:right w:w="70" w:type="dxa"/>
            </w:tcMar>
          </w:tcPr>
          <w:p>
            <w:pPr>
              <w:spacing w:before="0" w:after="0" w:line="240" w:lineRule="auto"/>
            </w:pPr>
            <w:r>
              <w:rPr>
                <w:rFonts w:ascii="Calibri" w:hAnsi="Calibri"/>
                <w:b/>
                <w:color w:val="FFFFFF"/>
                <w:sz w:val="16"/>
              </w:rPr>
              <w:t>Task Description</w:t>
            </w:r>
          </w:p>
        </w:tc>
        <w:tc>
          <w:tcPr>
            <w:tcW w:type="dxa" w:w="3384"/>
            <w:shd w:fill="1F4E79"/>
            <w:tcBorders>
              <w:top w:val="single" w:sz="4" w:space="0" w:color="1F4E79"/>
              <w:bottom w:val="single" w:sz="4" w:space="0" w:color="1F4E79"/>
              <w:left w:val="single" w:sz="4" w:space="0" w:color="1F4E79"/>
              <w:right w:val="single" w:sz="4" w:space="0" w:color="1F4E79"/>
            </w:tcBorders>
            <w:tcMar>
              <w:top w:w="50" w:type="dxa"/>
              <w:bottom w:w="50" w:type="dxa"/>
              <w:left w:w="70" w:type="dxa"/>
              <w:right w:w="70" w:type="dxa"/>
            </w:tcMar>
          </w:tcPr>
          <w:p>
            <w:pPr>
              <w:spacing w:before="0" w:after="0" w:line="240" w:lineRule="auto"/>
            </w:pPr>
            <w:r>
              <w:rPr>
                <w:rFonts w:ascii="Calibri" w:hAnsi="Calibri"/>
                <w:b/>
                <w:color w:val="FFFFFF"/>
                <w:sz w:val="16"/>
              </w:rPr>
              <w:t>Detailed Scope / Requirements</w:t>
            </w:r>
          </w:p>
        </w:tc>
        <w:tc>
          <w:tcPr>
            <w:tcW w:type="dxa" w:w="3053"/>
            <w:shd w:fill="1F4E79"/>
            <w:tcBorders>
              <w:top w:val="single" w:sz="4" w:space="0" w:color="1F4E79"/>
              <w:bottom w:val="single" w:sz="4" w:space="0" w:color="1F4E79"/>
              <w:left w:val="single" w:sz="4" w:space="0" w:color="1F4E79"/>
              <w:right w:val="single" w:sz="4" w:space="0" w:color="1F4E79"/>
            </w:tcBorders>
            <w:tcMar>
              <w:top w:w="50" w:type="dxa"/>
              <w:bottom w:w="50" w:type="dxa"/>
              <w:left w:w="70" w:type="dxa"/>
              <w:right w:w="70" w:type="dxa"/>
            </w:tcMar>
          </w:tcPr>
          <w:p>
            <w:pPr>
              <w:spacing w:before="0" w:after="0" w:line="240" w:lineRule="auto"/>
            </w:pPr>
            <w:r>
              <w:rPr>
                <w:rFonts w:ascii="Calibri" w:hAnsi="Calibri"/>
                <w:b/>
                <w:color w:val="FFFFFF"/>
                <w:sz w:val="16"/>
              </w:rPr>
              <w:t>Done-When Criterion</w:t>
            </w:r>
          </w:p>
        </w:tc>
      </w:tr>
      <w:tr>
        <w:tc>
          <w:tcPr>
            <w:tcW w:type="dxa" w:w="1224"/>
            <w:shd w:fill="FFFFFF"/>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Task 6</w:t>
            </w:r>
          </w:p>
        </w:tc>
        <w:tc>
          <w:tcPr>
            <w:tcW w:type="dxa" w:w="2664"/>
            <w:shd w:fill="FFFFFF"/>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Transaction Model &amp; Repo Interfaces (First Priority)</w:t>
            </w:r>
          </w:p>
        </w:tc>
        <w:tc>
          <w:tcPr>
            <w:tcW w:type="dxa" w:w="3384"/>
            <w:shd w:fill="FFFFFF"/>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First priority: push the Transaction data class and the Repository interfaces so everyone else can start building (6). Transaction data class: amount, debit/credit, merchant, UPI ID, ref number, date, bank, category.</w:t>
            </w:r>
          </w:p>
        </w:tc>
        <w:tc>
          <w:tcPr>
            <w:tcW w:type="dxa" w:w="3053"/>
            <w:shd w:fill="FFFFFF"/>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Transaction data class and Repository interfaces are pushed to git as the first team dependency.</w:t>
            </w:r>
          </w:p>
        </w:tc>
      </w:tr>
      <w:tr>
        <w:tc>
          <w:tcPr>
            <w:tcW w:type="dxa" w:w="1224"/>
            <w:shd w:fill="F8FAFC"/>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Task 15</w:t>
            </w:r>
          </w:p>
        </w:tc>
        <w:tc>
          <w:tcPr>
            <w:tcW w:type="dxa" w:w="2664"/>
            <w:shd w:fill="F8FAFC"/>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Room Local Database</w:t>
            </w:r>
          </w:p>
        </w:tc>
        <w:tc>
          <w:tcPr>
            <w:tcW w:type="dxa" w:w="3384"/>
            <w:shd w:fill="F8FAFC"/>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Room database with tables for transactions and payee rules.</w:t>
            </w:r>
          </w:p>
        </w:tc>
        <w:tc>
          <w:tcPr>
            <w:tcW w:type="dxa" w:w="3053"/>
            <w:shd w:fill="F8FAFC"/>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Room database compiles, runs locally, and handles persistence for transactions and payee rules.</w:t>
            </w:r>
          </w:p>
        </w:tc>
      </w:tr>
      <w:tr>
        <w:tc>
          <w:tcPr>
            <w:tcW w:type="dxa" w:w="1224"/>
            <w:shd w:fill="FFFFFF"/>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Task 16</w:t>
            </w:r>
          </w:p>
        </w:tc>
        <w:tc>
          <w:tcPr>
            <w:tcW w:type="dxa" w:w="2664"/>
            <w:shd w:fill="FFFFFF"/>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Repository &amp; ViewModels</w:t>
            </w:r>
          </w:p>
        </w:tc>
        <w:tc>
          <w:tcPr>
            <w:tcW w:type="dxa" w:w="3384"/>
            <w:shd w:fill="FFFFFF"/>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Repository and ViewModels exposing reactive state (monthly total, category summary, recent list).</w:t>
            </w:r>
          </w:p>
        </w:tc>
        <w:tc>
          <w:tcPr>
            <w:tcW w:type="dxa" w:w="3053"/>
            <w:shd w:fill="FFFFFF"/>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ViewModels expose observable state flows that accurately reflect database contents and updates.</w:t>
            </w:r>
          </w:p>
        </w:tc>
      </w:tr>
      <w:tr>
        <w:tc>
          <w:tcPr>
            <w:tcW w:type="dxa" w:w="1224"/>
            <w:shd w:fill="F8FAFC"/>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Task 17</w:t>
            </w:r>
          </w:p>
        </w:tc>
        <w:tc>
          <w:tcPr>
            <w:tcW w:type="dxa" w:w="2664"/>
            <w:shd w:fill="F8FAFC"/>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Reference Number Deduplication</w:t>
            </w:r>
          </w:p>
        </w:tc>
        <w:tc>
          <w:tcPr>
            <w:tcW w:type="dxa" w:w="3384"/>
            <w:shd w:fill="F8FAFC"/>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Dedupe logic so the same ref number is never saved twice.</w:t>
            </w:r>
          </w:p>
        </w:tc>
        <w:tc>
          <w:tcPr>
            <w:tcW w:type="dxa" w:w="3053"/>
            <w:shd w:fill="F8FAFC"/>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Inserting duplicate ref numbers is blocked and ignored; no duplicate transactions exist in database.</w:t>
            </w:r>
          </w:p>
        </w:tc>
      </w:tr>
      <w:tr>
        <w:tc>
          <w:tcPr>
            <w:tcW w:type="dxa" w:w="1224"/>
            <w:shd w:fill="FFFFFF"/>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Task 18</w:t>
            </w:r>
          </w:p>
        </w:tc>
        <w:tc>
          <w:tcPr>
            <w:tcW w:type="dxa" w:w="2664"/>
            <w:shd w:fill="FFFFFF"/>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"My UPI IDs" Self-Transfer Exclusion</w:t>
            </w:r>
          </w:p>
        </w:tc>
        <w:tc>
          <w:tcPr>
            <w:tcW w:type="dxa" w:w="3384"/>
            <w:shd w:fill="FFFFFF"/>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"My UPI IDs" logic so transfers between the user's own accounts are not counted as spending.</w:t>
            </w:r>
          </w:p>
        </w:tc>
        <w:tc>
          <w:tcPr>
            <w:tcW w:type="dxa" w:w="3053"/>
            <w:shd w:fill="FFFFFF"/>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Transactions between user-owned UPI IDs are recognized and excluded from spending totals.</w:t>
            </w:r>
          </w:p>
        </w:tc>
      </w:tr>
      <w:tr>
        <w:tc>
          <w:tcPr>
            <w:tcW w:type="dxa" w:w="1224"/>
            <w:shd w:fill="F8FAFC"/>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Integration</w:t>
            </w:r>
          </w:p>
        </w:tc>
        <w:tc>
          <w:tcPr>
            <w:tcW w:type="dxa" w:w="2664"/>
            <w:shd w:fill="F8FAFC"/>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Data Layer Integration &amp; Privacy Support</w:t>
            </w:r>
          </w:p>
        </w:tc>
        <w:tc>
          <w:tcPr>
            <w:tcW w:type="dxa" w:w="3384"/>
            <w:shd w:fill="F8FAFC"/>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Hand F1 the real ViewModels to replace fake data; make sure parser output saves and the monthly total and category summary update; provide the data-wipe function for B4's "delete all data" button, and work with B4 so SQLCipher encryption wraps the database cleanly.</w:t>
            </w:r>
          </w:p>
        </w:tc>
        <w:tc>
          <w:tcPr>
            <w:tcW w:type="dxa" w:w="3053"/>
            <w:shd w:fill="F8FAFC"/>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F1 binds to real ViewModels; parser output saves to DB and updates summaries; data-wipe clears DB; SQLCipher encrypts DB.</w:t>
            </w:r>
          </w:p>
        </w:tc>
      </w:tr>
    </w:tbl>
    <w:p>
      <w:pPr>
        <w:spacing w:before="0" w:after="20"/>
      </w:pPr>
    </w:p>
    <w:p>
      <w:pPr>
        <w:keepNext/>
        <w:spacing w:before="80" w:after="40"/>
      </w:pPr>
      <w:r>
        <w:rPr>
          <w:rFonts w:ascii="Calibri" w:hAnsi="Calibri"/>
          <w:b/>
          <w:color w:val="1F4E79"/>
          <w:sz w:val="20"/>
        </w:rPr>
        <w:t>4. Shared Obligations</w:t>
      </w:r>
    </w:p>
    <w:p>
      <w:pPr>
        <w:pStyle w:val="ListBullet"/>
        <w:spacing w:before="0" w:after="30" w:line="254" w:lineRule="auto"/>
      </w:pPr>
      <w:r>
        <w:rPr>
          <w:rFonts w:ascii="Calibri" w:hAnsi="Calibri"/>
          <w:b/>
          <w:color w:val="0F172A"/>
          <w:sz w:val="17"/>
        </w:rPr>
        <w:t xml:space="preserve">Setup (Tasks 1-3): </w:t>
      </w:r>
      <w:r>
        <w:rPr>
          <w:rFonts w:ascii="Calibri" w:hAnsi="Calibri"/>
          <w:color w:val="1E293B"/>
          <w:sz w:val="17"/>
        </w:rPr>
        <w:t>Install Android Studio, emulator and Antigravity (1-3); review SPEC.md and RULES.md.</w:t>
      </w:r>
    </w:p>
    <w:p>
      <w:pPr>
        <w:pStyle w:val="ListBullet"/>
        <w:spacing w:before="0" w:after="30" w:line="254" w:lineRule="auto"/>
      </w:pPr>
      <w:r>
        <w:rPr>
          <w:rFonts w:ascii="Calibri" w:hAnsi="Calibri"/>
          <w:b/>
          <w:color w:val="0F172A"/>
          <w:sz w:val="17"/>
        </w:rPr>
        <w:t xml:space="preserve">SMS Samples (Task 5): </w:t>
      </w:r>
      <w:r>
        <w:rPr>
          <w:rFonts w:ascii="Calibri" w:hAnsi="Calibri"/>
          <w:color w:val="1E293B"/>
          <w:sz w:val="17"/>
        </w:rPr>
        <w:t>Collect 4-5 real bank SMS samples with account digits and names masked, maintaining them in a samples/ folder.</w:t>
      </w:r>
    </w:p>
    <w:p>
      <w:pPr>
        <w:pStyle w:val="ListBullet"/>
        <w:spacing w:before="0" w:after="30" w:line="254" w:lineRule="auto"/>
      </w:pPr>
      <w:r>
        <w:rPr>
          <w:rFonts w:ascii="Calibri" w:hAnsi="Calibri"/>
          <w:b/>
          <w:color w:val="0F172A"/>
          <w:sz w:val="17"/>
        </w:rPr>
        <w:t xml:space="preserve">Demo Flow (Task 32): </w:t>
      </w:r>
      <w:r>
        <w:rPr>
          <w:rFonts w:ascii="Calibri" w:hAnsi="Calibri"/>
          <w:color w:val="1E293B"/>
          <w:sz w:val="17"/>
        </w:rPr>
        <w:t>Rehearse the demo flow: open the app, unlock, SMS arrives, entry created and categorized, summary updates.</w:t>
      </w:r>
    </w:p>
    <w:p>
      <w:pPr>
        <w:pStyle w:val="ListBullet"/>
        <w:spacing w:before="0" w:after="30" w:line="254" w:lineRule="auto"/>
      </w:pPr>
      <w:r>
        <w:rPr>
          <w:rFonts w:ascii="Calibri" w:hAnsi="Calibri"/>
          <w:b/>
          <w:color w:val="0F172A"/>
          <w:sz w:val="17"/>
        </w:rPr>
        <w:t xml:space="preserve">Backup Video (Task 34): </w:t>
      </w:r>
      <w:r>
        <w:rPr>
          <w:rFonts w:ascii="Calibri" w:hAnsi="Calibri"/>
          <w:color w:val="1E293B"/>
          <w:sz w:val="17"/>
        </w:rPr>
        <w:t>Rehearse demo flow and assist F1 and B3 with recording the backup video.</w:t>
      </w:r>
    </w:p>
    <w:p>
      <w:pPr>
        <w:keepNext/>
        <w:spacing w:before="80" w:after="40"/>
      </w:pPr>
      <w:r>
        <w:rPr>
          <w:rFonts w:ascii="Calibri" w:hAnsi="Calibri"/>
          <w:b/>
          <w:color w:val="1F4E79"/>
          <w:sz w:val="20"/>
        </w:rPr>
        <w:t>5. Dependencies</w:t>
      </w:r>
    </w:p>
    <w:tbl>
      <w:tblPr>
        <w:tblW w:type="auto" w:w="0"/>
        <w:jc w:val="center"/>
        <w:tblLayout w:type="fixed"/>
        <w:tblLook w:firstColumn="1" w:firstRow="1" w:lastColumn="0" w:lastRow="0" w:noHBand="0" w:noVBand="1" w:val="04A0"/>
      </w:tblPr>
      <w:tblGrid>
        <w:gridCol w:w="2065"/>
        <w:gridCol w:w="2065"/>
        <w:gridCol w:w="2065"/>
        <w:gridCol w:w="2065"/>
        <w:gridCol w:w="2065"/>
      </w:tblGrid>
      <w:tr>
        <w:tc>
          <w:tcPr>
            <w:tcW w:type="dxa" w:w="1512"/>
            <w:shd w:fill="1F4E79"/>
            <w:tcBorders>
              <w:top w:val="single" w:sz="4" w:space="0" w:color="1F4E79"/>
              <w:bottom w:val="single" w:sz="4" w:space="0" w:color="1F4E79"/>
              <w:left w:val="single" w:sz="4" w:space="0" w:color="1F4E79"/>
              <w:right w:val="single" w:sz="4" w:space="0" w:color="1F4E79"/>
            </w:tcBorders>
            <w:tcMar>
              <w:top w:w="50" w:type="dxa"/>
              <w:bottom w:w="50" w:type="dxa"/>
              <w:left w:w="70" w:type="dxa"/>
              <w:right w:w="70" w:type="dxa"/>
            </w:tcMar>
          </w:tcPr>
          <w:p>
            <w:pPr>
              <w:spacing w:before="0" w:after="0" w:line="240" w:lineRule="auto"/>
            </w:pPr>
            <w:r>
              <w:rPr>
                <w:rFonts w:ascii="Calibri" w:hAnsi="Calibri"/>
                <w:b/>
                <w:color w:val="FFFFFF"/>
                <w:sz w:val="16"/>
              </w:rPr>
              <w:t>Direction</w:t>
            </w:r>
          </w:p>
        </w:tc>
        <w:tc>
          <w:tcPr>
            <w:tcW w:type="dxa" w:w="2592"/>
            <w:shd w:fill="1F4E79"/>
            <w:tcBorders>
              <w:top w:val="single" w:sz="4" w:space="0" w:color="1F4E79"/>
              <w:bottom w:val="single" w:sz="4" w:space="0" w:color="1F4E79"/>
              <w:left w:val="single" w:sz="4" w:space="0" w:color="1F4E79"/>
              <w:right w:val="single" w:sz="4" w:space="0" w:color="1F4E79"/>
            </w:tcBorders>
            <w:tcMar>
              <w:top w:w="50" w:type="dxa"/>
              <w:bottom w:w="50" w:type="dxa"/>
              <w:left w:w="70" w:type="dxa"/>
              <w:right w:w="70" w:type="dxa"/>
            </w:tcMar>
          </w:tcPr>
          <w:p>
            <w:pPr>
              <w:spacing w:before="0" w:after="0" w:line="240" w:lineRule="auto"/>
            </w:pPr>
            <w:r>
              <w:rPr>
                <w:rFonts w:ascii="Calibri" w:hAnsi="Calibri"/>
                <w:b/>
                <w:color w:val="FFFFFF"/>
                <w:sz w:val="16"/>
              </w:rPr>
              <w:t>What is Needed / Supplied</w:t>
            </w:r>
          </w:p>
        </w:tc>
        <w:tc>
          <w:tcPr>
            <w:tcW w:type="dxa" w:w="1224"/>
            <w:shd w:fill="1F4E79"/>
            <w:tcBorders>
              <w:top w:val="single" w:sz="4" w:space="0" w:color="1F4E79"/>
              <w:bottom w:val="single" w:sz="4" w:space="0" w:color="1F4E79"/>
              <w:left w:val="single" w:sz="4" w:space="0" w:color="1F4E79"/>
              <w:right w:val="single" w:sz="4" w:space="0" w:color="1F4E79"/>
            </w:tcBorders>
            <w:tcMar>
              <w:top w:w="50" w:type="dxa"/>
              <w:bottom w:w="50" w:type="dxa"/>
              <w:left w:w="70" w:type="dxa"/>
              <w:right w:w="70" w:type="dxa"/>
            </w:tcMar>
          </w:tcPr>
          <w:p>
            <w:pPr>
              <w:spacing w:before="0" w:after="0" w:line="240" w:lineRule="auto"/>
            </w:pPr>
            <w:r>
              <w:rPr>
                <w:rFonts w:ascii="Calibri" w:hAnsi="Calibri"/>
                <w:b/>
                <w:color w:val="FFFFFF"/>
                <w:sz w:val="16"/>
              </w:rPr>
              <w:t>With Whom</w:t>
            </w:r>
          </w:p>
        </w:tc>
        <w:tc>
          <w:tcPr>
            <w:tcW w:type="dxa" w:w="1944"/>
            <w:shd w:fill="1F4E79"/>
            <w:tcBorders>
              <w:top w:val="single" w:sz="4" w:space="0" w:color="1F4E79"/>
              <w:bottom w:val="single" w:sz="4" w:space="0" w:color="1F4E79"/>
              <w:left w:val="single" w:sz="4" w:space="0" w:color="1F4E79"/>
              <w:right w:val="single" w:sz="4" w:space="0" w:color="1F4E79"/>
            </w:tcBorders>
            <w:tcMar>
              <w:top w:w="50" w:type="dxa"/>
              <w:bottom w:w="50" w:type="dxa"/>
              <w:left w:w="70" w:type="dxa"/>
              <w:right w:w="70" w:type="dxa"/>
            </w:tcMar>
          </w:tcPr>
          <w:p>
            <w:pPr>
              <w:spacing w:before="0" w:after="0" w:line="240" w:lineRule="auto"/>
            </w:pPr>
            <w:r>
              <w:rPr>
                <w:rFonts w:ascii="Calibri" w:hAnsi="Calibri"/>
                <w:b/>
                <w:color w:val="FFFFFF"/>
                <w:sz w:val="16"/>
              </w:rPr>
              <w:t>When / Milestone</w:t>
            </w:r>
          </w:p>
        </w:tc>
        <w:tc>
          <w:tcPr>
            <w:tcW w:type="dxa" w:w="3053"/>
            <w:shd w:fill="1F4E79"/>
            <w:tcBorders>
              <w:top w:val="single" w:sz="4" w:space="0" w:color="1F4E79"/>
              <w:bottom w:val="single" w:sz="4" w:space="0" w:color="1F4E79"/>
              <w:left w:val="single" w:sz="4" w:space="0" w:color="1F4E79"/>
              <w:right w:val="single" w:sz="4" w:space="0" w:color="1F4E79"/>
            </w:tcBorders>
            <w:tcMar>
              <w:top w:w="50" w:type="dxa"/>
              <w:bottom w:w="50" w:type="dxa"/>
              <w:left w:w="70" w:type="dxa"/>
              <w:right w:w="70" w:type="dxa"/>
            </w:tcMar>
          </w:tcPr>
          <w:p>
            <w:pPr>
              <w:spacing w:before="0" w:after="0" w:line="240" w:lineRule="auto"/>
            </w:pPr>
            <w:r>
              <w:rPr>
                <w:rFonts w:ascii="Calibri" w:hAnsi="Calibri"/>
                <w:b/>
                <w:color w:val="FFFFFF"/>
                <w:sz w:val="16"/>
              </w:rPr>
              <w:t>Purpose &amp; Impact</w:t>
            </w:r>
          </w:p>
        </w:tc>
      </w:tr>
      <w:tr>
        <w:tc>
          <w:tcPr>
            <w:tcW w:type="dxa" w:w="1512"/>
            <w:shd w:fill="FFFFFF"/>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Inbound (Needs)</w:t>
            </w:r>
          </w:p>
        </w:tc>
        <w:tc>
          <w:tcPr>
            <w:tcW w:type="dxa" w:w="2592"/>
            <w:shd w:fill="FFFFFF"/>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SPEC.md &amp; RULES.md (Task 4)</w:t>
            </w:r>
          </w:p>
        </w:tc>
        <w:tc>
          <w:tcPr>
            <w:tcW w:type="dxa" w:w="1224"/>
            <w:shd w:fill="FFFFFF"/>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B4</w:t>
            </w:r>
          </w:p>
        </w:tc>
        <w:tc>
          <w:tcPr>
            <w:tcW w:type="dxa" w:w="1944"/>
            <w:shd w:fill="FFFFFF"/>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Kickoff (Hour 0-1)</w:t>
            </w:r>
          </w:p>
        </w:tc>
        <w:tc>
          <w:tcPr>
            <w:tcW w:type="dxa" w:w="3053"/>
            <w:shd w:fill="FFFFFF"/>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Required to implement data constraints: no raw SMS saved and encrypted storage.</w:t>
            </w:r>
          </w:p>
        </w:tc>
      </w:tr>
      <w:tr>
        <w:tc>
          <w:tcPr>
            <w:tcW w:type="dxa" w:w="1512"/>
            <w:shd w:fill="F8FAFC"/>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Inbound (Needs)</w:t>
            </w:r>
          </w:p>
        </w:tc>
        <w:tc>
          <w:tcPr>
            <w:tcW w:type="dxa" w:w="2592"/>
            <w:shd w:fill="F8FAFC"/>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SQLCipher encryption setup (Task 25)</w:t>
            </w:r>
          </w:p>
        </w:tc>
        <w:tc>
          <w:tcPr>
            <w:tcW w:type="dxa" w:w="1224"/>
            <w:shd w:fill="F8FAFC"/>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B4</w:t>
            </w:r>
          </w:p>
        </w:tc>
        <w:tc>
          <w:tcPr>
            <w:tcW w:type="dxa" w:w="1944"/>
            <w:shd w:fill="F8FAFC"/>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Database Build (Hour 4-8)</w:t>
            </w:r>
          </w:p>
        </w:tc>
        <w:tc>
          <w:tcPr>
            <w:tcW w:type="dxa" w:w="3053"/>
            <w:shd w:fill="F8FAFC"/>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Required to wrap Room database in SQLCipher encryption cleanly.</w:t>
            </w:r>
          </w:p>
        </w:tc>
      </w:tr>
      <w:tr>
        <w:tc>
          <w:tcPr>
            <w:tcW w:type="dxa" w:w="1512"/>
            <w:shd w:fill="FFFFFF"/>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Inbound (Needs)</w:t>
            </w:r>
          </w:p>
        </w:tc>
        <w:tc>
          <w:tcPr>
            <w:tcW w:type="dxa" w:w="2592"/>
            <w:shd w:fill="FFFFFF"/>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Parser output entity format (Task 10)</w:t>
            </w:r>
          </w:p>
        </w:tc>
        <w:tc>
          <w:tcPr>
            <w:tcW w:type="dxa" w:w="1224"/>
            <w:shd w:fill="FFFFFF"/>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B1</w:t>
            </w:r>
          </w:p>
        </w:tc>
        <w:tc>
          <w:tcPr>
            <w:tcW w:type="dxa" w:w="1944"/>
            <w:shd w:fill="FFFFFF"/>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Core Build (Hour 6-8)</w:t>
            </w:r>
          </w:p>
        </w:tc>
        <w:tc>
          <w:tcPr>
            <w:tcW w:type="dxa" w:w="3053"/>
            <w:shd w:fill="FFFFFF"/>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Required to ensure parser entities map cleanly into Room DAOs and repository.</w:t>
            </w:r>
          </w:p>
        </w:tc>
      </w:tr>
      <w:tr>
        <w:tc>
          <w:tcPr>
            <w:tcW w:type="dxa" w:w="1512"/>
            <w:shd w:fill="F8FAFC"/>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Inbound (Needs)</w:t>
            </w:r>
          </w:p>
        </w:tc>
        <w:tc>
          <w:tcPr>
            <w:tcW w:type="dxa" w:w="2592"/>
            <w:shd w:fill="F8FAFC"/>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UI state observation needs</w:t>
            </w:r>
          </w:p>
        </w:tc>
        <w:tc>
          <w:tcPr>
            <w:tcW w:type="dxa" w:w="1224"/>
            <w:shd w:fill="F8FAFC"/>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F1</w:t>
            </w:r>
          </w:p>
        </w:tc>
        <w:tc>
          <w:tcPr>
            <w:tcW w:type="dxa" w:w="1944"/>
            <w:shd w:fill="F8FAFC"/>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Core Build (Hour 4-6)</w:t>
            </w:r>
          </w:p>
        </w:tc>
        <w:tc>
          <w:tcPr>
            <w:tcW w:type="dxa" w:w="3053"/>
            <w:shd w:fill="F8FAFC"/>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Required to shape ViewModel exposed StateFlows to match screen dashboard layouts.</w:t>
            </w:r>
          </w:p>
        </w:tc>
      </w:tr>
      <w:tr>
        <w:tc>
          <w:tcPr>
            <w:tcW w:type="dxa" w:w="1512"/>
            <w:shd w:fill="FFFFFF"/>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Outbound (Supplies)</w:t>
            </w:r>
          </w:p>
        </w:tc>
        <w:tc>
          <w:tcPr>
            <w:tcW w:type="dxa" w:w="2592"/>
            <w:shd w:fill="FFFFFF"/>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Transaction class &amp; Repo interfaces (Task 6)</w:t>
            </w:r>
          </w:p>
        </w:tc>
        <w:tc>
          <w:tcPr>
            <w:tcW w:type="dxa" w:w="1224"/>
            <w:shd w:fill="FFFFFF"/>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F1, B1</w:t>
            </w:r>
          </w:p>
        </w:tc>
        <w:tc>
          <w:tcPr>
            <w:tcW w:type="dxa" w:w="1944"/>
            <w:shd w:fill="FFFFFF"/>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First Priority (Hour 1-2)</w:t>
            </w:r>
          </w:p>
        </w:tc>
        <w:tc>
          <w:tcPr>
            <w:tcW w:type="dxa" w:w="3053"/>
            <w:shd w:fill="FFFFFF"/>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First priority deliverable: unblocks F1 (UI mockups) and B1 (parser mapping).</w:t>
            </w:r>
          </w:p>
        </w:tc>
      </w:tr>
      <w:tr>
        <w:tc>
          <w:tcPr>
            <w:tcW w:type="dxa" w:w="1512"/>
            <w:shd w:fill="F8FAFC"/>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Outbound (Supplies)</w:t>
            </w:r>
          </w:p>
        </w:tc>
        <w:tc>
          <w:tcPr>
            <w:tcW w:type="dxa" w:w="2592"/>
            <w:shd w:fill="F8FAFC"/>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Real ViewModels (Task 16)</w:t>
            </w:r>
          </w:p>
        </w:tc>
        <w:tc>
          <w:tcPr>
            <w:tcW w:type="dxa" w:w="1224"/>
            <w:shd w:fill="F8FAFC"/>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F1</w:t>
            </w:r>
          </w:p>
        </w:tc>
        <w:tc>
          <w:tcPr>
            <w:tcW w:type="dxa" w:w="1944"/>
            <w:shd w:fill="F8FAFC"/>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Integration Phase (Hour 6-10)</w:t>
            </w:r>
          </w:p>
        </w:tc>
        <w:tc>
          <w:tcPr>
            <w:tcW w:type="dxa" w:w="3053"/>
            <w:shd w:fill="F8FAFC"/>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Replaces mock UI data with real reactive database feeds.</w:t>
            </w:r>
          </w:p>
        </w:tc>
      </w:tr>
      <w:tr>
        <w:tc>
          <w:tcPr>
            <w:tcW w:type="dxa" w:w="1512"/>
            <w:shd w:fill="FFFFFF"/>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Outbound (Supplies)</w:t>
            </w:r>
          </w:p>
        </w:tc>
        <w:tc>
          <w:tcPr>
            <w:tcW w:type="dxa" w:w="2592"/>
            <w:shd w:fill="FFFFFF"/>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Payee rules Room table (Task 15)</w:t>
            </w:r>
          </w:p>
        </w:tc>
        <w:tc>
          <w:tcPr>
            <w:tcW w:type="dxa" w:w="1224"/>
            <w:shd w:fill="FFFFFF"/>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B1</w:t>
            </w:r>
          </w:p>
        </w:tc>
        <w:tc>
          <w:tcPr>
            <w:tcW w:type="dxa" w:w="1944"/>
            <w:shd w:fill="FFFFFF"/>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Core Build (Hour 6-8)</w:t>
            </w:r>
          </w:p>
        </w:tc>
        <w:tc>
          <w:tcPr>
            <w:tcW w:type="dxa" w:w="3053"/>
            <w:shd w:fill="FFFFFF"/>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Enables B1 categorizer to store and retrieve user-modified category preferences.</w:t>
            </w:r>
          </w:p>
        </w:tc>
      </w:tr>
      <w:tr>
        <w:tc>
          <w:tcPr>
            <w:tcW w:type="dxa" w:w="1512"/>
            <w:shd w:fill="F8FAFC"/>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Outbound (Supplies)</w:t>
            </w:r>
          </w:p>
        </w:tc>
        <w:tc>
          <w:tcPr>
            <w:tcW w:type="dxa" w:w="2592"/>
            <w:shd w:fill="F8FAFC"/>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Data-wipe function</w:t>
            </w:r>
          </w:p>
        </w:tc>
        <w:tc>
          <w:tcPr>
            <w:tcW w:type="dxa" w:w="1224"/>
            <w:shd w:fill="F8FAFC"/>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B4</w:t>
            </w:r>
          </w:p>
        </w:tc>
        <w:tc>
          <w:tcPr>
            <w:tcW w:type="dxa" w:w="1944"/>
            <w:shd w:fill="F8FAFC"/>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Security Integration (Hour 8-12)</w:t>
            </w:r>
          </w:p>
        </w:tc>
        <w:tc>
          <w:tcPr>
            <w:tcW w:type="dxa" w:w="3053"/>
            <w:shd w:fill="F8FAFC"/>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Supplies clean database purge routine for B4's "delete all data" button (Task 27).</w:t>
            </w:r>
          </w:p>
        </w:tc>
      </w:tr>
    </w:tbl>
    <w:p>
      <w:pPr>
        <w:spacing w:before="0" w:after="20"/>
      </w:pPr>
    </w:p>
    <w:p>
      <w:pPr>
        <w:keepNext/>
        <w:spacing w:before="80" w:after="40"/>
      </w:pPr>
      <w:r>
        <w:rPr>
          <w:rFonts w:ascii="Calibri" w:hAnsi="Calibri"/>
          <w:b/>
          <w:color w:val="1F4E79"/>
          <w:sz w:val="20"/>
        </w:rPr>
        <w:t>6. Cross-Review Duties</w:t>
      </w:r>
    </w:p>
    <w:p>
      <w:pPr>
        <w:spacing w:before="0" w:after="40" w:line="254" w:lineRule="auto"/>
      </w:pPr>
      <w:r>
        <w:rPr>
          <w:rFonts w:ascii="Calibri" w:hAnsi="Calibri"/>
          <w:color w:val="1E293B"/>
          <w:sz w:val="17"/>
        </w:rPr>
        <w:t>In strict adherence to RULES.md, nobody reviews their own security code. B2 collaborates directly with B4 to review database storage and schema to ensure zero raw SMS is persisted (Task 26) and SQLCipher encryption wraps database cleanly (Task 25). Designated peer reviewer for B2's repository and ViewModels is TBD (assigned to team peer review).</w:t>
      </w:r>
    </w:p>
    <w:p>
      <w:pPr>
        <w:keepNext/>
        <w:spacing w:before="80" w:after="40"/>
      </w:pPr>
      <w:r>
        <w:rPr>
          <w:rFonts w:ascii="Calibri" w:hAnsi="Calibri"/>
          <w:b/>
          <w:color w:val="1F4E79"/>
          <w:sz w:val="20"/>
        </w:rPr>
        <w:t>7. Stretch Items</w:t>
      </w:r>
    </w:p>
    <w:p>
      <w:pPr>
        <w:spacing w:before="0" w:after="40" w:line="254" w:lineRule="auto"/>
      </w:pPr>
      <w:r>
        <w:rPr>
          <w:rFonts w:ascii="Calibri" w:hAnsi="Calibri"/>
          <w:color w:val="1E293B"/>
          <w:sz w:val="17"/>
        </w:rPr>
        <w:t>No stretch tasks are directly assigned to B2. Shared team stretch items include Task 22 (Notification listener for GPay/PhonePe - B3), Task 30 (CSV export - F1), and Task 31 (More banks/merchants - B1) [All stretch items: only if time is left; otherwise roadmap slide].</w:t>
      </w:r>
    </w:p>
    <w:p>
      <w:pPr>
        <w:keepNext/>
        <w:spacing w:before="80" w:after="40"/>
      </w:pPr>
      <w:r>
        <w:rPr>
          <w:rFonts w:ascii="Calibri" w:hAnsi="Calibri"/>
          <w:b/>
          <w:color w:val="1F4E79"/>
          <w:sz w:val="20"/>
        </w:rPr>
        <w:t>8. Non-Negotiable Rules from RULES.md</w:t>
      </w:r>
    </w:p>
    <w:p>
      <w:pPr>
        <w:pStyle w:val="ListBullet"/>
        <w:spacing w:before="0" w:after="30" w:line="254" w:lineRule="auto"/>
      </w:pPr>
      <w:r>
        <w:rPr>
          <w:rFonts w:ascii="Calibri" w:hAnsi="Calibri"/>
          <w:b/>
          <w:color w:val="0F172A"/>
          <w:sz w:val="17"/>
        </w:rPr>
        <w:t xml:space="preserve">No INTERNET permission: </w:t>
      </w:r>
      <w:r>
        <w:rPr>
          <w:rFonts w:ascii="Calibri" w:hAnsi="Calibri"/>
          <w:color w:val="1E293B"/>
          <w:sz w:val="17"/>
        </w:rPr>
        <w:t>App must function 100% on-device; zero network permissions in AndroidManifest.xml.</w:t>
      </w:r>
    </w:p>
    <w:p>
      <w:pPr>
        <w:pStyle w:val="ListBullet"/>
        <w:spacing w:before="0" w:after="30" w:line="254" w:lineRule="auto"/>
      </w:pPr>
      <w:r>
        <w:rPr>
          <w:rFonts w:ascii="Calibri" w:hAnsi="Calibri"/>
          <w:b/>
          <w:color w:val="0F172A"/>
          <w:sz w:val="17"/>
        </w:rPr>
        <w:t xml:space="preserve">No raw SMS saved: </w:t>
      </w:r>
      <w:r>
        <w:rPr>
          <w:rFonts w:ascii="Calibri" w:hAnsi="Calibri"/>
          <w:color w:val="1E293B"/>
          <w:sz w:val="17"/>
        </w:rPr>
        <w:t>Store only necessary fields (amount, debit/credit, merchant, UPI ID, ref number, date, bank, category); never save raw SMS text.</w:t>
      </w:r>
    </w:p>
    <w:p>
      <w:pPr>
        <w:pStyle w:val="ListBullet"/>
        <w:spacing w:before="0" w:after="30" w:line="254" w:lineRule="auto"/>
      </w:pPr>
      <w:r>
        <w:rPr>
          <w:rFonts w:ascii="Calibri" w:hAnsi="Calibri"/>
          <w:b/>
          <w:color w:val="0F172A"/>
          <w:sz w:val="17"/>
        </w:rPr>
        <w:t xml:space="preserve">OTP rejected first: </w:t>
      </w:r>
      <w:r>
        <w:rPr>
          <w:rFonts w:ascii="Calibri" w:hAnsi="Calibri"/>
          <w:color w:val="1E293B"/>
          <w:sz w:val="17"/>
        </w:rPr>
        <w:t>OTP messages must be identified and rejected first, before any other parsing occurs.</w:t>
      </w:r>
    </w:p>
    <w:p>
      <w:pPr>
        <w:pStyle w:val="ListBullet"/>
        <w:spacing w:before="0" w:after="30" w:line="254" w:lineRule="auto"/>
      </w:pPr>
      <w:r>
        <w:rPr>
          <w:rFonts w:ascii="Calibri" w:hAnsi="Calibri"/>
          <w:b/>
          <w:color w:val="0F172A"/>
          <w:sz w:val="17"/>
        </w:rPr>
        <w:t xml:space="preserve">allowBackup="false": </w:t>
      </w:r>
      <w:r>
        <w:rPr>
          <w:rFonts w:ascii="Calibri" w:hAnsi="Calibri"/>
          <w:color w:val="1E293B"/>
          <w:sz w:val="17"/>
        </w:rPr>
        <w:t>android:allowBackup="false" must be strictly configured in manifest to prevent ADB extraction.</w:t>
      </w:r>
    </w:p>
    <w:p>
      <w:pPr>
        <w:keepNext/>
        <w:spacing w:before="80" w:after="40"/>
      </w:pPr>
      <w:r>
        <w:rPr>
          <w:rFonts w:ascii="Calibri" w:hAnsi="Calibri"/>
          <w:b/>
          <w:color w:val="1F4E79"/>
          <w:sz w:val="20"/>
        </w:rPr>
        <w:t>9. Working Agreement</w:t>
      </w:r>
    </w:p>
    <w:p>
      <w:pPr>
        <w:pStyle w:val="ListBullet"/>
        <w:spacing w:before="0" w:after="30" w:line="254" w:lineRule="auto"/>
      </w:pPr>
      <w:r>
        <w:rPr>
          <w:rFonts w:ascii="Calibri" w:hAnsi="Calibri"/>
          <w:b/>
          <w:color w:val="0F172A"/>
          <w:sz w:val="17"/>
        </w:rPr>
        <w:t xml:space="preserve">Regular Short Syncs: </w:t>
      </w:r>
      <w:r>
        <w:rPr>
          <w:rFonts w:ascii="Calibri" w:hAnsi="Calibri"/>
          <w:color w:val="1E293B"/>
          <w:sz w:val="17"/>
        </w:rPr>
        <w:t>Participate in short, frequent standups across the 24-hour sprint to catch blockers early.</w:t>
      </w:r>
    </w:p>
    <w:p>
      <w:pPr>
        <w:pStyle w:val="ListBullet"/>
        <w:spacing w:before="0" w:after="30" w:line="254" w:lineRule="auto"/>
      </w:pPr>
      <w:r>
        <w:rPr>
          <w:rFonts w:ascii="Calibri" w:hAnsi="Calibri"/>
          <w:b/>
          <w:color w:val="0F172A"/>
          <w:sz w:val="17"/>
        </w:rPr>
        <w:t xml:space="preserve">Small Frequent Commits: </w:t>
      </w:r>
      <w:r>
        <w:rPr>
          <w:rFonts w:ascii="Calibri" w:hAnsi="Calibri"/>
          <w:color w:val="1E293B"/>
          <w:sz w:val="17"/>
        </w:rPr>
        <w:t>Make small, frequent commits to git with clear messages to avoid merge conflicts.</w:t>
      </w:r>
    </w:p>
    <w:p>
      <w:pPr>
        <w:pStyle w:val="ListBullet"/>
        <w:spacing w:before="0" w:after="30" w:line="254" w:lineRule="auto"/>
      </w:pPr>
      <w:r>
        <w:rPr>
          <w:rFonts w:ascii="Calibri" w:hAnsi="Calibri"/>
          <w:b/>
          <w:color w:val="0F172A"/>
          <w:sz w:val="17"/>
        </w:rPr>
        <w:t xml:space="preserve">Dedicated Personal Branch: </w:t>
      </w:r>
      <w:r>
        <w:rPr>
          <w:rFonts w:ascii="Calibri" w:hAnsi="Calibri"/>
          <w:color w:val="1E293B"/>
          <w:sz w:val="17"/>
        </w:rPr>
        <w:t>Work exclusively on git branch b2-data and integrate via tested pull requests.</w:t>
      </w:r>
    </w:p>
    <w:p>
      <w:pPr>
        <w:pStyle w:val="ListBullet"/>
        <w:spacing w:before="0" w:after="30" w:line="254" w:lineRule="auto"/>
      </w:pPr>
      <w:r>
        <w:rPr>
          <w:rFonts w:ascii="Calibri" w:hAnsi="Calibri"/>
          <w:b/>
          <w:color w:val="0F172A"/>
          <w:sz w:val="17"/>
        </w:rPr>
        <w:t xml:space="preserve">Escalate Blockers Early: </w:t>
      </w:r>
      <w:r>
        <w:rPr>
          <w:rFonts w:ascii="Calibri" w:hAnsi="Calibri"/>
          <w:color w:val="1E293B"/>
          <w:sz w:val="17"/>
        </w:rPr>
        <w:t>Escalate any technical hurdle or cross-role blocker immediately to the team and lead.</w:t>
      </w:r>
    </w:p>
    <w:p>
      <w:pPr>
        <w:keepNext/>
        <w:spacing w:before="80" w:after="40"/>
      </w:pPr>
      <w:r>
        <w:rPr>
          <w:rFonts w:ascii="Calibri" w:hAnsi="Calibri"/>
          <w:b/>
          <w:color w:val="1F4E79"/>
          <w:sz w:val="20"/>
        </w:rPr>
        <w:t>10. Acceptance Checklist and Signatures</w:t>
      </w:r>
    </w:p>
    <w:p>
      <w:pPr>
        <w:pStyle w:val="ListBullet"/>
        <w:spacing w:before="0" w:after="30" w:line="254" w:lineRule="auto"/>
      </w:pPr>
      <w:r>
        <w:rPr>
          <w:rFonts w:ascii="Calibri" w:hAnsi="Calibri"/>
          <w:b/>
          <w:color w:val="0F172A"/>
          <w:sz w:val="17"/>
        </w:rPr>
        <w:t xml:space="preserve">[ ] </w:t>
      </w:r>
      <w:r>
        <w:rPr>
          <w:rFonts w:ascii="Calibri" w:hAnsi="Calibri"/>
          <w:color w:val="1E293B"/>
          <w:sz w:val="17"/>
        </w:rPr>
        <w:t>Android Studio, emulator, and Antigravity installed; SPEC.md and RULES.md reviewed.</w:t>
      </w:r>
    </w:p>
    <w:p>
      <w:pPr>
        <w:pStyle w:val="ListBullet"/>
        <w:spacing w:before="0" w:after="30" w:line="254" w:lineRule="auto"/>
      </w:pPr>
      <w:r>
        <w:rPr>
          <w:rFonts w:ascii="Calibri" w:hAnsi="Calibri"/>
          <w:b/>
          <w:color w:val="0F172A"/>
          <w:sz w:val="17"/>
        </w:rPr>
        <w:t xml:space="preserve">[ ] </w:t>
      </w:r>
      <w:r>
        <w:rPr>
          <w:rFonts w:ascii="Calibri" w:hAnsi="Calibri"/>
          <w:color w:val="1E293B"/>
          <w:sz w:val="17"/>
        </w:rPr>
        <w:t>Git branch b2-data established with frequent, documented commits.</w:t>
      </w:r>
    </w:p>
    <w:p>
      <w:pPr>
        <w:pStyle w:val="ListBullet"/>
        <w:spacing w:before="0" w:after="30" w:line="254" w:lineRule="auto"/>
      </w:pPr>
      <w:r>
        <w:rPr>
          <w:rFonts w:ascii="Calibri" w:hAnsi="Calibri"/>
          <w:b/>
          <w:color w:val="0F172A"/>
          <w:sz w:val="17"/>
        </w:rPr>
        <w:t xml:space="preserve">[ ] </w:t>
      </w:r>
      <w:r>
        <w:rPr>
          <w:rFonts w:ascii="Calibri" w:hAnsi="Calibri"/>
          <w:color w:val="1E293B"/>
          <w:sz w:val="17"/>
        </w:rPr>
        <w:t>FIRST PRIORITY: Transaction data class and Repository interfaces pushed to git.</w:t>
      </w:r>
    </w:p>
    <w:p>
      <w:pPr>
        <w:pStyle w:val="ListBullet"/>
        <w:spacing w:before="0" w:after="30" w:line="254" w:lineRule="auto"/>
      </w:pPr>
      <w:r>
        <w:rPr>
          <w:rFonts w:ascii="Calibri" w:hAnsi="Calibri"/>
          <w:b/>
          <w:color w:val="0F172A"/>
          <w:sz w:val="17"/>
        </w:rPr>
        <w:t xml:space="preserve">[ ] </w:t>
      </w:r>
      <w:r>
        <w:rPr>
          <w:rFonts w:ascii="Calibri" w:hAnsi="Calibri"/>
          <w:color w:val="1E293B"/>
          <w:sz w:val="17"/>
        </w:rPr>
        <w:t>Room database (Task 15) created with tables for transactions and payee rules.</w:t>
      </w:r>
    </w:p>
    <w:p>
      <w:pPr>
        <w:pStyle w:val="ListBullet"/>
        <w:spacing w:before="0" w:after="30" w:line="254" w:lineRule="auto"/>
      </w:pPr>
      <w:r>
        <w:rPr>
          <w:rFonts w:ascii="Calibri" w:hAnsi="Calibri"/>
          <w:b/>
          <w:color w:val="0F172A"/>
          <w:sz w:val="17"/>
        </w:rPr>
        <w:t xml:space="preserve">[ ] </w:t>
      </w:r>
      <w:r>
        <w:rPr>
          <w:rFonts w:ascii="Calibri" w:hAnsi="Calibri"/>
          <w:color w:val="1E293B"/>
          <w:sz w:val="17"/>
        </w:rPr>
        <w:t>Repository and ViewModels (Task 16) expose reactive monthly total, category summary, and recent list.</w:t>
      </w:r>
    </w:p>
    <w:p>
      <w:pPr>
        <w:pStyle w:val="ListBullet"/>
        <w:spacing w:before="0" w:after="30" w:line="254" w:lineRule="auto"/>
      </w:pPr>
      <w:r>
        <w:rPr>
          <w:rFonts w:ascii="Calibri" w:hAnsi="Calibri"/>
          <w:b/>
          <w:color w:val="0F172A"/>
          <w:sz w:val="17"/>
        </w:rPr>
        <w:t xml:space="preserve">[ ] </w:t>
      </w:r>
      <w:r>
        <w:rPr>
          <w:rFonts w:ascii="Calibri" w:hAnsi="Calibri"/>
          <w:color w:val="1E293B"/>
          <w:sz w:val="17"/>
        </w:rPr>
        <w:t>Deduplication logic (Task 17) prevents saving the same ref number twice.</w:t>
      </w:r>
    </w:p>
    <w:p>
      <w:pPr>
        <w:pStyle w:val="ListBullet"/>
        <w:spacing w:before="0" w:after="30" w:line="254" w:lineRule="auto"/>
      </w:pPr>
      <w:r>
        <w:rPr>
          <w:rFonts w:ascii="Calibri" w:hAnsi="Calibri"/>
          <w:b/>
          <w:color w:val="0F172A"/>
          <w:sz w:val="17"/>
        </w:rPr>
        <w:t xml:space="preserve">[ ] </w:t>
      </w:r>
      <w:r>
        <w:rPr>
          <w:rFonts w:ascii="Calibri" w:hAnsi="Calibri"/>
          <w:color w:val="1E293B"/>
          <w:sz w:val="17"/>
        </w:rPr>
        <w:t>"My UPI IDs" logic (Task 18) excludes self-transfers from spending totals.</w:t>
      </w:r>
    </w:p>
    <w:p>
      <w:pPr>
        <w:pStyle w:val="ListBullet"/>
        <w:spacing w:before="0" w:after="30" w:line="254" w:lineRule="auto"/>
      </w:pPr>
      <w:r>
        <w:rPr>
          <w:rFonts w:ascii="Calibri" w:hAnsi="Calibri"/>
          <w:b/>
          <w:color w:val="0F172A"/>
          <w:sz w:val="17"/>
        </w:rPr>
        <w:t xml:space="preserve">[ ] </w:t>
      </w:r>
      <w:r>
        <w:rPr>
          <w:rFonts w:ascii="Calibri" w:hAnsi="Calibri"/>
          <w:color w:val="1E293B"/>
          <w:sz w:val="17"/>
        </w:rPr>
        <w:t>Real ViewModels handed to F1, replacing fake data cleanly.</w:t>
      </w:r>
    </w:p>
    <w:p>
      <w:pPr>
        <w:pStyle w:val="ListBullet"/>
        <w:spacing w:before="0" w:after="30" w:line="254" w:lineRule="auto"/>
      </w:pPr>
      <w:r>
        <w:rPr>
          <w:rFonts w:ascii="Calibri" w:hAnsi="Calibri"/>
          <w:b/>
          <w:color w:val="0F172A"/>
          <w:sz w:val="17"/>
        </w:rPr>
        <w:t xml:space="preserve">[ ] </w:t>
      </w:r>
      <w:r>
        <w:rPr>
          <w:rFonts w:ascii="Calibri" w:hAnsi="Calibri"/>
          <w:color w:val="1E293B"/>
          <w:sz w:val="17"/>
        </w:rPr>
        <w:t>Parser output saves verified and reactive summary updates confirmed.</w:t>
      </w:r>
    </w:p>
    <w:p>
      <w:pPr>
        <w:pStyle w:val="ListBullet"/>
        <w:spacing w:before="0" w:after="30" w:line="254" w:lineRule="auto"/>
      </w:pPr>
      <w:r>
        <w:rPr>
          <w:rFonts w:ascii="Calibri" w:hAnsi="Calibri"/>
          <w:b/>
          <w:color w:val="0F172A"/>
          <w:sz w:val="17"/>
        </w:rPr>
        <w:t xml:space="preserve">[ ] </w:t>
      </w:r>
      <w:r>
        <w:rPr>
          <w:rFonts w:ascii="Calibri" w:hAnsi="Calibri"/>
          <w:color w:val="1E293B"/>
          <w:sz w:val="17"/>
        </w:rPr>
        <w:t>Data-wipe function provided for B4's "delete all data" button.</w:t>
      </w:r>
    </w:p>
    <w:p>
      <w:pPr>
        <w:pStyle w:val="ListBullet"/>
        <w:spacing w:before="0" w:after="30" w:line="254" w:lineRule="auto"/>
      </w:pPr>
      <w:r>
        <w:rPr>
          <w:rFonts w:ascii="Calibri" w:hAnsi="Calibri"/>
          <w:b/>
          <w:color w:val="0F172A"/>
          <w:sz w:val="17"/>
        </w:rPr>
        <w:t xml:space="preserve">[ ] </w:t>
      </w:r>
      <w:r>
        <w:rPr>
          <w:rFonts w:ascii="Calibri" w:hAnsi="Calibri"/>
          <w:color w:val="1E293B"/>
          <w:sz w:val="17"/>
        </w:rPr>
        <w:t>Database wrapped cleanly with SQLCipher encryption in collaboration with B4.</w:t>
      </w:r>
    </w:p>
    <w:p>
      <w:pPr>
        <w:pStyle w:val="ListBullet"/>
        <w:spacing w:before="0" w:after="30" w:line="254" w:lineRule="auto"/>
      </w:pPr>
      <w:r>
        <w:rPr>
          <w:rFonts w:ascii="Calibri" w:hAnsi="Calibri"/>
          <w:b/>
          <w:color w:val="0F172A"/>
          <w:sz w:val="17"/>
        </w:rPr>
        <w:t xml:space="preserve">[ ] </w:t>
      </w:r>
      <w:r>
        <w:rPr>
          <w:rFonts w:ascii="Calibri" w:hAnsi="Calibri"/>
          <w:color w:val="1E293B"/>
          <w:sz w:val="17"/>
        </w:rPr>
        <w:t>Demo flow (Task 32) rehearsed and backup video (Task 34) supported.</w:t>
      </w:r>
    </w:p>
    <w:p>
      <w:pPr>
        <w:pStyle w:val="ListBullet"/>
        <w:spacing w:before="0" w:after="30" w:line="254" w:lineRule="auto"/>
      </w:pPr>
      <w:r>
        <w:rPr>
          <w:rFonts w:ascii="Calibri" w:hAnsi="Calibri"/>
          <w:b/>
          <w:color w:val="0F172A"/>
          <w:sz w:val="17"/>
        </w:rPr>
        <w:t xml:space="preserve">[ ] </w:t>
      </w:r>
      <w:r>
        <w:rPr>
          <w:rFonts w:ascii="Calibri" w:hAnsi="Calibri"/>
          <w:color w:val="1E293B"/>
          <w:sz w:val="17"/>
        </w:rPr>
        <w:t>Compliance verified: no INTERNET, no raw SMS saved, OTP rejected first, allowBackup="false".</w:t>
      </w:r>
    </w:p>
    <w:p>
      <w:pPr>
        <w:spacing w:before="40" w:after="40"/>
      </w:pPr>
    </w:p>
    <w:tbl>
      <w:tblPr>
        <w:tblW w:type="auto" w:w="0"/>
        <w:jc w:val="center"/>
        <w:tblLayout w:type="fixed"/>
        <w:tblLook w:firstColumn="1" w:firstRow="1" w:lastColumn="0" w:lastRow="0" w:noHBand="0" w:noVBand="1" w:val="04A0"/>
      </w:tblPr>
      <w:tblGrid>
        <w:gridCol w:w="5162"/>
        <w:gridCol w:w="5162"/>
      </w:tblGrid>
      <w:tr>
        <w:tc>
          <w:tcPr>
            <w:tcW w:type="dxa" w:w="5155"/>
            <w:shd w:fill="E2E8F0"/>
            <w:tcBorders>
              <w:top w:val="single" w:sz="4" w:space="0" w:color="CBD5E1"/>
              <w:bottom w:val="single" w:sz="4" w:space="0" w:color="CBD5E1"/>
              <w:left w:val="single" w:sz="4" w:space="0" w:color="CBD5E1"/>
              <w:right w:val="single" w:sz="4" w:space="0" w:color="CBD5E1"/>
            </w:tcBorders>
            <w:tcMar>
              <w:top w:w="35" w:type="dxa"/>
              <w:bottom w:w="35" w:type="dxa"/>
              <w:left w:w="70" w:type="dxa"/>
              <w:right w:w="70" w:type="dxa"/>
            </w:tcMar>
          </w:tcPr>
          <w:p>
            <w:pPr>
              <w:spacing w:before="0" w:after="0"/>
            </w:pPr>
            <w:r>
              <w:rPr>
                <w:rFonts w:ascii="Calibri" w:hAnsi="Calibri"/>
                <w:b/>
                <w:sz w:val="16"/>
              </w:rPr>
              <w:t>Team Member Sign-off</w:t>
            </w:r>
          </w:p>
          <w:p>
            <w:pPr>
              <w:spacing w:before="0" w:after="0"/>
            </w:pPr>
            <w:r>
              <w:rPr>
                <w:rFonts w:ascii="Calibri" w:hAnsi="Calibri"/>
                <w:i/>
                <w:sz w:val="14"/>
              </w:rPr>
              <w:t>Role: B2: Data Layer</w:t>
            </w:r>
          </w:p>
        </w:tc>
        <w:tc>
          <w:tcPr>
            <w:tcW w:type="dxa" w:w="5155"/>
            <w:shd w:fill="E2E8F0"/>
            <w:tcBorders>
              <w:top w:val="single" w:sz="4" w:space="0" w:color="CBD5E1"/>
              <w:bottom w:val="single" w:sz="4" w:space="0" w:color="CBD5E1"/>
              <w:left w:val="single" w:sz="4" w:space="0" w:color="CBD5E1"/>
              <w:right w:val="single" w:sz="4" w:space="0" w:color="CBD5E1"/>
            </w:tcBorders>
            <w:tcMar>
              <w:top w:w="35" w:type="dxa"/>
              <w:bottom w:w="35" w:type="dxa"/>
              <w:left w:w="70" w:type="dxa"/>
              <w:right w:w="70" w:type="dxa"/>
            </w:tcMar>
          </w:tcPr>
          <w:p>
            <w:pPr>
              <w:spacing w:before="0" w:after="0"/>
            </w:pPr>
            <w:r>
              <w:rPr>
                <w:rFonts w:ascii="Calibri" w:hAnsi="Calibri"/>
                <w:b/>
                <w:sz w:val="16"/>
              </w:rPr>
              <w:t>Team Lead Sign-off</w:t>
            </w:r>
          </w:p>
          <w:p>
            <w:pPr>
              <w:spacing w:before="0" w:after="0"/>
            </w:pPr>
            <w:r>
              <w:rPr>
                <w:rFonts w:ascii="Calibri" w:hAnsi="Calibri"/>
                <w:i/>
                <w:sz w:val="14"/>
              </w:rPr>
              <w:t>Role: Team Lead / PM</w:t>
            </w:r>
          </w:p>
        </w:tc>
      </w:tr>
      <w:tr>
        <w:tc>
          <w:tcPr>
            <w:tcW w:type="dxa" w:w="5155"/>
            <w:shd w:fill="FFFFFF"/>
            <w:tcBorders>
              <w:top w:val="single" w:sz="4" w:space="0" w:color="CBD5E1"/>
              <w:bottom w:val="single" w:sz="4" w:space="0" w:color="CBD5E1"/>
              <w:left w:val="single" w:sz="4" w:space="0" w:color="CBD5E1"/>
              <w:right w:val="single" w:sz="4" w:space="0" w:color="CBD5E1"/>
            </w:tcBorders>
            <w:tcMar>
              <w:top w:w="35" w:type="dxa"/>
              <w:bottom w:w="35" w:type="dxa"/>
              <w:left w:w="70" w:type="dxa"/>
              <w:right w:w="70" w:type="dxa"/>
            </w:tcMar>
          </w:tcPr>
          <w:p>
            <w:pPr>
              <w:spacing w:before="0" w:after="0"/>
            </w:pPr>
            <w:r>
              <w:rPr>
                <w:rFonts w:ascii="Calibri" w:hAnsi="Calibri"/>
                <w:sz w:val="16"/>
              </w:rPr>
              <w:t>Name: TBD</w:t>
            </w:r>
          </w:p>
          <w:p>
            <w:pPr>
              <w:spacing w:before="20" w:after="0"/>
            </w:pPr>
            <w:r>
              <w:rPr>
                <w:rFonts w:ascii="Calibri" w:hAnsi="Calibri"/>
                <w:sz w:val="16"/>
              </w:rPr>
              <w:t>Signature: __________________________</w:t>
            </w:r>
          </w:p>
        </w:tc>
        <w:tc>
          <w:tcPr>
            <w:tcW w:type="dxa" w:w="5155"/>
            <w:shd w:fill="FFFFFF"/>
            <w:tcBorders>
              <w:top w:val="single" w:sz="4" w:space="0" w:color="CBD5E1"/>
              <w:bottom w:val="single" w:sz="4" w:space="0" w:color="CBD5E1"/>
              <w:left w:val="single" w:sz="4" w:space="0" w:color="CBD5E1"/>
              <w:right w:val="single" w:sz="4" w:space="0" w:color="CBD5E1"/>
            </w:tcBorders>
            <w:tcMar>
              <w:top w:w="35" w:type="dxa"/>
              <w:bottom w:w="35" w:type="dxa"/>
              <w:left w:w="70" w:type="dxa"/>
              <w:right w:w="70" w:type="dxa"/>
            </w:tcMar>
          </w:tcPr>
          <w:p>
            <w:pPr>
              <w:spacing w:before="0" w:after="0"/>
            </w:pPr>
            <w:r>
              <w:rPr>
                <w:rFonts w:ascii="Calibri" w:hAnsi="Calibri"/>
                <w:sz w:val="16"/>
              </w:rPr>
              <w:t>Name: TBD</w:t>
            </w:r>
          </w:p>
          <w:p>
            <w:pPr>
              <w:spacing w:before="20" w:after="0"/>
            </w:pPr>
            <w:r>
              <w:rPr>
                <w:rFonts w:ascii="Calibri" w:hAnsi="Calibri"/>
                <w:sz w:val="16"/>
              </w:rPr>
              <w:t>Signature: __________________________</w:t>
            </w:r>
          </w:p>
        </w:tc>
      </w:tr>
      <w:tr>
        <w:tc>
          <w:tcPr>
            <w:tcW w:type="dxa" w:w="5155"/>
            <w:shd w:fill="FFFFFF"/>
            <w:tcBorders>
              <w:top w:val="single" w:sz="4" w:space="0" w:color="CBD5E1"/>
              <w:bottom w:val="single" w:sz="4" w:space="0" w:color="CBD5E1"/>
              <w:left w:val="single" w:sz="4" w:space="0" w:color="CBD5E1"/>
              <w:right w:val="single" w:sz="4" w:space="0" w:color="CBD5E1"/>
            </w:tcBorders>
            <w:tcMar>
              <w:top w:w="35" w:type="dxa"/>
              <w:bottom w:w="35" w:type="dxa"/>
              <w:left w:w="70" w:type="dxa"/>
              <w:right w:w="70" w:type="dxa"/>
            </w:tcMar>
          </w:tcPr>
          <w:p>
            <w:pPr>
              <w:spacing w:before="0" w:after="0"/>
            </w:pPr>
            <w:r>
              <w:rPr>
                <w:rFonts w:ascii="Calibri" w:hAnsi="Calibri"/>
                <w:sz w:val="16"/>
              </w:rPr>
              <w:t>Date: TBD</w:t>
            </w:r>
          </w:p>
        </w:tc>
        <w:tc>
          <w:tcPr>
            <w:tcW w:type="dxa" w:w="5155"/>
            <w:shd w:fill="FFFFFF"/>
            <w:tcBorders>
              <w:top w:val="single" w:sz="4" w:space="0" w:color="CBD5E1"/>
              <w:bottom w:val="single" w:sz="4" w:space="0" w:color="CBD5E1"/>
              <w:left w:val="single" w:sz="4" w:space="0" w:color="CBD5E1"/>
              <w:right w:val="single" w:sz="4" w:space="0" w:color="CBD5E1"/>
            </w:tcBorders>
            <w:tcMar>
              <w:top w:w="35" w:type="dxa"/>
              <w:bottom w:w="35" w:type="dxa"/>
              <w:left w:w="70" w:type="dxa"/>
              <w:right w:w="70" w:type="dxa"/>
            </w:tcMar>
          </w:tcPr>
          <w:p>
            <w:pPr>
              <w:spacing w:before="0" w:after="0"/>
            </w:pPr>
            <w:r>
              <w:rPr>
                <w:rFonts w:ascii="Calibri" w:hAnsi="Calibri"/>
                <w:sz w:val="16"/>
              </w:rPr>
              <w:t>Date: TBD</w:t>
            </w:r>
          </w:p>
        </w:tc>
      </w:tr>
    </w:tbl>
    <w:sectPr w:rsidR="00FC693F" w:rsidRPr="0006063C" w:rsidSect="00034616">
      <w:pgSz w:w="11909" w:h="16834"/>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40" w:before="0"/>
    </w:pPr>
    <w:rPr>
      <w:rFonts w:ascii="Calibri" w:hAnsi="Calibri"/>
      <w:color w:val="1E293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