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D1AA">
      <w:pPr>
        <w:pStyle w:val="15"/>
        <w:rPr>
          <w:rFonts w:hint="eastAsia" w:ascii="宋体" w:hAnsi="宋体" w:eastAsia="宋体" w:cs="宋体"/>
        </w:rPr>
      </w:pPr>
      <w:r>
        <w:rPr>
          <w:rFonts w:hint="eastAsia" w:ascii="宋体" w:hAnsi="宋体" w:eastAsia="宋体" w:cs="宋体"/>
        </w:rPr>
        <w:t>delta0小组报告</w:t>
      </w:r>
    </w:p>
    <w:p w14:paraId="05DF3D60">
      <w:pPr>
        <w:pStyle w:val="23"/>
        <w:jc w:val="center"/>
        <w:rPr>
          <w:rFonts w:hint="eastAsia" w:ascii="宋体" w:hAnsi="宋体" w:eastAsia="宋体" w:cs="宋体"/>
        </w:rPr>
      </w:pPr>
      <w:r>
        <w:rPr>
          <w:rFonts w:hint="eastAsia" w:ascii="宋体" w:hAnsi="宋体" w:eastAsia="宋体" w:cs="宋体"/>
        </w:rPr>
        <w:t>基于</w:t>
      </w:r>
      <w:r>
        <w:rPr>
          <w:rFonts w:hint="eastAsia" w:ascii="宋体" w:hAnsi="宋体" w:eastAsia="宋体" w:cs="宋体"/>
        </w:rPr>
        <w:t xml:space="preserve"> 20 </w:t>
      </w:r>
      <w:r>
        <w:rPr>
          <w:rFonts w:hint="eastAsia" w:ascii="宋体" w:hAnsi="宋体" w:eastAsia="宋体" w:cs="宋体"/>
        </w:rPr>
        <w:t>只股票数据</w:t>
      </w:r>
      <w:r>
        <w:rPr>
          <w:rFonts w:hint="eastAsia" w:ascii="宋体" w:hAnsi="宋体" w:eastAsia="宋体" w:cs="宋体"/>
        </w:rPr>
        <w:t xml:space="preserve"> · </w:t>
      </w:r>
      <w:r>
        <w:rPr>
          <w:rFonts w:hint="eastAsia" w:ascii="宋体" w:hAnsi="宋体" w:eastAsia="宋体" w:cs="宋体"/>
        </w:rPr>
        <w:t>聚焦</w:t>
      </w:r>
      <w:r>
        <w:rPr>
          <w:rFonts w:hint="eastAsia" w:ascii="宋体" w:hAnsi="宋体" w:eastAsia="宋体" w:cs="宋体"/>
        </w:rPr>
        <w:t xml:space="preserve"> 10 </w:t>
      </w:r>
      <w:r>
        <w:rPr>
          <w:rFonts w:hint="eastAsia" w:ascii="宋体" w:hAnsi="宋体" w:eastAsia="宋体" w:cs="宋体"/>
        </w:rPr>
        <w:t>只核心分析</w:t>
      </w:r>
    </w:p>
    <w:p w14:paraId="6F44E7EB">
      <w:pPr>
        <w:pStyle w:val="23"/>
        <w:rPr>
          <w:rFonts w:hint="eastAsia" w:ascii="宋体" w:hAnsi="宋体" w:eastAsia="宋体" w:cs="宋体"/>
        </w:rPr>
      </w:pPr>
    </w:p>
    <w:p w14:paraId="3C489E4C">
      <w:pPr>
        <w:pStyle w:val="23"/>
        <w:rPr>
          <w:rFonts w:hint="eastAsia" w:ascii="宋体" w:hAnsi="宋体" w:eastAsia="宋体" w:cs="宋体"/>
        </w:rPr>
      </w:pPr>
    </w:p>
    <w:p w14:paraId="4D25C4A2">
      <w:pPr>
        <w:pStyle w:val="23"/>
        <w:rPr>
          <w:rFonts w:hint="eastAsia" w:ascii="宋体" w:hAnsi="宋体" w:eastAsia="宋体" w:cs="宋体"/>
        </w:rPr>
      </w:pPr>
    </w:p>
    <w:p w14:paraId="5EDA7508">
      <w:pPr>
        <w:pStyle w:val="23"/>
        <w:jc w:val="center"/>
        <w:rPr>
          <w:rFonts w:hint="eastAsia" w:ascii="宋体" w:hAnsi="宋体" w:eastAsia="宋体" w:cs="宋体"/>
        </w:rPr>
      </w:pPr>
      <w:r>
        <w:rPr>
          <w:rFonts w:hint="eastAsia" w:ascii="宋体" w:hAnsi="宋体" w:eastAsia="宋体" w:cs="宋体"/>
        </w:rPr>
        <w:t>报告日期：2026年7月22日</w:t>
      </w:r>
    </w:p>
    <w:p w14:paraId="7DC6CE3D">
      <w:pPr>
        <w:pStyle w:val="23"/>
        <w:jc w:val="center"/>
        <w:rPr>
          <w:rFonts w:hint="eastAsia" w:ascii="宋体" w:hAnsi="宋体" w:eastAsia="宋体" w:cs="宋体"/>
        </w:rPr>
      </w:pPr>
      <w:r>
        <w:rPr>
          <w:rFonts w:hint="eastAsia" w:ascii="宋体" w:hAnsi="宋体" w:eastAsia="宋体" w:cs="宋体"/>
        </w:rPr>
        <w:t>版本：V2.0</w:t>
      </w:r>
    </w:p>
    <w:p w14:paraId="640A1445">
      <w:pPr>
        <w:pStyle w:val="23"/>
        <w:jc w:val="center"/>
        <w:rPr>
          <w:rFonts w:hint="eastAsia" w:ascii="宋体" w:hAnsi="宋体" w:eastAsia="宋体" w:cs="宋体"/>
        </w:rPr>
      </w:pPr>
      <w:r>
        <w:rPr>
          <w:rFonts w:hint="eastAsia" w:ascii="宋体" w:hAnsi="宋体" w:eastAsia="宋体" w:cs="宋体"/>
        </w:rPr>
        <w:t>队名：delta0</w:t>
      </w:r>
    </w:p>
    <w:p w14:paraId="3C4D00E0">
      <w:pPr>
        <w:pStyle w:val="23"/>
        <w:jc w:val="center"/>
        <w:rPr>
          <w:rFonts w:hint="eastAsia" w:ascii="宋体" w:hAnsi="宋体" w:eastAsia="宋体" w:cs="宋体"/>
        </w:rPr>
      </w:pPr>
      <w:r>
        <w:rPr>
          <w:rFonts w:hint="eastAsia" w:ascii="宋体" w:hAnsi="宋体" w:eastAsia="宋体" w:cs="宋体"/>
        </w:rPr>
        <w:t>口号：创造delta0的投资组合</w:t>
      </w:r>
    </w:p>
    <w:p w14:paraId="435576B4">
      <w:pPr>
        <w:pStyle w:val="23"/>
        <w:jc w:val="center"/>
        <w:rPr>
          <w:rFonts w:hint="eastAsia" w:ascii="宋体" w:hAnsi="宋体" w:eastAsia="宋体" w:cs="宋体"/>
        </w:rPr>
      </w:pPr>
      <w:r>
        <w:rPr>
          <w:rFonts w:hint="eastAsia" w:ascii="宋体" w:hAnsi="宋体" w:eastAsia="宋体" w:cs="宋体"/>
        </w:rPr>
        <w:t>队长：小喵因子</w:t>
      </w:r>
    </w:p>
    <w:p w14:paraId="121FBF00">
      <w:pPr>
        <w:pStyle w:val="23"/>
        <w:jc w:val="center"/>
        <w:rPr>
          <w:rFonts w:hint="eastAsia" w:ascii="宋体" w:hAnsi="宋体" w:eastAsia="宋体" w:cs="宋体"/>
        </w:rPr>
      </w:pPr>
      <w:r>
        <w:rPr>
          <w:rFonts w:hint="eastAsia" w:ascii="宋体" w:hAnsi="宋体" w:eastAsia="宋体" w:cs="宋体"/>
        </w:rPr>
        <w:t>队员：桃，标，风中闻笛，不知</w:t>
      </w:r>
      <w:r>
        <w:rPr>
          <w:rFonts w:hint="eastAsia" w:ascii="宋体" w:hAnsi="宋体" w:eastAsia="宋体" w:cs="宋体"/>
        </w:rPr>
        <w:t xml:space="preserve"> Peter</w:t>
      </w:r>
    </w:p>
    <w:p w14:paraId="528F9701">
      <w:pPr>
        <w:pStyle w:val="23"/>
        <w:jc w:val="center"/>
        <w:rPr>
          <w:rFonts w:hint="eastAsia" w:ascii="宋体" w:hAnsi="宋体" w:eastAsia="宋体" w:cs="宋体"/>
        </w:rPr>
      </w:pPr>
      <w:r>
        <w:rPr>
          <w:rFonts w:hint="eastAsia" w:ascii="宋体" w:hAnsi="宋体" w:eastAsia="宋体" w:cs="宋体"/>
        </w:rPr>
        <w:t>参与方式：组队学习</w:t>
      </w:r>
    </w:p>
    <w:p w14:paraId="500EE318">
      <w:pPr>
        <w:pStyle w:val="23"/>
        <w:jc w:val="center"/>
        <w:rPr>
          <w:rFonts w:hint="eastAsia" w:ascii="宋体" w:hAnsi="宋体" w:eastAsia="宋体" w:cs="宋体"/>
        </w:rPr>
      </w:pPr>
      <w:r>
        <w:rPr>
          <w:rFonts w:hint="eastAsia" w:ascii="宋体" w:hAnsi="宋体" w:eastAsia="宋体" w:cs="宋体"/>
        </w:rPr>
        <w:t>下载链接：</w:t>
      </w:r>
      <w:r>
        <w:rPr>
          <w:rFonts w:hint="eastAsia" w:ascii="宋体" w:hAnsi="宋体" w:eastAsia="宋体" w:cs="宋体"/>
        </w:rPr>
        <w:fldChar w:fldCharType="begin"/>
      </w:r>
      <w:r>
        <w:rPr>
          <w:rFonts w:hint="eastAsia" w:ascii="宋体" w:hAnsi="宋体" w:eastAsia="宋体" w:cs="宋体"/>
        </w:rPr>
        <w:instrText xml:space="preserve"> HYPERLINK "../homework/downloads/策略报告.docx" \h </w:instrText>
      </w:r>
      <w:r>
        <w:rPr>
          <w:rFonts w:hint="eastAsia" w:ascii="宋体" w:hAnsi="宋体" w:eastAsia="宋体" w:cs="宋体"/>
        </w:rPr>
        <w:fldChar w:fldCharType="separate"/>
      </w:r>
      <w:r>
        <w:rPr>
          <w:rStyle w:val="20"/>
          <w:rFonts w:hint="eastAsia" w:ascii="宋体" w:hAnsi="宋体" w:eastAsia="宋体" w:cs="宋体"/>
        </w:rPr>
        <w:t>策略报告</w:t>
      </w:r>
      <w:r>
        <w:rPr>
          <w:rStyle w:val="20"/>
          <w:rFonts w:hint="eastAsia" w:ascii="宋体" w:hAnsi="宋体" w:eastAsia="宋体" w:cs="宋体"/>
        </w:rPr>
        <w:fldChar w:fldCharType="end"/>
      </w:r>
      <w:r>
        <w:rPr>
          <w:rFonts w:hint="eastAsia" w:ascii="宋体" w:hAnsi="宋体" w:eastAsia="宋体" w:cs="宋体"/>
        </w:rPr>
        <w:t xml:space="preserve"> | </w:t>
      </w:r>
      <w:r>
        <w:rPr>
          <w:rFonts w:hint="eastAsia" w:ascii="宋体" w:hAnsi="宋体" w:eastAsia="宋体" w:cs="宋体"/>
        </w:rPr>
        <w:fldChar w:fldCharType="begin"/>
      </w:r>
      <w:r>
        <w:rPr>
          <w:rFonts w:hint="eastAsia" w:ascii="宋体" w:hAnsi="宋体" w:eastAsia="宋体" w:cs="宋体"/>
        </w:rPr>
        <w:instrText xml:space="preserve"> HYPERLINK "../homework/downloads/策略海报.pdf" \h </w:instrText>
      </w:r>
      <w:r>
        <w:rPr>
          <w:rFonts w:hint="eastAsia" w:ascii="宋体" w:hAnsi="宋体" w:eastAsia="宋体" w:cs="宋体"/>
        </w:rPr>
        <w:fldChar w:fldCharType="separate"/>
      </w:r>
      <w:r>
        <w:rPr>
          <w:rStyle w:val="20"/>
          <w:rFonts w:hint="eastAsia" w:ascii="宋体" w:hAnsi="宋体" w:eastAsia="宋体" w:cs="宋体"/>
        </w:rPr>
        <w:t>策略海报</w:t>
      </w:r>
      <w:r>
        <w:rPr>
          <w:rStyle w:val="20"/>
          <w:rFonts w:hint="eastAsia" w:ascii="宋体" w:hAnsi="宋体" w:eastAsia="宋体" w:cs="宋体"/>
        </w:rPr>
        <w:fldChar w:fldCharType="end"/>
      </w:r>
      <w:r>
        <w:rPr>
          <w:rFonts w:hint="eastAsia" w:ascii="宋体" w:hAnsi="宋体" w:eastAsia="宋体" w:cs="宋体"/>
        </w:rPr>
        <w:t xml:space="preserve"> | </w:t>
      </w:r>
      <w:r>
        <w:rPr>
          <w:rFonts w:hint="eastAsia" w:ascii="宋体" w:hAnsi="宋体" w:eastAsia="宋体" w:cs="宋体"/>
        </w:rPr>
        <w:fldChar w:fldCharType="begin"/>
      </w:r>
      <w:r>
        <w:rPr>
          <w:rFonts w:hint="eastAsia" w:ascii="宋体" w:hAnsi="宋体" w:eastAsia="宋体" w:cs="宋体"/>
        </w:rPr>
        <w:instrText xml:space="preserve"> HYPERLINK "../homework/downloads/策略附件.zip" \h </w:instrText>
      </w:r>
      <w:r>
        <w:rPr>
          <w:rFonts w:hint="eastAsia" w:ascii="宋体" w:hAnsi="宋体" w:eastAsia="宋体" w:cs="宋体"/>
        </w:rPr>
        <w:fldChar w:fldCharType="separate"/>
      </w:r>
      <w:r>
        <w:rPr>
          <w:rStyle w:val="20"/>
          <w:rFonts w:hint="eastAsia" w:ascii="宋体" w:hAnsi="宋体" w:eastAsia="宋体" w:cs="宋体"/>
        </w:rPr>
        <w:t>策略附件</w:t>
      </w:r>
      <w:r>
        <w:rPr>
          <w:rStyle w:val="20"/>
          <w:rFonts w:hint="eastAsia" w:ascii="宋体" w:hAnsi="宋体" w:eastAsia="宋体" w:cs="宋体"/>
        </w:rPr>
        <w:fldChar w:fldCharType="end"/>
      </w:r>
    </w:p>
    <w:p w14:paraId="51FC7DA3">
      <w:pPr>
        <w:pStyle w:val="2"/>
        <w:jc w:val="center"/>
        <w:rPr>
          <w:rFonts w:hint="eastAsia" w:ascii="宋体" w:hAnsi="宋体" w:eastAsia="宋体" w:cs="宋体"/>
        </w:rPr>
      </w:pPr>
      <w:bookmarkStart w:id="0" w:name="目录"/>
      <w:r>
        <w:rPr>
          <w:rFonts w:hint="eastAsia" w:ascii="宋体" w:hAnsi="宋体" w:eastAsia="宋体" w:cs="宋体"/>
        </w:rPr>
        <w:br w:type="page"/>
      </w:r>
      <w:r>
        <w:rPr>
          <w:rFonts w:hint="eastAsia" w:ascii="宋体" w:hAnsi="宋体" w:eastAsia="宋体" w:cs="宋体"/>
        </w:rPr>
        <w:t>目录</w:t>
      </w:r>
    </w:p>
    <w:p w14:paraId="060B666D">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"第1章-研究问题与目标" \h </w:instrText>
      </w:r>
      <w:r>
        <w:rPr>
          <w:rFonts w:hint="eastAsia" w:ascii="宋体" w:hAnsi="宋体" w:eastAsia="宋体" w:cs="宋体"/>
        </w:rPr>
        <w:fldChar w:fldCharType="separate"/>
      </w:r>
      <w:r>
        <w:rPr>
          <w:rStyle w:val="20"/>
          <w:rFonts w:hint="eastAsia" w:ascii="宋体" w:hAnsi="宋体" w:eastAsia="宋体" w:cs="宋体"/>
        </w:rPr>
        <w:t>第1章</w:t>
      </w:r>
      <w:r>
        <w:rPr>
          <w:rStyle w:val="20"/>
          <w:rFonts w:hint="eastAsia" w:ascii="宋体" w:hAnsi="宋体" w:eastAsia="宋体" w:cs="宋体"/>
        </w:rPr>
        <w:t xml:space="preserve"> </w:t>
      </w:r>
      <w:r>
        <w:rPr>
          <w:rStyle w:val="20"/>
          <w:rFonts w:hint="eastAsia" w:ascii="宋体" w:hAnsi="宋体" w:eastAsia="宋体" w:cs="宋体"/>
        </w:rPr>
        <w:t>研究问题与目标</w:t>
      </w:r>
      <w:r>
        <w:rPr>
          <w:rStyle w:val="20"/>
          <w:rFonts w:hint="eastAsia" w:ascii="宋体" w:hAnsi="宋体" w:eastAsia="宋体" w:cs="宋体"/>
        </w:rPr>
        <w:fldChar w:fldCharType="end"/>
      </w:r>
    </w:p>
    <w:p w14:paraId="5A772CC3">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"X55279c21189073007832dfd13636b852c6263b8" \h </w:instrText>
      </w:r>
      <w:r>
        <w:rPr>
          <w:rFonts w:hint="eastAsia" w:ascii="宋体" w:hAnsi="宋体" w:eastAsia="宋体" w:cs="宋体"/>
        </w:rPr>
        <w:fldChar w:fldCharType="separate"/>
      </w:r>
      <w:r>
        <w:rPr>
          <w:rStyle w:val="20"/>
          <w:rFonts w:hint="eastAsia" w:ascii="宋体" w:hAnsi="宋体" w:eastAsia="宋体" w:cs="宋体"/>
        </w:rPr>
        <w:t xml:space="preserve">1.1 </w:t>
      </w:r>
      <w:r>
        <w:rPr>
          <w:rStyle w:val="20"/>
          <w:rFonts w:hint="eastAsia" w:ascii="宋体" w:hAnsi="宋体" w:eastAsia="宋体" w:cs="宋体"/>
        </w:rPr>
        <w:t>研究问题</w:t>
      </w:r>
      <w:r>
        <w:rPr>
          <w:rStyle w:val="20"/>
          <w:rFonts w:hint="eastAsia" w:ascii="宋体" w:hAnsi="宋体" w:eastAsia="宋体" w:cs="宋体"/>
        </w:rPr>
        <w:fldChar w:fldCharType="end"/>
      </w:r>
    </w:p>
    <w:p w14:paraId="2AFDFAAC">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"X03a2ebc13193185631c03f0e8e6e9e31d1e154f" \h </w:instrText>
      </w:r>
      <w:r>
        <w:rPr>
          <w:rFonts w:hint="eastAsia" w:ascii="宋体" w:hAnsi="宋体" w:eastAsia="宋体" w:cs="宋体"/>
        </w:rPr>
        <w:fldChar w:fldCharType="separate"/>
      </w:r>
      <w:r>
        <w:rPr>
          <w:rStyle w:val="20"/>
          <w:rFonts w:hint="eastAsia" w:ascii="宋体" w:hAnsi="宋体" w:eastAsia="宋体" w:cs="宋体"/>
        </w:rPr>
        <w:t xml:space="preserve">1.2 </w:t>
      </w:r>
      <w:r>
        <w:rPr>
          <w:rStyle w:val="20"/>
          <w:rFonts w:hint="eastAsia" w:ascii="宋体" w:hAnsi="宋体" w:eastAsia="宋体" w:cs="宋体"/>
        </w:rPr>
        <w:t>事先设定的成功标准</w:t>
      </w:r>
      <w:r>
        <w:rPr>
          <w:rStyle w:val="20"/>
          <w:rFonts w:hint="eastAsia" w:ascii="宋体" w:hAnsi="宋体" w:eastAsia="宋体" w:cs="宋体"/>
        </w:rPr>
        <w:fldChar w:fldCharType="end"/>
      </w:r>
    </w:p>
    <w:p w14:paraId="337BBFD2">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"X8e9e9bceb1c33f3e592668d0f56a5e9f26acf0b" \h </w:instrText>
      </w:r>
      <w:r>
        <w:rPr>
          <w:rFonts w:hint="eastAsia" w:ascii="宋体" w:hAnsi="宋体" w:eastAsia="宋体" w:cs="宋体"/>
        </w:rPr>
        <w:fldChar w:fldCharType="separate"/>
      </w:r>
      <w:r>
        <w:rPr>
          <w:rStyle w:val="20"/>
          <w:rFonts w:hint="eastAsia" w:ascii="宋体" w:hAnsi="宋体" w:eastAsia="宋体" w:cs="宋体"/>
        </w:rPr>
        <w:t xml:space="preserve">1.3 </w:t>
      </w:r>
      <w:r>
        <w:rPr>
          <w:rStyle w:val="20"/>
          <w:rFonts w:hint="eastAsia" w:ascii="宋体" w:hAnsi="宋体" w:eastAsia="宋体" w:cs="宋体"/>
        </w:rPr>
        <w:t>本次明确不做的事项</w:t>
      </w:r>
      <w:r>
        <w:rPr>
          <w:rStyle w:val="20"/>
          <w:rFonts w:hint="eastAsia" w:ascii="宋体" w:hAnsi="宋体" w:eastAsia="宋体" w:cs="宋体"/>
        </w:rPr>
        <w:fldChar w:fldCharType="end"/>
      </w:r>
    </w:p>
    <w:p w14:paraId="7E6BB646">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"第2章-数据说明" \h </w:instrText>
      </w:r>
      <w:r>
        <w:rPr>
          <w:rFonts w:hint="eastAsia" w:ascii="宋体" w:hAnsi="宋体" w:eastAsia="宋体" w:cs="宋体"/>
        </w:rPr>
        <w:fldChar w:fldCharType="separate"/>
      </w:r>
      <w:r>
        <w:rPr>
          <w:rStyle w:val="20"/>
          <w:rFonts w:hint="eastAsia" w:ascii="宋体" w:hAnsi="宋体" w:eastAsia="宋体" w:cs="宋体"/>
        </w:rPr>
        <w:t>第2章</w:t>
      </w:r>
      <w:r>
        <w:rPr>
          <w:rStyle w:val="20"/>
          <w:rFonts w:hint="eastAsia" w:ascii="宋体" w:hAnsi="宋体" w:eastAsia="宋体" w:cs="宋体"/>
        </w:rPr>
        <w:t xml:space="preserve"> </w:t>
      </w:r>
      <w:r>
        <w:rPr>
          <w:rStyle w:val="20"/>
          <w:rFonts w:hint="eastAsia" w:ascii="宋体" w:hAnsi="宋体" w:eastAsia="宋体" w:cs="宋体"/>
        </w:rPr>
        <w:t>数据说明</w:t>
      </w:r>
      <w:r>
        <w:rPr>
          <w:rStyle w:val="20"/>
          <w:rFonts w:hint="eastAsia" w:ascii="宋体" w:hAnsi="宋体" w:eastAsia="宋体" w:cs="宋体"/>
        </w:rPr>
        <w:fldChar w:fldCharType="end"/>
      </w:r>
    </w:p>
    <w:p w14:paraId="362A7BC7">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"Xcb00f1123e77bba4371ccd6a26f1966fe824c91" \h </w:instrText>
      </w:r>
      <w:r>
        <w:rPr>
          <w:rFonts w:hint="eastAsia" w:ascii="宋体" w:hAnsi="宋体" w:eastAsia="宋体" w:cs="宋体"/>
        </w:rPr>
        <w:fldChar w:fldCharType="separate"/>
      </w:r>
      <w:r>
        <w:rPr>
          <w:rStyle w:val="20"/>
          <w:rFonts w:hint="eastAsia" w:ascii="宋体" w:hAnsi="宋体" w:eastAsia="宋体" w:cs="宋体"/>
        </w:rPr>
        <w:t xml:space="preserve">2.1 </w:t>
      </w:r>
      <w:r>
        <w:rPr>
          <w:rStyle w:val="20"/>
          <w:rFonts w:hint="eastAsia" w:ascii="宋体" w:hAnsi="宋体" w:eastAsia="宋体" w:cs="宋体"/>
        </w:rPr>
        <w:t>股票池（20只）与聚焦10只</w:t>
      </w:r>
      <w:r>
        <w:rPr>
          <w:rStyle w:val="20"/>
          <w:rFonts w:hint="eastAsia" w:ascii="宋体" w:hAnsi="宋体" w:eastAsia="宋体" w:cs="宋体"/>
        </w:rPr>
        <w:fldChar w:fldCharType="end"/>
      </w:r>
    </w:p>
    <w:p w14:paraId="7F6DC97D">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"X9470a1d2ad4e3dbdb19d2a8612cb599a672259d" \h </w:instrText>
      </w:r>
      <w:r>
        <w:rPr>
          <w:rFonts w:hint="eastAsia" w:ascii="宋体" w:hAnsi="宋体" w:eastAsia="宋体" w:cs="宋体"/>
        </w:rPr>
        <w:fldChar w:fldCharType="separate"/>
      </w:r>
      <w:r>
        <w:rPr>
          <w:rStyle w:val="20"/>
          <w:rFonts w:hint="eastAsia" w:ascii="宋体" w:hAnsi="宋体" w:eastAsia="宋体" w:cs="宋体"/>
        </w:rPr>
        <w:t xml:space="preserve">2.2 </w:t>
      </w:r>
      <w:r>
        <w:rPr>
          <w:rStyle w:val="20"/>
          <w:rFonts w:hint="eastAsia" w:ascii="宋体" w:hAnsi="宋体" w:eastAsia="宋体" w:cs="宋体"/>
        </w:rPr>
        <w:t>数据来源和字段字典</w:t>
      </w:r>
      <w:r>
        <w:rPr>
          <w:rStyle w:val="20"/>
          <w:rFonts w:hint="eastAsia" w:ascii="宋体" w:hAnsi="宋体" w:eastAsia="宋体" w:cs="宋体"/>
        </w:rPr>
        <w:fldChar w:fldCharType="end"/>
      </w:r>
    </w:p>
    <w:p w14:paraId="42178F65">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"X18110d8894a8893d32d5aeb7b24c937512ec5a6" \h </w:instrText>
      </w:r>
      <w:r>
        <w:rPr>
          <w:rFonts w:hint="eastAsia" w:ascii="宋体" w:hAnsi="宋体" w:eastAsia="宋体" w:cs="宋体"/>
        </w:rPr>
        <w:fldChar w:fldCharType="separate"/>
      </w:r>
      <w:r>
        <w:rPr>
          <w:rStyle w:val="20"/>
          <w:rFonts w:hint="eastAsia" w:ascii="宋体" w:hAnsi="宋体" w:eastAsia="宋体" w:cs="宋体"/>
        </w:rPr>
        <w:t xml:space="preserve">2.3 </w:t>
      </w:r>
      <w:r>
        <w:rPr>
          <w:rStyle w:val="20"/>
          <w:rFonts w:hint="eastAsia" w:ascii="宋体" w:hAnsi="宋体" w:eastAsia="宋体" w:cs="宋体"/>
        </w:rPr>
        <w:t>文件说明</w:t>
      </w:r>
      <w:r>
        <w:rPr>
          <w:rStyle w:val="20"/>
          <w:rFonts w:hint="eastAsia" w:ascii="宋体" w:hAnsi="宋体" w:eastAsia="宋体" w:cs="宋体"/>
        </w:rPr>
        <w:fldChar w:fldCharType="end"/>
      </w:r>
    </w:p>
    <w:p w14:paraId="7B9E83A7">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"X3b765f4115d94d4cd3c93deedacba495d6a6515" \h </w:instrText>
      </w:r>
      <w:r>
        <w:rPr>
          <w:rFonts w:hint="eastAsia" w:ascii="宋体" w:hAnsi="宋体" w:eastAsia="宋体" w:cs="宋体"/>
        </w:rPr>
        <w:fldChar w:fldCharType="separate"/>
      </w:r>
      <w:r>
        <w:rPr>
          <w:rStyle w:val="20"/>
          <w:rFonts w:hint="eastAsia" w:ascii="宋体" w:hAnsi="宋体" w:eastAsia="宋体" w:cs="宋体"/>
        </w:rPr>
        <w:t xml:space="preserve">2.4 </w:t>
      </w:r>
      <w:r>
        <w:rPr>
          <w:rStyle w:val="20"/>
          <w:rFonts w:hint="eastAsia" w:ascii="宋体" w:hAnsi="宋体" w:eastAsia="宋体" w:cs="宋体"/>
        </w:rPr>
        <w:t>质量处理</w:t>
      </w:r>
      <w:r>
        <w:rPr>
          <w:rStyle w:val="20"/>
          <w:rFonts w:hint="eastAsia" w:ascii="宋体" w:hAnsi="宋体" w:eastAsia="宋体" w:cs="宋体"/>
        </w:rPr>
        <w:fldChar w:fldCharType="end"/>
      </w:r>
    </w:p>
    <w:p w14:paraId="66845B50">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"Xe34c4836b07996a9e72634f800c9562ebe4fbe1" \h </w:instrText>
      </w:r>
      <w:r>
        <w:rPr>
          <w:rFonts w:hint="eastAsia" w:ascii="宋体" w:hAnsi="宋体" w:eastAsia="宋体" w:cs="宋体"/>
        </w:rPr>
        <w:fldChar w:fldCharType="separate"/>
      </w:r>
      <w:r>
        <w:rPr>
          <w:rStyle w:val="20"/>
          <w:rFonts w:hint="eastAsia" w:ascii="宋体" w:hAnsi="宋体" w:eastAsia="宋体" w:cs="宋体"/>
        </w:rPr>
        <w:t xml:space="preserve">2.5 </w:t>
      </w:r>
      <w:r>
        <w:rPr>
          <w:rStyle w:val="20"/>
          <w:rFonts w:hint="eastAsia" w:ascii="宋体" w:hAnsi="宋体" w:eastAsia="宋体" w:cs="宋体"/>
        </w:rPr>
        <w:t>回测区间</w:t>
      </w:r>
      <w:r>
        <w:rPr>
          <w:rStyle w:val="20"/>
          <w:rFonts w:hint="eastAsia" w:ascii="宋体" w:hAnsi="宋体" w:eastAsia="宋体" w:cs="宋体"/>
        </w:rPr>
        <w:fldChar w:fldCharType="end"/>
      </w:r>
    </w:p>
    <w:p w14:paraId="2F18C8B7">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"第3章-策略设计" \h </w:instrText>
      </w:r>
      <w:r>
        <w:rPr>
          <w:rFonts w:hint="eastAsia" w:ascii="宋体" w:hAnsi="宋体" w:eastAsia="宋体" w:cs="宋体"/>
        </w:rPr>
        <w:fldChar w:fldCharType="separate"/>
      </w:r>
      <w:r>
        <w:rPr>
          <w:rStyle w:val="20"/>
          <w:rFonts w:hint="eastAsia" w:ascii="宋体" w:hAnsi="宋体" w:eastAsia="宋体" w:cs="宋体"/>
        </w:rPr>
        <w:t>第3章</w:t>
      </w:r>
      <w:r>
        <w:rPr>
          <w:rStyle w:val="20"/>
          <w:rFonts w:hint="eastAsia" w:ascii="宋体" w:hAnsi="宋体" w:eastAsia="宋体" w:cs="宋体"/>
        </w:rPr>
        <w:t xml:space="preserve"> </w:t>
      </w:r>
      <w:r>
        <w:rPr>
          <w:rStyle w:val="20"/>
          <w:rFonts w:hint="eastAsia" w:ascii="宋体" w:hAnsi="宋体" w:eastAsia="宋体" w:cs="宋体"/>
        </w:rPr>
        <w:t>策略设计</w:t>
      </w:r>
      <w:r>
        <w:rPr>
          <w:rStyle w:val="20"/>
          <w:rFonts w:hint="eastAsia" w:ascii="宋体" w:hAnsi="宋体" w:eastAsia="宋体" w:cs="宋体"/>
        </w:rPr>
        <w:fldChar w:fldCharType="end"/>
      </w:r>
    </w:p>
    <w:p w14:paraId="25FF41A6">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"Xa752c89b169e71c539992c4d9fe92eaea5aec9c" \h </w:instrText>
      </w:r>
      <w:r>
        <w:rPr>
          <w:rFonts w:hint="eastAsia" w:ascii="宋体" w:hAnsi="宋体" w:eastAsia="宋体" w:cs="宋体"/>
        </w:rPr>
        <w:fldChar w:fldCharType="separate"/>
      </w:r>
      <w:r>
        <w:rPr>
          <w:rStyle w:val="20"/>
          <w:rFonts w:hint="eastAsia" w:ascii="宋体" w:hAnsi="宋体" w:eastAsia="宋体" w:cs="宋体"/>
        </w:rPr>
        <w:t xml:space="preserve">3.1 </w:t>
      </w:r>
      <w:r>
        <w:rPr>
          <w:rStyle w:val="20"/>
          <w:rFonts w:hint="eastAsia" w:ascii="宋体" w:hAnsi="宋体" w:eastAsia="宋体" w:cs="宋体"/>
        </w:rPr>
        <w:t>关键设定</w:t>
      </w:r>
      <w:r>
        <w:rPr>
          <w:rStyle w:val="20"/>
          <w:rFonts w:hint="eastAsia" w:ascii="宋体" w:hAnsi="宋体" w:eastAsia="宋体" w:cs="宋体"/>
        </w:rPr>
        <w:fldChar w:fldCharType="end"/>
      </w:r>
    </w:p>
    <w:p w14:paraId="15E08557">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"X272c82879acd9a7448d038782b7ee9061250ad8" \h </w:instrText>
      </w:r>
      <w:r>
        <w:rPr>
          <w:rFonts w:hint="eastAsia" w:ascii="宋体" w:hAnsi="宋体" w:eastAsia="宋体" w:cs="宋体"/>
        </w:rPr>
        <w:fldChar w:fldCharType="separate"/>
      </w:r>
      <w:r>
        <w:rPr>
          <w:rStyle w:val="20"/>
          <w:rFonts w:hint="eastAsia" w:ascii="宋体" w:hAnsi="宋体" w:eastAsia="宋体" w:cs="宋体"/>
        </w:rPr>
        <w:t xml:space="preserve">3.2 </w:t>
      </w:r>
      <w:r>
        <w:rPr>
          <w:rStyle w:val="20"/>
          <w:rFonts w:hint="eastAsia" w:ascii="宋体" w:hAnsi="宋体" w:eastAsia="宋体" w:cs="宋体"/>
        </w:rPr>
        <w:t>可复现步骤</w:t>
      </w:r>
      <w:r>
        <w:rPr>
          <w:rStyle w:val="20"/>
          <w:rFonts w:hint="eastAsia" w:ascii="宋体" w:hAnsi="宋体" w:eastAsia="宋体" w:cs="宋体"/>
        </w:rPr>
        <w:fldChar w:fldCharType="end"/>
      </w:r>
    </w:p>
    <w:p w14:paraId="38821A52">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"第4章-核心结果10只股票组合" \h </w:instrText>
      </w:r>
      <w:r>
        <w:rPr>
          <w:rFonts w:hint="eastAsia" w:ascii="宋体" w:hAnsi="宋体" w:eastAsia="宋体" w:cs="宋体"/>
        </w:rPr>
        <w:fldChar w:fldCharType="separate"/>
      </w:r>
      <w:r>
        <w:rPr>
          <w:rStyle w:val="20"/>
          <w:rFonts w:hint="eastAsia" w:ascii="宋体" w:hAnsi="宋体" w:eastAsia="宋体" w:cs="宋体"/>
        </w:rPr>
        <w:t>第4章</w:t>
      </w:r>
      <w:r>
        <w:rPr>
          <w:rStyle w:val="20"/>
          <w:rFonts w:hint="eastAsia" w:ascii="宋体" w:hAnsi="宋体" w:eastAsia="宋体" w:cs="宋体"/>
        </w:rPr>
        <w:t xml:space="preserve"> </w:t>
      </w:r>
      <w:r>
        <w:rPr>
          <w:rStyle w:val="20"/>
          <w:rFonts w:hint="eastAsia" w:ascii="宋体" w:hAnsi="宋体" w:eastAsia="宋体" w:cs="宋体"/>
        </w:rPr>
        <w:t>核心结果（10只股票组合）</w:t>
      </w:r>
      <w:r>
        <w:rPr>
          <w:rStyle w:val="20"/>
          <w:rFonts w:hint="eastAsia" w:ascii="宋体" w:hAnsi="宋体" w:eastAsia="宋体" w:cs="宋体"/>
        </w:rPr>
        <w:fldChar w:fldCharType="end"/>
      </w:r>
    </w:p>
    <w:p w14:paraId="69652932">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"X13202fe5cd3c5964954126a8dc6f11ec75972b5" \h </w:instrText>
      </w:r>
      <w:r>
        <w:rPr>
          <w:rFonts w:hint="eastAsia" w:ascii="宋体" w:hAnsi="宋体" w:eastAsia="宋体" w:cs="宋体"/>
        </w:rPr>
        <w:fldChar w:fldCharType="separate"/>
      </w:r>
      <w:r>
        <w:rPr>
          <w:rStyle w:val="20"/>
          <w:rFonts w:hint="eastAsia" w:ascii="宋体" w:hAnsi="宋体" w:eastAsia="宋体" w:cs="宋体"/>
        </w:rPr>
        <w:t xml:space="preserve">4.1 </w:t>
      </w:r>
      <w:r>
        <w:rPr>
          <w:rStyle w:val="20"/>
          <w:rFonts w:hint="eastAsia" w:ascii="宋体" w:hAnsi="宋体" w:eastAsia="宋体" w:cs="宋体"/>
        </w:rPr>
        <w:t>执行摘要</w:t>
      </w:r>
      <w:r>
        <w:rPr>
          <w:rStyle w:val="20"/>
          <w:rFonts w:hint="eastAsia" w:ascii="宋体" w:hAnsi="宋体" w:eastAsia="宋体" w:cs="宋体"/>
        </w:rPr>
        <w:fldChar w:fldCharType="end"/>
      </w:r>
    </w:p>
    <w:p w14:paraId="608A0B9C">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"Xd1d951ebaf11aa3f7103c7d6f35a54395b950c8" \h </w:instrText>
      </w:r>
      <w:r>
        <w:rPr>
          <w:rFonts w:hint="eastAsia" w:ascii="宋体" w:hAnsi="宋体" w:eastAsia="宋体" w:cs="宋体"/>
        </w:rPr>
        <w:fldChar w:fldCharType="separate"/>
      </w:r>
      <w:r>
        <w:rPr>
          <w:rStyle w:val="20"/>
          <w:rFonts w:hint="eastAsia" w:ascii="宋体" w:hAnsi="宋体" w:eastAsia="宋体" w:cs="宋体"/>
        </w:rPr>
        <w:t xml:space="preserve">4.2 </w:t>
      </w:r>
      <w:r>
        <w:rPr>
          <w:rStyle w:val="20"/>
          <w:rFonts w:hint="eastAsia" w:ascii="宋体" w:hAnsi="宋体" w:eastAsia="宋体" w:cs="宋体"/>
        </w:rPr>
        <w:t>绩效总表</w:t>
      </w:r>
      <w:r>
        <w:rPr>
          <w:rStyle w:val="20"/>
          <w:rFonts w:hint="eastAsia" w:ascii="宋体" w:hAnsi="宋体" w:eastAsia="宋体" w:cs="宋体"/>
        </w:rPr>
        <w:fldChar w:fldCharType="end"/>
      </w:r>
    </w:p>
    <w:p w14:paraId="4872A11E">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"Xec04511041e4b8efd21eae3e2161794ff523647" \h </w:instrText>
      </w:r>
      <w:r>
        <w:rPr>
          <w:rFonts w:hint="eastAsia" w:ascii="宋体" w:hAnsi="宋体" w:eastAsia="宋体" w:cs="宋体"/>
        </w:rPr>
        <w:fldChar w:fldCharType="separate"/>
      </w:r>
      <w:r>
        <w:rPr>
          <w:rStyle w:val="20"/>
          <w:rFonts w:hint="eastAsia" w:ascii="宋体" w:hAnsi="宋体" w:eastAsia="宋体" w:cs="宋体"/>
        </w:rPr>
        <w:t xml:space="preserve">4.3 </w:t>
      </w:r>
      <w:r>
        <w:rPr>
          <w:rStyle w:val="20"/>
          <w:rFonts w:hint="eastAsia" w:ascii="宋体" w:hAnsi="宋体" w:eastAsia="宋体" w:cs="宋体"/>
        </w:rPr>
        <w:t>必做三图</w:t>
      </w:r>
      <w:r>
        <w:rPr>
          <w:rStyle w:val="20"/>
          <w:rFonts w:hint="eastAsia" w:ascii="宋体" w:hAnsi="宋体" w:eastAsia="宋体" w:cs="宋体"/>
        </w:rPr>
        <w:fldChar w:fldCharType="end"/>
      </w:r>
    </w:p>
    <w:p w14:paraId="79F969CB">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"第5章-细分分析" \h </w:instrText>
      </w:r>
      <w:r>
        <w:rPr>
          <w:rFonts w:hint="eastAsia" w:ascii="宋体" w:hAnsi="宋体" w:eastAsia="宋体" w:cs="宋体"/>
        </w:rPr>
        <w:fldChar w:fldCharType="separate"/>
      </w:r>
      <w:r>
        <w:rPr>
          <w:rStyle w:val="20"/>
          <w:rFonts w:hint="eastAsia" w:ascii="宋体" w:hAnsi="宋体" w:eastAsia="宋体" w:cs="宋体"/>
        </w:rPr>
        <w:t>第5章</w:t>
      </w:r>
      <w:r>
        <w:rPr>
          <w:rStyle w:val="20"/>
          <w:rFonts w:hint="eastAsia" w:ascii="宋体" w:hAnsi="宋体" w:eastAsia="宋体" w:cs="宋体"/>
        </w:rPr>
        <w:t xml:space="preserve"> </w:t>
      </w:r>
      <w:r>
        <w:rPr>
          <w:rStyle w:val="20"/>
          <w:rFonts w:hint="eastAsia" w:ascii="宋体" w:hAnsi="宋体" w:eastAsia="宋体" w:cs="宋体"/>
        </w:rPr>
        <w:t>细分分析</w:t>
      </w:r>
      <w:r>
        <w:rPr>
          <w:rStyle w:val="20"/>
          <w:rFonts w:hint="eastAsia" w:ascii="宋体" w:hAnsi="宋体" w:eastAsia="宋体" w:cs="宋体"/>
        </w:rPr>
        <w:fldChar w:fldCharType="end"/>
      </w:r>
    </w:p>
    <w:p w14:paraId="1C52F48D">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"Xad48af04896ffe67fb6ddcb8023de51d74919bc" \h </w:instrText>
      </w:r>
      <w:r>
        <w:rPr>
          <w:rFonts w:hint="eastAsia" w:ascii="宋体" w:hAnsi="宋体" w:eastAsia="宋体" w:cs="宋体"/>
        </w:rPr>
        <w:fldChar w:fldCharType="separate"/>
      </w:r>
      <w:r>
        <w:rPr>
          <w:rStyle w:val="20"/>
          <w:rFonts w:hint="eastAsia" w:ascii="宋体" w:hAnsi="宋体" w:eastAsia="宋体" w:cs="宋体"/>
        </w:rPr>
        <w:t xml:space="preserve">5.1 </w:t>
      </w:r>
      <w:r>
        <w:rPr>
          <w:rStyle w:val="20"/>
          <w:rFonts w:hint="eastAsia" w:ascii="宋体" w:hAnsi="宋体" w:eastAsia="宋体" w:cs="宋体"/>
        </w:rPr>
        <w:t>聚焦10只个股表现表</w:t>
      </w:r>
      <w:r>
        <w:rPr>
          <w:rStyle w:val="20"/>
          <w:rFonts w:hint="eastAsia" w:ascii="宋体" w:hAnsi="宋体" w:eastAsia="宋体" w:cs="宋体"/>
        </w:rPr>
        <w:fldChar w:fldCharType="end"/>
      </w:r>
    </w:p>
    <w:p w14:paraId="277DF557">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"X6f0e701446331a453b481dfc9dd7b27b3f34248" \h </w:instrText>
      </w:r>
      <w:r>
        <w:rPr>
          <w:rFonts w:hint="eastAsia" w:ascii="宋体" w:hAnsi="宋体" w:eastAsia="宋体" w:cs="宋体"/>
        </w:rPr>
        <w:fldChar w:fldCharType="separate"/>
      </w:r>
      <w:r>
        <w:rPr>
          <w:rStyle w:val="20"/>
          <w:rFonts w:hint="eastAsia" w:ascii="宋体" w:hAnsi="宋体" w:eastAsia="宋体" w:cs="宋体"/>
        </w:rPr>
        <w:t xml:space="preserve">5.2 </w:t>
      </w:r>
      <w:r>
        <w:rPr>
          <w:rStyle w:val="20"/>
          <w:rFonts w:hint="eastAsia" w:ascii="宋体" w:hAnsi="宋体" w:eastAsia="宋体" w:cs="宋体"/>
        </w:rPr>
        <w:t>贡献说明</w:t>
      </w:r>
      <w:r>
        <w:rPr>
          <w:rStyle w:val="20"/>
          <w:rFonts w:hint="eastAsia" w:ascii="宋体" w:hAnsi="宋体" w:eastAsia="宋体" w:cs="宋体"/>
        </w:rPr>
        <w:fldChar w:fldCharType="end"/>
      </w:r>
    </w:p>
    <w:p w14:paraId="04562BB4">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"Xa589a8223a7d73e3b32fb382bc0d386ad812004" \h </w:instrText>
      </w:r>
      <w:r>
        <w:rPr>
          <w:rFonts w:hint="eastAsia" w:ascii="宋体" w:hAnsi="宋体" w:eastAsia="宋体" w:cs="宋体"/>
        </w:rPr>
        <w:fldChar w:fldCharType="separate"/>
      </w:r>
      <w:r>
        <w:rPr>
          <w:rStyle w:val="20"/>
          <w:rFonts w:hint="eastAsia" w:ascii="宋体" w:hAnsi="宋体" w:eastAsia="宋体" w:cs="宋体"/>
        </w:rPr>
        <w:t xml:space="preserve">5.3 </w:t>
      </w:r>
      <w:r>
        <w:rPr>
          <w:rStyle w:val="20"/>
          <w:rFonts w:hint="eastAsia" w:ascii="宋体" w:hAnsi="宋体" w:eastAsia="宋体" w:cs="宋体"/>
        </w:rPr>
        <w:t>市场环境表现</w:t>
      </w:r>
      <w:r>
        <w:rPr>
          <w:rStyle w:val="20"/>
          <w:rFonts w:hint="eastAsia" w:ascii="宋体" w:hAnsi="宋体" w:eastAsia="宋体" w:cs="宋体"/>
        </w:rPr>
        <w:fldChar w:fldCharType="end"/>
      </w:r>
    </w:p>
    <w:p w14:paraId="18D80AB7">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"Xede7b352d3f9e474bb9a85dd643482797a4f056" \h </w:instrText>
      </w:r>
      <w:r>
        <w:rPr>
          <w:rFonts w:hint="eastAsia" w:ascii="宋体" w:hAnsi="宋体" w:eastAsia="宋体" w:cs="宋体"/>
        </w:rPr>
        <w:fldChar w:fldCharType="separate"/>
      </w:r>
      <w:r>
        <w:rPr>
          <w:rStyle w:val="20"/>
          <w:rFonts w:hint="eastAsia" w:ascii="宋体" w:hAnsi="宋体" w:eastAsia="宋体" w:cs="宋体"/>
        </w:rPr>
        <w:t xml:space="preserve">5.4 </w:t>
      </w:r>
      <w:r>
        <w:rPr>
          <w:rStyle w:val="20"/>
          <w:rFonts w:hint="eastAsia" w:ascii="宋体" w:hAnsi="宋体" w:eastAsia="宋体" w:cs="宋体"/>
        </w:rPr>
        <w:t>攻防风格分析</w:t>
      </w:r>
      <w:r>
        <w:rPr>
          <w:rStyle w:val="20"/>
          <w:rFonts w:hint="eastAsia" w:ascii="宋体" w:hAnsi="宋体" w:eastAsia="宋体" w:cs="宋体"/>
        </w:rPr>
        <w:fldChar w:fldCharType="end"/>
      </w:r>
    </w:p>
    <w:p w14:paraId="0BBA1DA5">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"第6章-结论局限与下一步" \h </w:instrText>
      </w:r>
      <w:r>
        <w:rPr>
          <w:rFonts w:hint="eastAsia" w:ascii="宋体" w:hAnsi="宋体" w:eastAsia="宋体" w:cs="宋体"/>
        </w:rPr>
        <w:fldChar w:fldCharType="separate"/>
      </w:r>
      <w:r>
        <w:rPr>
          <w:rStyle w:val="20"/>
          <w:rFonts w:hint="eastAsia" w:ascii="宋体" w:hAnsi="宋体" w:eastAsia="宋体" w:cs="宋体"/>
        </w:rPr>
        <w:t>第6章</w:t>
      </w:r>
      <w:r>
        <w:rPr>
          <w:rStyle w:val="20"/>
          <w:rFonts w:hint="eastAsia" w:ascii="宋体" w:hAnsi="宋体" w:eastAsia="宋体" w:cs="宋体"/>
        </w:rPr>
        <w:t xml:space="preserve"> </w:t>
      </w:r>
      <w:r>
        <w:rPr>
          <w:rStyle w:val="20"/>
          <w:rFonts w:hint="eastAsia" w:ascii="宋体" w:hAnsi="宋体" w:eastAsia="宋体" w:cs="宋体"/>
        </w:rPr>
        <w:t>结论、局限与下一步</w:t>
      </w:r>
      <w:r>
        <w:rPr>
          <w:rStyle w:val="20"/>
          <w:rFonts w:hint="eastAsia" w:ascii="宋体" w:hAnsi="宋体" w:eastAsia="宋体" w:cs="宋体"/>
        </w:rPr>
        <w:fldChar w:fldCharType="end"/>
      </w:r>
    </w:p>
    <w:p w14:paraId="30C60F75">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"Xd2a283907c2137648f1c85ab6bd88fd2045008a" \h </w:instrText>
      </w:r>
      <w:r>
        <w:rPr>
          <w:rFonts w:hint="eastAsia" w:ascii="宋体" w:hAnsi="宋体" w:eastAsia="宋体" w:cs="宋体"/>
        </w:rPr>
        <w:fldChar w:fldCharType="separate"/>
      </w:r>
      <w:r>
        <w:rPr>
          <w:rStyle w:val="20"/>
          <w:rFonts w:hint="eastAsia" w:ascii="宋体" w:hAnsi="宋体" w:eastAsia="宋体" w:cs="宋体"/>
        </w:rPr>
        <w:t xml:space="preserve">6.1 </w:t>
      </w:r>
      <w:r>
        <w:rPr>
          <w:rStyle w:val="20"/>
          <w:rFonts w:hint="eastAsia" w:ascii="宋体" w:hAnsi="宋体" w:eastAsia="宋体" w:cs="宋体"/>
        </w:rPr>
        <w:t>结论</w:t>
      </w:r>
      <w:r>
        <w:rPr>
          <w:rStyle w:val="20"/>
          <w:rFonts w:hint="eastAsia" w:ascii="宋体" w:hAnsi="宋体" w:eastAsia="宋体" w:cs="宋体"/>
        </w:rPr>
        <w:fldChar w:fldCharType="end"/>
      </w:r>
    </w:p>
    <w:p w14:paraId="139E6A23">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"Xe938ed5fdd4a91b114a70aef4d96553652aa127" \h </w:instrText>
      </w:r>
      <w:r>
        <w:rPr>
          <w:rFonts w:hint="eastAsia" w:ascii="宋体" w:hAnsi="宋体" w:eastAsia="宋体" w:cs="宋体"/>
        </w:rPr>
        <w:fldChar w:fldCharType="separate"/>
      </w:r>
      <w:r>
        <w:rPr>
          <w:rStyle w:val="20"/>
          <w:rFonts w:hint="eastAsia" w:ascii="宋体" w:hAnsi="宋体" w:eastAsia="宋体" w:cs="宋体"/>
        </w:rPr>
        <w:t xml:space="preserve">6.2 </w:t>
      </w:r>
      <w:r>
        <w:rPr>
          <w:rStyle w:val="20"/>
          <w:rFonts w:hint="eastAsia" w:ascii="宋体" w:hAnsi="宋体" w:eastAsia="宋体" w:cs="宋体"/>
        </w:rPr>
        <w:t>局限</w:t>
      </w:r>
      <w:r>
        <w:rPr>
          <w:rStyle w:val="20"/>
          <w:rFonts w:hint="eastAsia" w:ascii="宋体" w:hAnsi="宋体" w:eastAsia="宋体" w:cs="宋体"/>
        </w:rPr>
        <w:fldChar w:fldCharType="end"/>
      </w:r>
    </w:p>
    <w:p w14:paraId="43627C20">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"Xc236f2b88af695dbf9ed58b4aeacff8c5a0665a" \h </w:instrText>
      </w:r>
      <w:r>
        <w:rPr>
          <w:rFonts w:hint="eastAsia" w:ascii="宋体" w:hAnsi="宋体" w:eastAsia="宋体" w:cs="宋体"/>
        </w:rPr>
        <w:fldChar w:fldCharType="separate"/>
      </w:r>
      <w:r>
        <w:rPr>
          <w:rStyle w:val="20"/>
          <w:rFonts w:hint="eastAsia" w:ascii="宋体" w:hAnsi="宋体" w:eastAsia="宋体" w:cs="宋体"/>
        </w:rPr>
        <w:t xml:space="preserve">6.3 </w:t>
      </w:r>
      <w:r>
        <w:rPr>
          <w:rStyle w:val="20"/>
          <w:rFonts w:hint="eastAsia" w:ascii="宋体" w:hAnsi="宋体" w:eastAsia="宋体" w:cs="宋体"/>
        </w:rPr>
        <w:t>下一步</w:t>
      </w:r>
      <w:r>
        <w:rPr>
          <w:rStyle w:val="20"/>
          <w:rFonts w:hint="eastAsia" w:ascii="宋体" w:hAnsi="宋体" w:eastAsia="宋体" w:cs="宋体"/>
        </w:rPr>
        <w:fldChar w:fldCharType="end"/>
      </w:r>
    </w:p>
    <w:p w14:paraId="3098506E">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"参考文献" \h </w:instrText>
      </w:r>
      <w:r>
        <w:rPr>
          <w:rFonts w:hint="eastAsia" w:ascii="宋体" w:hAnsi="宋体" w:eastAsia="宋体" w:cs="宋体"/>
        </w:rPr>
        <w:fldChar w:fldCharType="separate"/>
      </w:r>
      <w:r>
        <w:rPr>
          <w:rStyle w:val="20"/>
          <w:rFonts w:hint="eastAsia" w:ascii="宋体" w:hAnsi="宋体" w:eastAsia="宋体" w:cs="宋体"/>
        </w:rPr>
        <w:t>参考文献</w:t>
      </w:r>
      <w:r>
        <w:rPr>
          <w:rStyle w:val="20"/>
          <w:rFonts w:hint="eastAsia" w:ascii="宋体" w:hAnsi="宋体" w:eastAsia="宋体" w:cs="宋体"/>
        </w:rPr>
        <w:fldChar w:fldCharType="end"/>
      </w:r>
    </w:p>
    <w:p w14:paraId="71C96CBD">
      <w:pPr>
        <w:pStyle w:val="24"/>
        <w:numPr>
          <w:ilvl w:val="0"/>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"附录" \h </w:instrText>
      </w:r>
      <w:r>
        <w:rPr>
          <w:rFonts w:hint="eastAsia" w:ascii="宋体" w:hAnsi="宋体" w:eastAsia="宋体" w:cs="宋体"/>
        </w:rPr>
        <w:fldChar w:fldCharType="separate"/>
      </w:r>
      <w:r>
        <w:rPr>
          <w:rStyle w:val="20"/>
          <w:rFonts w:hint="eastAsia" w:ascii="宋体" w:hAnsi="宋体" w:eastAsia="宋体" w:cs="宋体"/>
        </w:rPr>
        <w:t>附录</w:t>
      </w:r>
      <w:r>
        <w:rPr>
          <w:rStyle w:val="20"/>
          <w:rFonts w:hint="eastAsia" w:ascii="宋体" w:hAnsi="宋体" w:eastAsia="宋体" w:cs="宋体"/>
        </w:rPr>
        <w:fldChar w:fldCharType="end"/>
      </w:r>
    </w:p>
    <w:p w14:paraId="1413F429">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"附录a20只股票完整列表与数据文件" \h </w:instrText>
      </w:r>
      <w:r>
        <w:rPr>
          <w:rFonts w:hint="eastAsia" w:ascii="宋体" w:hAnsi="宋体" w:eastAsia="宋体" w:cs="宋体"/>
        </w:rPr>
        <w:fldChar w:fldCharType="separate"/>
      </w:r>
      <w:r>
        <w:rPr>
          <w:rStyle w:val="20"/>
          <w:rFonts w:hint="eastAsia" w:ascii="宋体" w:hAnsi="宋体" w:eastAsia="宋体" w:cs="宋体"/>
        </w:rPr>
        <w:t>附录A：20只股票完整列表与数据文件</w:t>
      </w:r>
      <w:r>
        <w:rPr>
          <w:rStyle w:val="20"/>
          <w:rFonts w:hint="eastAsia" w:ascii="宋体" w:hAnsi="宋体" w:eastAsia="宋体" w:cs="宋体"/>
        </w:rPr>
        <w:fldChar w:fldCharType="end"/>
      </w:r>
    </w:p>
    <w:p w14:paraId="03F8381E">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"附录bcsv字段与文件路径见22和23" \h </w:instrText>
      </w:r>
      <w:r>
        <w:rPr>
          <w:rFonts w:hint="eastAsia" w:ascii="宋体" w:hAnsi="宋体" w:eastAsia="宋体" w:cs="宋体"/>
        </w:rPr>
        <w:fldChar w:fldCharType="separate"/>
      </w:r>
      <w:r>
        <w:rPr>
          <w:rStyle w:val="20"/>
          <w:rFonts w:hint="eastAsia" w:ascii="宋体" w:hAnsi="宋体" w:eastAsia="宋体" w:cs="宋体"/>
        </w:rPr>
        <w:t>附录B：CSV字段与文件路径</w:t>
      </w:r>
      <w:r>
        <w:rPr>
          <w:rStyle w:val="20"/>
          <w:rFonts w:hint="eastAsia" w:ascii="宋体" w:hAnsi="宋体" w:eastAsia="宋体" w:cs="宋体"/>
        </w:rPr>
        <w:fldChar w:fldCharType="end"/>
      </w:r>
    </w:p>
    <w:p w14:paraId="106288F0">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"附录c完整指标表补充" \h </w:instrText>
      </w:r>
      <w:r>
        <w:rPr>
          <w:rFonts w:hint="eastAsia" w:ascii="宋体" w:hAnsi="宋体" w:eastAsia="宋体" w:cs="宋体"/>
        </w:rPr>
        <w:fldChar w:fldCharType="separate"/>
      </w:r>
      <w:r>
        <w:rPr>
          <w:rStyle w:val="20"/>
          <w:rFonts w:hint="eastAsia" w:ascii="宋体" w:hAnsi="宋体" w:eastAsia="宋体" w:cs="宋体"/>
        </w:rPr>
        <w:t>附录C：完整指标表</w:t>
      </w:r>
      <w:r>
        <w:rPr>
          <w:rStyle w:val="20"/>
          <w:rFonts w:hint="eastAsia" w:ascii="宋体" w:hAnsi="宋体" w:eastAsia="宋体" w:cs="宋体"/>
        </w:rPr>
        <w:fldChar w:fldCharType="end"/>
      </w:r>
    </w:p>
    <w:p w14:paraId="40BD7544">
      <w:pPr>
        <w:pStyle w:val="24"/>
        <w:numPr>
          <w:ilvl w:val="1"/>
          <w:numId w:val="1"/>
        </w:num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"附录d计算代码notebook路径" \h </w:instrText>
      </w:r>
      <w:r>
        <w:rPr>
          <w:rFonts w:hint="eastAsia" w:ascii="宋体" w:hAnsi="宋体" w:eastAsia="宋体" w:cs="宋体"/>
        </w:rPr>
        <w:fldChar w:fldCharType="separate"/>
      </w:r>
      <w:r>
        <w:rPr>
          <w:rStyle w:val="20"/>
          <w:rFonts w:hint="eastAsia" w:ascii="宋体" w:hAnsi="宋体" w:eastAsia="宋体" w:cs="宋体"/>
        </w:rPr>
        <w:t>附录D：计算代码</w:t>
      </w:r>
      <w:r>
        <w:rPr>
          <w:rStyle w:val="20"/>
          <w:rFonts w:hint="eastAsia" w:ascii="宋体" w:hAnsi="宋体" w:eastAsia="宋体" w:cs="宋体"/>
        </w:rPr>
        <w:fldChar w:fldCharType="end"/>
      </w:r>
    </w:p>
    <w:p w14:paraId="70226943">
      <w:pPr>
        <w:rPr>
          <w:rFonts w:hint="eastAsia" w:ascii="宋体" w:hAnsi="宋体" w:eastAsia="宋体" w:cs="宋体"/>
        </w:rPr>
      </w:pPr>
      <w:r>
        <w:rPr>
          <w:rFonts w:hint="eastAsia" w:ascii="宋体" w:hAnsi="宋体" w:eastAsia="宋体" w:cs="宋体"/>
        </w:rPr>
        <w:pict>
          <v:rect id="_x0000_i1025" o:spt="1" style="height:1.5pt;width:0pt;" coordsize="21600,21600" o:hr="t" o:hrstd="t" o:hralign="center">
            <v:path/>
            <v:fill focussize="0,0"/>
            <v:stroke/>
            <v:imagedata o:title=""/>
            <o:lock v:ext="edit"/>
            <w10:wrap type="none"/>
            <w10:anchorlock/>
          </v:rect>
        </w:pict>
      </w:r>
    </w:p>
    <w:bookmarkEnd w:id="0"/>
    <w:p w14:paraId="1939439C">
      <w:pPr>
        <w:pStyle w:val="2"/>
        <w:rPr>
          <w:rFonts w:hint="eastAsia" w:ascii="宋体" w:hAnsi="宋体" w:eastAsia="宋体" w:cs="宋体"/>
          <w:sz w:val="24"/>
          <w:szCs w:val="24"/>
        </w:rPr>
      </w:pPr>
      <w:bookmarkStart w:id="1" w:name="第1章-研究问题与目标"/>
      <w:r>
        <w:rPr>
          <w:rFonts w:hint="eastAsia" w:ascii="宋体" w:hAnsi="宋体" w:eastAsia="宋体" w:cs="宋体"/>
          <w:sz w:val="24"/>
          <w:szCs w:val="24"/>
        </w:rPr>
        <w:t>第1章</w:t>
      </w:r>
      <w:r>
        <w:rPr>
          <w:rFonts w:hint="eastAsia" w:ascii="宋体" w:hAnsi="宋体" w:eastAsia="宋体" w:cs="宋体"/>
          <w:sz w:val="24"/>
          <w:szCs w:val="24"/>
        </w:rPr>
        <w:t xml:space="preserve"> </w:t>
      </w:r>
      <w:r>
        <w:rPr>
          <w:rFonts w:hint="eastAsia" w:ascii="宋体" w:hAnsi="宋体" w:eastAsia="宋体" w:cs="宋体"/>
          <w:sz w:val="24"/>
          <w:szCs w:val="24"/>
        </w:rPr>
        <w:t>研究问题与目标</w:t>
      </w:r>
    </w:p>
    <w:p w14:paraId="0AAB79C9">
      <w:pPr>
        <w:pStyle w:val="4"/>
        <w:rPr>
          <w:rFonts w:hint="eastAsia" w:ascii="宋体" w:hAnsi="宋体" w:eastAsia="宋体" w:cs="宋体"/>
          <w:sz w:val="24"/>
          <w:szCs w:val="24"/>
        </w:rPr>
      </w:pPr>
      <w:bookmarkStart w:id="2" w:name="研究问题"/>
      <w:r>
        <w:rPr>
          <w:rFonts w:hint="eastAsia" w:ascii="宋体" w:hAnsi="宋体" w:eastAsia="宋体" w:cs="宋体"/>
          <w:sz w:val="24"/>
          <w:szCs w:val="24"/>
        </w:rPr>
        <w:t xml:space="preserve">1.1 </w:t>
      </w:r>
      <w:r>
        <w:rPr>
          <w:rFonts w:hint="eastAsia" w:ascii="宋体" w:hAnsi="宋体" w:eastAsia="宋体" w:cs="宋体"/>
          <w:sz w:val="24"/>
          <w:szCs w:val="24"/>
        </w:rPr>
        <w:t>研究问题</w:t>
      </w:r>
    </w:p>
    <w:p w14:paraId="3057C309">
      <w:pPr>
        <w:pStyle w:val="23"/>
        <w:rPr>
          <w:rFonts w:hint="eastAsia" w:ascii="宋体" w:hAnsi="宋体" w:eastAsia="宋体" w:cs="宋体"/>
          <w:sz w:val="24"/>
          <w:szCs w:val="24"/>
        </w:rPr>
      </w:pPr>
      <w:r>
        <w:rPr>
          <w:rFonts w:hint="eastAsia" w:ascii="宋体" w:hAnsi="宋体" w:eastAsia="宋体" w:cs="宋体"/>
          <w:b/>
          <w:bCs/>
          <w:sz w:val="24"/>
          <w:szCs w:val="24"/>
        </w:rPr>
        <w:t>在</w:t>
      </w:r>
      <w:r>
        <w:rPr>
          <w:rFonts w:hint="eastAsia" w:ascii="宋体" w:hAnsi="宋体" w:eastAsia="宋体" w:cs="宋体"/>
          <w:b/>
          <w:bCs/>
          <w:sz w:val="24"/>
          <w:szCs w:val="24"/>
        </w:rPr>
        <w:t xml:space="preserve"> 2024-07-19 </w:t>
      </w:r>
      <w:r>
        <w:rPr>
          <w:rFonts w:hint="eastAsia" w:ascii="宋体" w:hAnsi="宋体" w:eastAsia="宋体" w:cs="宋体"/>
          <w:b/>
          <w:bCs/>
          <w:sz w:val="24"/>
          <w:szCs w:val="24"/>
        </w:rPr>
        <w:t>至</w:t>
      </w:r>
      <w:r>
        <w:rPr>
          <w:rFonts w:hint="eastAsia" w:ascii="宋体" w:hAnsi="宋体" w:eastAsia="宋体" w:cs="宋体"/>
          <w:b/>
          <w:bCs/>
          <w:sz w:val="24"/>
          <w:szCs w:val="24"/>
        </w:rPr>
        <w:t xml:space="preserve"> 2026-07-21 </w:t>
      </w:r>
      <w:r>
        <w:rPr>
          <w:rFonts w:hint="eastAsia" w:ascii="宋体" w:hAnsi="宋体" w:eastAsia="宋体" w:cs="宋体"/>
          <w:b/>
          <w:bCs/>
          <w:sz w:val="24"/>
          <w:szCs w:val="24"/>
        </w:rPr>
        <w:t>期间，基于</w:t>
      </w:r>
      <w:r>
        <w:rPr>
          <w:rFonts w:hint="eastAsia" w:ascii="宋体" w:hAnsi="宋体" w:eastAsia="宋体" w:cs="宋体"/>
          <w:b/>
          <w:bCs/>
          <w:sz w:val="24"/>
          <w:szCs w:val="24"/>
        </w:rPr>
        <w:t xml:space="preserve"> Value + Quality + Momentum </w:t>
      </w:r>
      <w:r>
        <w:rPr>
          <w:rFonts w:hint="eastAsia" w:ascii="宋体" w:hAnsi="宋体" w:eastAsia="宋体" w:cs="宋体"/>
          <w:b/>
          <w:bCs/>
          <w:sz w:val="24"/>
          <w:szCs w:val="24"/>
        </w:rPr>
        <w:t>三因子模型</w:t>
      </w:r>
      <w:r>
        <w:rPr>
          <w:rFonts w:hint="eastAsia" w:ascii="宋体" w:hAnsi="宋体" w:eastAsia="宋体" w:cs="宋体"/>
          <w:b/>
          <w:bCs/>
          <w:sz w:val="24"/>
          <w:szCs w:val="24"/>
        </w:rPr>
        <w:t xml:space="preserve"> (Fama &amp; French, 1993; Carhart, 1997) </w:t>
      </w:r>
      <w:r>
        <w:rPr>
          <w:rFonts w:hint="eastAsia" w:ascii="宋体" w:hAnsi="宋体" w:eastAsia="宋体" w:cs="宋体"/>
          <w:b/>
          <w:bCs/>
          <w:sz w:val="24"/>
          <w:szCs w:val="24"/>
        </w:rPr>
        <w:t>从</w:t>
      </w:r>
      <w:r>
        <w:rPr>
          <w:rFonts w:hint="eastAsia" w:ascii="宋体" w:hAnsi="宋体" w:eastAsia="宋体" w:cs="宋体"/>
          <w:b/>
          <w:bCs/>
          <w:sz w:val="24"/>
          <w:szCs w:val="24"/>
        </w:rPr>
        <w:t xml:space="preserve"> 20 </w:t>
      </w:r>
      <w:r>
        <w:rPr>
          <w:rFonts w:hint="eastAsia" w:ascii="宋体" w:hAnsi="宋体" w:eastAsia="宋体" w:cs="宋体"/>
          <w:b/>
          <w:bCs/>
          <w:sz w:val="24"/>
          <w:szCs w:val="24"/>
        </w:rPr>
        <w:t>只股票中月度选股构建的组合，其风险收益特征如何？是否跑赢同期沪深</w:t>
      </w:r>
      <w:r>
        <w:rPr>
          <w:rFonts w:hint="eastAsia" w:ascii="宋体" w:hAnsi="宋体" w:eastAsia="宋体" w:cs="宋体"/>
          <w:b/>
          <w:bCs/>
          <w:sz w:val="24"/>
          <w:szCs w:val="24"/>
        </w:rPr>
        <w:t xml:space="preserve"> 300 </w:t>
      </w:r>
      <w:r>
        <w:rPr>
          <w:rFonts w:hint="eastAsia" w:ascii="宋体" w:hAnsi="宋体" w:eastAsia="宋体" w:cs="宋体"/>
          <w:b/>
          <w:bCs/>
          <w:sz w:val="24"/>
          <w:szCs w:val="24"/>
        </w:rPr>
        <w:t>指数？</w:t>
      </w:r>
    </w:p>
    <w:bookmarkEnd w:id="2"/>
    <w:p w14:paraId="7AE77D5E">
      <w:pPr>
        <w:pStyle w:val="4"/>
        <w:rPr>
          <w:rFonts w:hint="eastAsia" w:ascii="宋体" w:hAnsi="宋体" w:eastAsia="宋体" w:cs="宋体"/>
          <w:sz w:val="24"/>
          <w:szCs w:val="24"/>
        </w:rPr>
      </w:pPr>
      <w:bookmarkStart w:id="3" w:name="事先设定的成功标准"/>
      <w:r>
        <w:rPr>
          <w:rFonts w:hint="eastAsia" w:ascii="宋体" w:hAnsi="宋体" w:eastAsia="宋体" w:cs="宋体"/>
          <w:sz w:val="24"/>
          <w:szCs w:val="24"/>
        </w:rPr>
        <w:t xml:space="preserve">1.2 </w:t>
      </w:r>
      <w:r>
        <w:rPr>
          <w:rFonts w:hint="eastAsia" w:ascii="宋体" w:hAnsi="宋体" w:eastAsia="宋体" w:cs="宋体"/>
          <w:sz w:val="24"/>
          <w:szCs w:val="24"/>
        </w:rPr>
        <w:t>事先设定的成功标准</w:t>
      </w:r>
    </w:p>
    <w:p w14:paraId="7483119B">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区间累计收益率</w:t>
      </w:r>
      <w:r>
        <w:rPr>
          <w:rFonts w:hint="eastAsia" w:ascii="宋体" w:hAnsi="宋体" w:eastAsia="宋体" w:cs="宋体"/>
          <w:sz w:val="24"/>
          <w:szCs w:val="24"/>
        </w:rPr>
        <w:t xml:space="preserve"> </w:t>
      </w:r>
      <w:r>
        <w:rPr>
          <w:rFonts w:hint="eastAsia" w:ascii="宋体" w:hAnsi="宋体" w:eastAsia="宋体" w:cs="宋体"/>
          <w:b/>
          <w:bCs/>
          <w:sz w:val="24"/>
          <w:szCs w:val="24"/>
        </w:rPr>
        <w:t>≥ 0</w:t>
      </w:r>
      <w:r>
        <w:rPr>
          <w:rFonts w:hint="eastAsia" w:ascii="宋体" w:hAnsi="宋体" w:eastAsia="宋体" w:cs="宋体"/>
          <w:sz w:val="24"/>
          <w:szCs w:val="24"/>
        </w:rPr>
        <w:t>（绝对收益）</w:t>
      </w:r>
    </w:p>
    <w:p w14:paraId="7537E58E">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区间超额收益率（组合</w:t>
      </w:r>
      <w:r>
        <w:rPr>
          <w:rFonts w:hint="eastAsia" w:ascii="宋体" w:hAnsi="宋体" w:eastAsia="宋体" w:cs="宋体"/>
          <w:sz w:val="24"/>
          <w:szCs w:val="24"/>
        </w:rPr>
        <w:t xml:space="preserve"> vs </w:t>
      </w:r>
      <w:r>
        <w:rPr>
          <w:rFonts w:hint="eastAsia" w:ascii="宋体" w:hAnsi="宋体" w:eastAsia="宋体" w:cs="宋体"/>
          <w:sz w:val="24"/>
          <w:szCs w:val="24"/>
        </w:rPr>
        <w:t>沪深300）</w:t>
      </w:r>
      <w:r>
        <w:rPr>
          <w:rFonts w:hint="eastAsia" w:ascii="宋体" w:hAnsi="宋体" w:eastAsia="宋体" w:cs="宋体"/>
          <w:b/>
          <w:bCs/>
          <w:sz w:val="24"/>
          <w:szCs w:val="24"/>
        </w:rPr>
        <w:t>≥ 0</w:t>
      </w:r>
    </w:p>
    <w:p w14:paraId="07A2DF49">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最大回撤</w:t>
      </w:r>
      <w:r>
        <w:rPr>
          <w:rFonts w:hint="eastAsia" w:ascii="宋体" w:hAnsi="宋体" w:eastAsia="宋体" w:cs="宋体"/>
          <w:sz w:val="24"/>
          <w:szCs w:val="24"/>
        </w:rPr>
        <w:t xml:space="preserve"> </w:t>
      </w:r>
      <w:r>
        <w:rPr>
          <w:rFonts w:hint="eastAsia" w:ascii="宋体" w:hAnsi="宋体" w:eastAsia="宋体" w:cs="宋体"/>
          <w:b/>
          <w:bCs/>
          <w:sz w:val="24"/>
          <w:szCs w:val="24"/>
        </w:rPr>
        <w:t>≤ 15%</w:t>
      </w:r>
      <w:r>
        <w:rPr>
          <w:rFonts w:hint="eastAsia" w:ascii="宋体" w:hAnsi="宋体" w:eastAsia="宋体" w:cs="宋体"/>
          <w:sz w:val="24"/>
          <w:szCs w:val="24"/>
        </w:rPr>
        <w:t>（风险控制目标）</w:t>
      </w:r>
    </w:p>
    <w:bookmarkEnd w:id="3"/>
    <w:p w14:paraId="48223BD0">
      <w:pPr>
        <w:pStyle w:val="4"/>
        <w:rPr>
          <w:rFonts w:hint="eastAsia" w:ascii="宋体" w:hAnsi="宋体" w:eastAsia="宋体" w:cs="宋体"/>
          <w:sz w:val="24"/>
          <w:szCs w:val="24"/>
        </w:rPr>
      </w:pPr>
      <w:bookmarkStart w:id="4" w:name="本次明确不做的事项"/>
      <w:r>
        <w:rPr>
          <w:rFonts w:hint="eastAsia" w:ascii="宋体" w:hAnsi="宋体" w:eastAsia="宋体" w:cs="宋体"/>
          <w:sz w:val="24"/>
          <w:szCs w:val="24"/>
        </w:rPr>
        <w:t xml:space="preserve">1.3 </w:t>
      </w:r>
      <w:r>
        <w:rPr>
          <w:rFonts w:hint="eastAsia" w:ascii="宋体" w:hAnsi="宋体" w:eastAsia="宋体" w:cs="宋体"/>
          <w:sz w:val="24"/>
          <w:szCs w:val="24"/>
        </w:rPr>
        <w:t>本次明确不做的事项</w:t>
      </w:r>
    </w:p>
    <w:p w14:paraId="72E4B631">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不进行实盘交易</w:t>
      </w:r>
    </w:p>
    <w:p w14:paraId="71E19C3B">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不考虑冲击成本、滑点、税费</w:t>
      </w:r>
    </w:p>
    <w:p w14:paraId="5FD9DDEE">
      <w:pPr>
        <w:pStyle w:val="24"/>
        <w:numPr>
          <w:ilvl w:val="0"/>
          <w:numId w:val="1"/>
        </w:numPr>
        <w:rPr>
          <w:rFonts w:hint="eastAsia" w:ascii="宋体" w:hAnsi="宋体" w:eastAsia="宋体" w:cs="宋体"/>
          <w:sz w:val="24"/>
          <w:szCs w:val="24"/>
        </w:rPr>
      </w:pPr>
      <w:r>
        <w:rPr>
          <w:rFonts w:hint="eastAsia" w:ascii="宋体" w:hAnsi="宋体" w:eastAsia="宋体" w:cs="宋体"/>
          <w:sz w:val="24"/>
          <w:szCs w:val="24"/>
        </w:rPr>
        <w:t>不做高频交易，仅月度调仓</w:t>
      </w:r>
    </w:p>
    <w:bookmarkEnd w:id="1"/>
    <w:bookmarkEnd w:id="4"/>
    <w:p w14:paraId="52EA8F77">
      <w:pPr>
        <w:pStyle w:val="2"/>
        <w:rPr>
          <w:rFonts w:hint="eastAsia" w:ascii="宋体" w:hAnsi="宋体" w:eastAsia="宋体" w:cs="宋体"/>
          <w:sz w:val="24"/>
          <w:szCs w:val="24"/>
        </w:rPr>
      </w:pPr>
      <w:bookmarkStart w:id="5" w:name="第2章-数据说明"/>
      <w:r>
        <w:rPr>
          <w:rFonts w:hint="eastAsia" w:ascii="宋体" w:hAnsi="宋体" w:eastAsia="宋体" w:cs="宋体"/>
          <w:sz w:val="24"/>
          <w:szCs w:val="24"/>
        </w:rPr>
        <w:t>第2章</w:t>
      </w:r>
      <w:r>
        <w:rPr>
          <w:rFonts w:hint="eastAsia" w:ascii="宋体" w:hAnsi="宋体" w:eastAsia="宋体" w:cs="宋体"/>
          <w:sz w:val="24"/>
          <w:szCs w:val="24"/>
        </w:rPr>
        <w:t xml:space="preserve"> </w:t>
      </w:r>
      <w:r>
        <w:rPr>
          <w:rFonts w:hint="eastAsia" w:ascii="宋体" w:hAnsi="宋体" w:eastAsia="宋体" w:cs="宋体"/>
          <w:sz w:val="24"/>
          <w:szCs w:val="24"/>
        </w:rPr>
        <w:t>数据说明</w:t>
      </w:r>
    </w:p>
    <w:p w14:paraId="5F08107F">
      <w:pPr>
        <w:pStyle w:val="4"/>
        <w:rPr>
          <w:rFonts w:hint="eastAsia" w:ascii="宋体" w:hAnsi="宋体" w:eastAsia="宋体" w:cs="宋体"/>
          <w:sz w:val="24"/>
          <w:szCs w:val="24"/>
        </w:rPr>
      </w:pPr>
      <w:bookmarkStart w:id="6" w:name="股票池20只与聚焦10只"/>
      <w:r>
        <w:rPr>
          <w:rFonts w:hint="eastAsia" w:ascii="宋体" w:hAnsi="宋体" w:eastAsia="宋体" w:cs="宋体"/>
          <w:sz w:val="24"/>
          <w:szCs w:val="24"/>
        </w:rPr>
        <w:t xml:space="preserve">2.1 </w:t>
      </w:r>
      <w:r>
        <w:rPr>
          <w:rFonts w:hint="eastAsia" w:ascii="宋体" w:hAnsi="宋体" w:eastAsia="宋体" w:cs="宋体"/>
          <w:sz w:val="24"/>
          <w:szCs w:val="24"/>
        </w:rPr>
        <w:t>股票池（20只）与聚焦10只</w:t>
      </w:r>
    </w:p>
    <w:p w14:paraId="2A337939">
      <w:pPr>
        <w:pStyle w:val="23"/>
        <w:rPr>
          <w:rFonts w:hint="eastAsia" w:ascii="宋体" w:hAnsi="宋体" w:eastAsia="宋体" w:cs="宋体"/>
          <w:sz w:val="24"/>
          <w:szCs w:val="24"/>
        </w:rPr>
      </w:pPr>
      <w:r>
        <w:rPr>
          <w:rFonts w:hint="eastAsia" w:ascii="宋体" w:hAnsi="宋体" w:eastAsia="宋体" w:cs="宋体"/>
          <w:sz w:val="24"/>
          <w:szCs w:val="24"/>
        </w:rPr>
        <w:t>本报告按“科技进攻+传统行业防守+etf保底”的原则筛选出</w:t>
      </w:r>
      <w:r>
        <w:rPr>
          <w:rFonts w:hint="eastAsia" w:ascii="宋体" w:hAnsi="宋体" w:eastAsia="宋体" w:cs="宋体"/>
          <w:sz w:val="24"/>
          <w:szCs w:val="24"/>
        </w:rPr>
        <w:t xml:space="preserve"> 20 </w:t>
      </w:r>
      <w:r>
        <w:rPr>
          <w:rFonts w:hint="eastAsia" w:ascii="宋体" w:hAnsi="宋体" w:eastAsia="宋体" w:cs="宋体"/>
          <w:sz w:val="24"/>
          <w:szCs w:val="24"/>
        </w:rPr>
        <w:t>只作为初始股票池。下表列出全部</w:t>
      </w:r>
      <w:r>
        <w:rPr>
          <w:rFonts w:hint="eastAsia" w:ascii="宋体" w:hAnsi="宋体" w:eastAsia="宋体" w:cs="宋体"/>
          <w:sz w:val="24"/>
          <w:szCs w:val="24"/>
        </w:rPr>
        <w:t xml:space="preserve"> 20 </w:t>
      </w:r>
      <w:r>
        <w:rPr>
          <w:rFonts w:hint="eastAsia" w:ascii="宋体" w:hAnsi="宋体" w:eastAsia="宋体" w:cs="宋体"/>
          <w:sz w:val="24"/>
          <w:szCs w:val="24"/>
        </w:rPr>
        <w:t>只股票的基本面入选理由，以及</w:t>
      </w:r>
      <w:r>
        <w:rPr>
          <w:rFonts w:hint="eastAsia" w:ascii="宋体" w:hAnsi="宋体" w:eastAsia="宋体" w:cs="宋体"/>
          <w:sz w:val="24"/>
          <w:szCs w:val="24"/>
        </w:rPr>
        <w:t xml:space="preserve"> VQM </w:t>
      </w:r>
      <w:r>
        <w:rPr>
          <w:rFonts w:hint="eastAsia" w:ascii="宋体" w:hAnsi="宋体" w:eastAsia="宋体" w:cs="宋体"/>
          <w:sz w:val="24"/>
          <w:szCs w:val="24"/>
        </w:rPr>
        <w:t>三因子策略在</w:t>
      </w:r>
      <w:r>
        <w:rPr>
          <w:rFonts w:hint="eastAsia" w:ascii="宋体" w:hAnsi="宋体" w:eastAsia="宋体" w:cs="宋体"/>
          <w:sz w:val="24"/>
          <w:szCs w:val="24"/>
        </w:rPr>
        <w:t xml:space="preserve"> 19 </w:t>
      </w:r>
      <w:r>
        <w:rPr>
          <w:rFonts w:hint="eastAsia" w:ascii="宋体" w:hAnsi="宋体" w:eastAsia="宋体" w:cs="宋体"/>
          <w:sz w:val="24"/>
          <w:szCs w:val="24"/>
        </w:rPr>
        <w:t>个调仓月（2025-01</w:t>
      </w:r>
      <w:r>
        <w:rPr>
          <w:rFonts w:hint="eastAsia" w:ascii="宋体" w:hAnsi="宋体" w:eastAsia="宋体" w:cs="宋体"/>
          <w:sz w:val="24"/>
          <w:szCs w:val="24"/>
        </w:rPr>
        <w:t xml:space="preserve"> ~ </w:t>
      </w:r>
      <w:r>
        <w:rPr>
          <w:rFonts w:hint="eastAsia" w:ascii="宋体" w:hAnsi="宋体" w:eastAsia="宋体" w:cs="宋体"/>
          <w:sz w:val="24"/>
          <w:szCs w:val="24"/>
        </w:rPr>
        <w:t>2026-07）中的实际动态入选次数。“是否进入10只”一列标注的是策略运行前人工预设的聚焦名单，“VQM入选次数”则反映策略实际动态选股的结果——两者对比可以直观看到模型选股与主观判断的差异。</w:t>
      </w:r>
    </w:p>
    <w:p w14:paraId="6E5CA651">
      <w:pPr>
        <w:pStyle w:val="3"/>
        <w:rPr>
          <w:rFonts w:hint="eastAsia" w:ascii="宋体" w:hAnsi="宋体" w:eastAsia="宋体" w:cs="宋体"/>
          <w:sz w:val="24"/>
          <w:szCs w:val="24"/>
        </w:rPr>
      </w:pPr>
    </w:p>
    <w:p w14:paraId="4E90C9E1">
      <w:pPr>
        <w:pStyle w:val="5"/>
        <w:jc w:val="center"/>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0只股票</w:t>
      </w:r>
      <w:r>
        <w:rPr>
          <w:rFonts w:hint="eastAsia" w:ascii="宋体" w:hAnsi="宋体" w:eastAsia="宋体" w:cs="宋体"/>
          <w:sz w:val="24"/>
          <w:szCs w:val="24"/>
          <w:lang w:val="en-US" w:eastAsia="zh-CN"/>
        </w:rPr>
        <w:t>池</w:t>
      </w:r>
      <w:bookmarkStart w:id="46" w:name="_GoBack"/>
      <w:bookmarkEnd w:id="46"/>
    </w:p>
    <w:tbl>
      <w:tblPr>
        <w:tblStyle w:val="41"/>
        <w:tblW w:w="0" w:type="auto"/>
        <w:tblInd w:w="0" w:type="dxa"/>
        <w:tblLayout w:type="autofit"/>
        <w:tblCellMar>
          <w:top w:w="0" w:type="dxa"/>
          <w:left w:w="108" w:type="dxa"/>
          <w:bottom w:w="0" w:type="dxa"/>
          <w:right w:w="108" w:type="dxa"/>
        </w:tblCellMar>
      </w:tblPr>
      <w:tblGrid>
        <w:gridCol w:w="513"/>
        <w:gridCol w:w="936"/>
        <w:gridCol w:w="1244"/>
        <w:gridCol w:w="1797"/>
        <w:gridCol w:w="2535"/>
        <w:gridCol w:w="823"/>
        <w:gridCol w:w="1008"/>
      </w:tblGrid>
      <w:tr w14:paraId="68227102">
        <w:trPr>
          <w:tblHeader/>
        </w:trPr>
        <w:tc>
          <w:tcPr>
            <w:tcBorders>
              <w:top w:val="single" w:color="000000" w:sz="12" w:space="0"/>
              <w:left w:val="nil"/>
              <w:bottom w:val="single" w:color="000000" w:sz="4" w:space="0"/>
              <w:right w:val="nil"/>
              <w:tl2br w:val="nil"/>
            </w:tcBorders>
            <w:shd w:val="clear" w:color="auto" w:fill="FFFFFF"/>
          </w:tcPr>
          <w:p w14:paraId="3A7FC64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序号</w:t>
            </w:r>
          </w:p>
        </w:tc>
        <w:tc>
          <w:tcPr>
            <w:tcBorders>
              <w:top w:val="single" w:color="000000" w:sz="12" w:space="0"/>
              <w:left w:val="nil"/>
              <w:bottom w:val="single" w:color="000000" w:sz="4" w:space="0"/>
              <w:right w:val="nil"/>
            </w:tcBorders>
            <w:shd w:val="clear" w:color="auto" w:fill="FFFFFF"/>
          </w:tcPr>
          <w:p w14:paraId="090CA95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代码</w:t>
            </w:r>
          </w:p>
        </w:tc>
        <w:tc>
          <w:tcPr>
            <w:tcBorders>
              <w:top w:val="single" w:color="000000" w:sz="12" w:space="0"/>
              <w:left w:val="nil"/>
              <w:bottom w:val="single" w:color="000000" w:sz="4" w:space="0"/>
              <w:right w:val="nil"/>
            </w:tcBorders>
            <w:shd w:val="clear" w:color="auto" w:fill="FFFFFF"/>
          </w:tcPr>
          <w:p w14:paraId="42AF18A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名称</w:t>
            </w:r>
          </w:p>
        </w:tc>
        <w:tc>
          <w:tcPr>
            <w:tcBorders>
              <w:top w:val="single" w:color="000000" w:sz="12" w:space="0"/>
              <w:left w:val="nil"/>
              <w:bottom w:val="single" w:color="000000" w:sz="4" w:space="0"/>
              <w:right w:val="nil"/>
            </w:tcBorders>
            <w:shd w:val="clear" w:color="auto" w:fill="FFFFFF"/>
          </w:tcPr>
          <w:p w14:paraId="52F9499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行业</w:t>
            </w:r>
          </w:p>
        </w:tc>
        <w:tc>
          <w:tcPr>
            <w:tcBorders>
              <w:top w:val="single" w:color="000000" w:sz="12" w:space="0"/>
              <w:left w:val="nil"/>
              <w:bottom w:val="single" w:color="000000" w:sz="4" w:space="0"/>
              <w:right w:val="nil"/>
            </w:tcBorders>
            <w:shd w:val="clear" w:color="auto" w:fill="FFFFFF"/>
          </w:tcPr>
          <w:p w14:paraId="77D1C13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入选理由</w:t>
            </w:r>
          </w:p>
        </w:tc>
        <w:tc>
          <w:tcPr>
            <w:tcBorders>
              <w:top w:val="single" w:color="000000" w:sz="12" w:space="0"/>
              <w:left w:val="nil"/>
              <w:bottom w:val="single" w:color="000000" w:sz="4" w:space="0"/>
              <w:right w:val="nil"/>
            </w:tcBorders>
            <w:shd w:val="clear" w:color="auto" w:fill="FFFFFF"/>
          </w:tcPr>
          <w:p w14:paraId="349EE62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VQM入选次数</w:t>
            </w:r>
          </w:p>
        </w:tc>
        <w:tc>
          <w:tcPr>
            <w:tcBorders>
              <w:top w:val="single" w:color="000000" w:sz="12" w:space="0"/>
              <w:left w:val="nil"/>
              <w:bottom w:val="single" w:color="000000" w:sz="4" w:space="0"/>
              <w:right w:val="nil"/>
            </w:tcBorders>
            <w:shd w:val="clear" w:color="auto" w:fill="FFFFFF"/>
          </w:tcPr>
          <w:p w14:paraId="352F28E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主观选择是否进入10只</w:t>
            </w:r>
          </w:p>
        </w:tc>
      </w:tr>
      <w:tr w14:paraId="31302768">
        <w:tc>
          <w:tcPr>
            <w:tcBorders>
              <w:top w:val="single" w:color="000000" w:sz="4" w:space="0"/>
              <w:left w:val="nil"/>
              <w:bottom w:val="nil"/>
              <w:right w:val="nil"/>
            </w:tcBorders>
            <w:shd w:val="clear" w:color="auto" w:fill="FFFFFF"/>
          </w:tcPr>
          <w:p w14:paraId="7CDA20E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single" w:color="000000" w:sz="4" w:space="0"/>
              <w:left w:val="nil"/>
              <w:bottom w:val="nil"/>
              <w:right w:val="nil"/>
            </w:tcBorders>
            <w:shd w:val="clear" w:color="auto" w:fill="FFFFFF"/>
          </w:tcPr>
          <w:p w14:paraId="095F2CA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600085</w:t>
            </w:r>
          </w:p>
        </w:tc>
        <w:tc>
          <w:tcPr>
            <w:tcBorders>
              <w:top w:val="single" w:color="000000" w:sz="4" w:space="0"/>
              <w:left w:val="nil"/>
              <w:bottom w:val="nil"/>
              <w:right w:val="nil"/>
            </w:tcBorders>
            <w:shd w:val="clear" w:color="auto" w:fill="FFFFFF"/>
          </w:tcPr>
          <w:p w14:paraId="43E5FD9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同仁堂</w:t>
            </w:r>
          </w:p>
        </w:tc>
        <w:tc>
          <w:tcPr>
            <w:tcBorders>
              <w:top w:val="single" w:color="000000" w:sz="4" w:space="0"/>
              <w:left w:val="nil"/>
              <w:bottom w:val="nil"/>
              <w:right w:val="nil"/>
            </w:tcBorders>
            <w:shd w:val="clear" w:color="auto" w:fill="FFFFFF"/>
          </w:tcPr>
          <w:p w14:paraId="1961ABB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医药/中药</w:t>
            </w:r>
          </w:p>
        </w:tc>
        <w:tc>
          <w:tcPr>
            <w:tcBorders>
              <w:top w:val="single" w:color="000000" w:sz="4" w:space="0"/>
              <w:left w:val="nil"/>
              <w:bottom w:val="nil"/>
              <w:right w:val="nil"/>
            </w:tcBorders>
            <w:shd w:val="clear" w:color="auto" w:fill="FFFFFF"/>
          </w:tcPr>
          <w:p w14:paraId="7124B6A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中成药全产业链，品牌壁垒深厚</w:t>
            </w:r>
          </w:p>
        </w:tc>
        <w:tc>
          <w:tcPr>
            <w:tcBorders>
              <w:top w:val="single" w:color="000000" w:sz="4" w:space="0"/>
              <w:left w:val="nil"/>
              <w:bottom w:val="nil"/>
              <w:right w:val="nil"/>
            </w:tcBorders>
            <w:shd w:val="clear" w:color="auto" w:fill="FFFFFF"/>
          </w:tcPr>
          <w:p w14:paraId="2907781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single" w:color="000000" w:sz="4" w:space="0"/>
              <w:left w:val="nil"/>
              <w:bottom w:val="nil"/>
              <w:right w:val="nil"/>
            </w:tcBorders>
            <w:shd w:val="clear" w:color="auto" w:fill="FFFFFF"/>
          </w:tcPr>
          <w:p w14:paraId="3294654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27C7BD6F">
        <w:tc>
          <w:tcPr>
            <w:tcBorders>
              <w:top w:val="nil"/>
              <w:left w:val="nil"/>
              <w:bottom w:val="nil"/>
              <w:right w:val="nil"/>
            </w:tcBorders>
            <w:shd w:val="clear" w:color="auto" w:fill="FFFFFF"/>
          </w:tcPr>
          <w:p w14:paraId="0F59E5F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Borders>
              <w:top w:val="nil"/>
              <w:left w:val="nil"/>
              <w:bottom w:val="nil"/>
              <w:right w:val="nil"/>
            </w:tcBorders>
            <w:shd w:val="clear" w:color="auto" w:fill="FFFFFF"/>
          </w:tcPr>
          <w:p w14:paraId="3E80C81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600436</w:t>
            </w:r>
          </w:p>
        </w:tc>
        <w:tc>
          <w:tcPr>
            <w:tcBorders>
              <w:top w:val="nil"/>
              <w:left w:val="nil"/>
              <w:bottom w:val="nil"/>
              <w:right w:val="nil"/>
            </w:tcBorders>
            <w:shd w:val="clear" w:color="auto" w:fill="FFFFFF"/>
          </w:tcPr>
          <w:p w14:paraId="37AD70C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片仔癀</w:t>
            </w:r>
          </w:p>
        </w:tc>
        <w:tc>
          <w:tcPr>
            <w:tcBorders>
              <w:top w:val="nil"/>
              <w:left w:val="nil"/>
              <w:bottom w:val="nil"/>
              <w:right w:val="nil"/>
            </w:tcBorders>
            <w:shd w:val="clear" w:color="auto" w:fill="FFFFFF"/>
          </w:tcPr>
          <w:p w14:paraId="47B9325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医药/中药</w:t>
            </w:r>
          </w:p>
        </w:tc>
        <w:tc>
          <w:tcPr>
            <w:tcBorders>
              <w:top w:val="nil"/>
              <w:left w:val="nil"/>
              <w:bottom w:val="nil"/>
              <w:right w:val="nil"/>
            </w:tcBorders>
            <w:shd w:val="clear" w:color="auto" w:fill="FFFFFF"/>
          </w:tcPr>
          <w:p w14:paraId="6BB8722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绝密配方，高单价高现金流</w:t>
            </w:r>
          </w:p>
        </w:tc>
        <w:tc>
          <w:tcPr>
            <w:tcBorders>
              <w:top w:val="nil"/>
              <w:left w:val="nil"/>
              <w:bottom w:val="nil"/>
              <w:right w:val="nil"/>
            </w:tcBorders>
            <w:shd w:val="clear" w:color="auto" w:fill="FFFFFF"/>
          </w:tcPr>
          <w:p w14:paraId="751ACE6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nil"/>
              <w:left w:val="nil"/>
              <w:bottom w:val="nil"/>
              <w:right w:val="nil"/>
            </w:tcBorders>
            <w:shd w:val="clear" w:color="auto" w:fill="FFFFFF"/>
          </w:tcPr>
          <w:p w14:paraId="223723C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35E34E0E">
        <w:tc>
          <w:tcPr>
            <w:tcBorders>
              <w:top w:val="nil"/>
              <w:left w:val="nil"/>
              <w:bottom w:val="nil"/>
              <w:right w:val="nil"/>
            </w:tcBorders>
            <w:shd w:val="clear" w:color="auto" w:fill="FFFFFF"/>
          </w:tcPr>
          <w:p w14:paraId="451DE45F">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Borders>
              <w:top w:val="nil"/>
              <w:left w:val="nil"/>
              <w:bottom w:val="nil"/>
              <w:right w:val="nil"/>
            </w:tcBorders>
            <w:shd w:val="clear" w:color="auto" w:fill="FFFFFF"/>
          </w:tcPr>
          <w:p w14:paraId="627290D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600329</w:t>
            </w:r>
          </w:p>
        </w:tc>
        <w:tc>
          <w:tcPr>
            <w:tcBorders>
              <w:top w:val="nil"/>
              <w:left w:val="nil"/>
              <w:bottom w:val="nil"/>
              <w:right w:val="nil"/>
            </w:tcBorders>
            <w:shd w:val="clear" w:color="auto" w:fill="FFFFFF"/>
          </w:tcPr>
          <w:p w14:paraId="7F66146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达仁堂</w:t>
            </w:r>
          </w:p>
        </w:tc>
        <w:tc>
          <w:tcPr>
            <w:tcBorders>
              <w:top w:val="nil"/>
              <w:left w:val="nil"/>
              <w:bottom w:val="nil"/>
              <w:right w:val="nil"/>
            </w:tcBorders>
            <w:shd w:val="clear" w:color="auto" w:fill="FFFFFF"/>
          </w:tcPr>
          <w:p w14:paraId="67122EB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医药/中药</w:t>
            </w:r>
          </w:p>
        </w:tc>
        <w:tc>
          <w:tcPr>
            <w:tcBorders>
              <w:top w:val="nil"/>
              <w:left w:val="nil"/>
              <w:bottom w:val="nil"/>
              <w:right w:val="nil"/>
            </w:tcBorders>
            <w:shd w:val="clear" w:color="auto" w:fill="FFFFFF"/>
          </w:tcPr>
          <w:p w14:paraId="5FE6333F">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独家品种丰富，速效救心丸</w:t>
            </w:r>
          </w:p>
        </w:tc>
        <w:tc>
          <w:tcPr>
            <w:tcBorders>
              <w:top w:val="nil"/>
              <w:left w:val="nil"/>
              <w:bottom w:val="nil"/>
              <w:right w:val="nil"/>
            </w:tcBorders>
            <w:shd w:val="clear" w:color="auto" w:fill="FFFFFF"/>
          </w:tcPr>
          <w:p w14:paraId="444928B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w:t>
            </w:r>
          </w:p>
        </w:tc>
        <w:tc>
          <w:tcPr>
            <w:tcBorders>
              <w:top w:val="nil"/>
              <w:left w:val="nil"/>
              <w:bottom w:val="nil"/>
              <w:right w:val="nil"/>
            </w:tcBorders>
            <w:shd w:val="clear" w:color="auto" w:fill="FFFFFF"/>
          </w:tcPr>
          <w:p w14:paraId="0422B31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5535D082">
        <w:tc>
          <w:tcPr>
            <w:tcBorders>
              <w:top w:val="nil"/>
              <w:left w:val="nil"/>
              <w:bottom w:val="nil"/>
              <w:right w:val="nil"/>
            </w:tcBorders>
            <w:shd w:val="clear" w:color="auto" w:fill="FFFFFF"/>
          </w:tcPr>
          <w:p w14:paraId="00C1D39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Borders>
              <w:top w:val="nil"/>
              <w:left w:val="nil"/>
              <w:bottom w:val="nil"/>
              <w:right w:val="nil"/>
            </w:tcBorders>
            <w:shd w:val="clear" w:color="auto" w:fill="FFFFFF"/>
          </w:tcPr>
          <w:p w14:paraId="7059307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002287</w:t>
            </w:r>
          </w:p>
        </w:tc>
        <w:tc>
          <w:tcPr>
            <w:tcBorders>
              <w:top w:val="nil"/>
              <w:left w:val="nil"/>
              <w:bottom w:val="nil"/>
              <w:right w:val="nil"/>
            </w:tcBorders>
            <w:shd w:val="clear" w:color="auto" w:fill="FFFFFF"/>
          </w:tcPr>
          <w:p w14:paraId="3D2042D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奇正藏药</w:t>
            </w:r>
          </w:p>
        </w:tc>
        <w:tc>
          <w:tcPr>
            <w:tcBorders>
              <w:top w:val="nil"/>
              <w:left w:val="nil"/>
              <w:bottom w:val="nil"/>
              <w:right w:val="nil"/>
            </w:tcBorders>
            <w:shd w:val="clear" w:color="auto" w:fill="FFFFFF"/>
          </w:tcPr>
          <w:p w14:paraId="7814619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医药/中药</w:t>
            </w:r>
          </w:p>
        </w:tc>
        <w:tc>
          <w:tcPr>
            <w:tcBorders>
              <w:top w:val="nil"/>
              <w:left w:val="nil"/>
              <w:bottom w:val="nil"/>
              <w:right w:val="nil"/>
            </w:tcBorders>
            <w:shd w:val="clear" w:color="auto" w:fill="FFFFFF"/>
          </w:tcPr>
          <w:p w14:paraId="467CD9B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藏药龙头，独家品种</w:t>
            </w:r>
          </w:p>
        </w:tc>
        <w:tc>
          <w:tcPr>
            <w:tcBorders>
              <w:top w:val="nil"/>
              <w:left w:val="nil"/>
              <w:bottom w:val="nil"/>
              <w:right w:val="nil"/>
            </w:tcBorders>
            <w:shd w:val="clear" w:color="auto" w:fill="FFFFFF"/>
          </w:tcPr>
          <w:p w14:paraId="3FC57FF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nil"/>
              <w:left w:val="nil"/>
              <w:bottom w:val="nil"/>
              <w:right w:val="nil"/>
            </w:tcBorders>
            <w:shd w:val="clear" w:color="auto" w:fill="FFFFFF"/>
          </w:tcPr>
          <w:p w14:paraId="204FC17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26631DF2">
        <w:tc>
          <w:tcPr>
            <w:tcBorders>
              <w:top w:val="nil"/>
              <w:left w:val="nil"/>
              <w:bottom w:val="nil"/>
              <w:right w:val="nil"/>
            </w:tcBorders>
            <w:shd w:val="clear" w:color="auto" w:fill="FFFFFF"/>
          </w:tcPr>
          <w:p w14:paraId="7898681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Borders>
              <w:top w:val="nil"/>
              <w:left w:val="nil"/>
              <w:bottom w:val="nil"/>
              <w:right w:val="nil"/>
            </w:tcBorders>
            <w:shd w:val="clear" w:color="auto" w:fill="FFFFFF"/>
          </w:tcPr>
          <w:p w14:paraId="2BC3789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603986</w:t>
            </w:r>
          </w:p>
        </w:tc>
        <w:tc>
          <w:tcPr>
            <w:tcBorders>
              <w:top w:val="nil"/>
              <w:left w:val="nil"/>
              <w:bottom w:val="nil"/>
              <w:right w:val="nil"/>
            </w:tcBorders>
            <w:shd w:val="clear" w:color="auto" w:fill="FFFFFF"/>
          </w:tcPr>
          <w:p w14:paraId="1BC620A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兆易创新</w:t>
            </w:r>
          </w:p>
        </w:tc>
        <w:tc>
          <w:tcPr>
            <w:tcBorders>
              <w:top w:val="nil"/>
              <w:left w:val="nil"/>
              <w:bottom w:val="nil"/>
              <w:right w:val="nil"/>
            </w:tcBorders>
            <w:shd w:val="clear" w:color="auto" w:fill="FFFFFF"/>
          </w:tcPr>
          <w:p w14:paraId="2E8017B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半导体/存储芯片设计</w:t>
            </w:r>
          </w:p>
        </w:tc>
        <w:tc>
          <w:tcPr>
            <w:tcBorders>
              <w:top w:val="nil"/>
              <w:left w:val="nil"/>
              <w:bottom w:val="nil"/>
              <w:right w:val="nil"/>
            </w:tcBorders>
            <w:shd w:val="clear" w:color="auto" w:fill="FFFFFF"/>
          </w:tcPr>
          <w:p w14:paraId="4324429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国产存储设计龙头，NOR</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Flash全球第二</w:t>
            </w:r>
          </w:p>
        </w:tc>
        <w:tc>
          <w:tcPr>
            <w:tcBorders>
              <w:top w:val="nil"/>
              <w:left w:val="nil"/>
              <w:bottom w:val="nil"/>
              <w:right w:val="nil"/>
            </w:tcBorders>
            <w:shd w:val="clear" w:color="auto" w:fill="FFFFFF"/>
          </w:tcPr>
          <w:p w14:paraId="4997D7C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Borders>
              <w:top w:val="nil"/>
              <w:left w:val="nil"/>
              <w:bottom w:val="nil"/>
              <w:right w:val="nil"/>
            </w:tcBorders>
            <w:shd w:val="clear" w:color="auto" w:fill="FFFFFF"/>
          </w:tcPr>
          <w:p w14:paraId="3252C72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1AB6FA1E">
        <w:tc>
          <w:tcPr>
            <w:tcBorders>
              <w:top w:val="nil"/>
              <w:left w:val="nil"/>
              <w:bottom w:val="nil"/>
              <w:right w:val="nil"/>
            </w:tcBorders>
            <w:shd w:val="clear" w:color="auto" w:fill="FFFFFF"/>
          </w:tcPr>
          <w:p w14:paraId="39858E0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w:t>
            </w:r>
          </w:p>
        </w:tc>
        <w:tc>
          <w:tcPr>
            <w:tcBorders>
              <w:top w:val="nil"/>
              <w:left w:val="nil"/>
              <w:bottom w:val="nil"/>
              <w:right w:val="nil"/>
            </w:tcBorders>
            <w:shd w:val="clear" w:color="auto" w:fill="FFFFFF"/>
          </w:tcPr>
          <w:p w14:paraId="28F52C6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301308</w:t>
            </w:r>
          </w:p>
        </w:tc>
        <w:tc>
          <w:tcPr>
            <w:tcBorders>
              <w:top w:val="nil"/>
              <w:left w:val="nil"/>
              <w:bottom w:val="nil"/>
              <w:right w:val="nil"/>
            </w:tcBorders>
            <w:shd w:val="clear" w:color="auto" w:fill="FFFFFF"/>
          </w:tcPr>
          <w:p w14:paraId="5E535F9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江波龙</w:t>
            </w:r>
          </w:p>
        </w:tc>
        <w:tc>
          <w:tcPr>
            <w:tcBorders>
              <w:top w:val="nil"/>
              <w:left w:val="nil"/>
              <w:bottom w:val="nil"/>
              <w:right w:val="nil"/>
            </w:tcBorders>
            <w:shd w:val="clear" w:color="auto" w:fill="FFFFFF"/>
          </w:tcPr>
          <w:p w14:paraId="043FFF5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半导体/存储模组</w:t>
            </w:r>
          </w:p>
        </w:tc>
        <w:tc>
          <w:tcPr>
            <w:tcBorders>
              <w:top w:val="nil"/>
              <w:left w:val="nil"/>
              <w:bottom w:val="nil"/>
              <w:right w:val="nil"/>
            </w:tcBorders>
            <w:shd w:val="clear" w:color="auto" w:fill="FFFFFF"/>
          </w:tcPr>
          <w:p w14:paraId="570F1C2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国内存储模组龙头，Lexar品牌高端化</w:t>
            </w:r>
          </w:p>
        </w:tc>
        <w:tc>
          <w:tcPr>
            <w:tcBorders>
              <w:top w:val="nil"/>
              <w:left w:val="nil"/>
              <w:bottom w:val="nil"/>
              <w:right w:val="nil"/>
            </w:tcBorders>
            <w:shd w:val="clear" w:color="auto" w:fill="FFFFFF"/>
          </w:tcPr>
          <w:p w14:paraId="59E6F70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16</w:t>
            </w:r>
          </w:p>
        </w:tc>
        <w:tc>
          <w:tcPr>
            <w:tcBorders>
              <w:top w:val="nil"/>
              <w:left w:val="nil"/>
              <w:bottom w:val="nil"/>
              <w:right w:val="nil"/>
            </w:tcBorders>
            <w:shd w:val="clear" w:color="auto" w:fill="FFFFFF"/>
          </w:tcPr>
          <w:p w14:paraId="5CD17F9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5A805B2A">
        <w:tc>
          <w:tcPr>
            <w:tcBorders>
              <w:top w:val="nil"/>
              <w:left w:val="nil"/>
              <w:bottom w:val="nil"/>
              <w:right w:val="nil"/>
            </w:tcBorders>
            <w:shd w:val="clear" w:color="auto" w:fill="FFFFFF"/>
          </w:tcPr>
          <w:p w14:paraId="6A663BB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w:t>
            </w:r>
          </w:p>
        </w:tc>
        <w:tc>
          <w:tcPr>
            <w:tcBorders>
              <w:top w:val="nil"/>
              <w:left w:val="nil"/>
              <w:bottom w:val="nil"/>
              <w:right w:val="nil"/>
            </w:tcBorders>
            <w:shd w:val="clear" w:color="auto" w:fill="FFFFFF"/>
          </w:tcPr>
          <w:p w14:paraId="1777CF0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688525</w:t>
            </w:r>
          </w:p>
        </w:tc>
        <w:tc>
          <w:tcPr>
            <w:tcBorders>
              <w:top w:val="nil"/>
              <w:left w:val="nil"/>
              <w:bottom w:val="nil"/>
              <w:right w:val="nil"/>
            </w:tcBorders>
            <w:shd w:val="clear" w:color="auto" w:fill="FFFFFF"/>
          </w:tcPr>
          <w:p w14:paraId="1C8BD42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佰维存储</w:t>
            </w:r>
          </w:p>
        </w:tc>
        <w:tc>
          <w:tcPr>
            <w:tcBorders>
              <w:top w:val="nil"/>
              <w:left w:val="nil"/>
              <w:bottom w:val="nil"/>
              <w:right w:val="nil"/>
            </w:tcBorders>
            <w:shd w:val="clear" w:color="auto" w:fill="FFFFFF"/>
          </w:tcPr>
          <w:p w14:paraId="37C2DA0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半导体/存储+封测</w:t>
            </w:r>
          </w:p>
        </w:tc>
        <w:tc>
          <w:tcPr>
            <w:tcBorders>
              <w:top w:val="nil"/>
              <w:left w:val="nil"/>
              <w:bottom w:val="nil"/>
              <w:right w:val="nil"/>
            </w:tcBorders>
            <w:shd w:val="clear" w:color="auto" w:fill="FFFFFF"/>
          </w:tcPr>
          <w:p w14:paraId="1AC85E9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存储芯片+先进封测综合服务商</w:t>
            </w:r>
          </w:p>
        </w:tc>
        <w:tc>
          <w:tcPr>
            <w:tcBorders>
              <w:top w:val="nil"/>
              <w:left w:val="nil"/>
              <w:bottom w:val="nil"/>
              <w:right w:val="nil"/>
            </w:tcBorders>
            <w:shd w:val="clear" w:color="auto" w:fill="FFFFFF"/>
          </w:tcPr>
          <w:p w14:paraId="27E2042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w:t>
            </w:r>
          </w:p>
        </w:tc>
        <w:tc>
          <w:tcPr>
            <w:tcBorders>
              <w:top w:val="nil"/>
              <w:left w:val="nil"/>
              <w:bottom w:val="nil"/>
              <w:right w:val="nil"/>
            </w:tcBorders>
            <w:shd w:val="clear" w:color="auto" w:fill="FFFFFF"/>
          </w:tcPr>
          <w:p w14:paraId="4681247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0CEA1D02">
        <w:tc>
          <w:tcPr>
            <w:tcBorders>
              <w:top w:val="nil"/>
              <w:left w:val="nil"/>
              <w:bottom w:val="nil"/>
              <w:right w:val="nil"/>
            </w:tcBorders>
            <w:shd w:val="clear" w:color="auto" w:fill="FFFFFF"/>
          </w:tcPr>
          <w:p w14:paraId="2383778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w:t>
            </w:r>
          </w:p>
        </w:tc>
        <w:tc>
          <w:tcPr>
            <w:tcBorders>
              <w:top w:val="nil"/>
              <w:left w:val="nil"/>
              <w:bottom w:val="nil"/>
              <w:right w:val="nil"/>
            </w:tcBorders>
            <w:shd w:val="clear" w:color="auto" w:fill="FFFFFF"/>
          </w:tcPr>
          <w:p w14:paraId="6BC402D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688008</w:t>
            </w:r>
          </w:p>
        </w:tc>
        <w:tc>
          <w:tcPr>
            <w:tcBorders>
              <w:top w:val="nil"/>
              <w:left w:val="nil"/>
              <w:bottom w:val="nil"/>
              <w:right w:val="nil"/>
            </w:tcBorders>
            <w:shd w:val="clear" w:color="auto" w:fill="FFFFFF"/>
          </w:tcPr>
          <w:p w14:paraId="5E3D746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澜起科技</w:t>
            </w:r>
          </w:p>
        </w:tc>
        <w:tc>
          <w:tcPr>
            <w:tcBorders>
              <w:top w:val="nil"/>
              <w:left w:val="nil"/>
              <w:bottom w:val="nil"/>
              <w:right w:val="nil"/>
            </w:tcBorders>
            <w:shd w:val="clear" w:color="auto" w:fill="FFFFFF"/>
          </w:tcPr>
          <w:p w14:paraId="23507B8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半导体/内存接口</w:t>
            </w:r>
          </w:p>
        </w:tc>
        <w:tc>
          <w:tcPr>
            <w:tcBorders>
              <w:top w:val="nil"/>
              <w:left w:val="nil"/>
              <w:bottom w:val="nil"/>
              <w:right w:val="nil"/>
            </w:tcBorders>
            <w:shd w:val="clear" w:color="auto" w:fill="FFFFFF"/>
          </w:tcPr>
          <w:p w14:paraId="7EFA093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全球内存接口龙头，主导DDR5标准</w:t>
            </w:r>
          </w:p>
        </w:tc>
        <w:tc>
          <w:tcPr>
            <w:tcBorders>
              <w:top w:val="nil"/>
              <w:left w:val="nil"/>
              <w:bottom w:val="nil"/>
              <w:right w:val="nil"/>
            </w:tcBorders>
            <w:shd w:val="clear" w:color="auto" w:fill="FFFFFF"/>
          </w:tcPr>
          <w:p w14:paraId="4A96BBE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nil"/>
              <w:left w:val="nil"/>
              <w:bottom w:val="nil"/>
              <w:right w:val="nil"/>
            </w:tcBorders>
            <w:shd w:val="clear" w:color="auto" w:fill="FFFFFF"/>
          </w:tcPr>
          <w:p w14:paraId="4729375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44ADCD01">
        <w:tc>
          <w:tcPr>
            <w:tcBorders>
              <w:top w:val="nil"/>
              <w:left w:val="nil"/>
              <w:bottom w:val="nil"/>
              <w:right w:val="nil"/>
            </w:tcBorders>
            <w:shd w:val="clear" w:color="auto" w:fill="FFFFFF"/>
          </w:tcPr>
          <w:p w14:paraId="0BD6AD4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w:t>
            </w:r>
          </w:p>
        </w:tc>
        <w:tc>
          <w:tcPr>
            <w:tcBorders>
              <w:top w:val="nil"/>
              <w:left w:val="nil"/>
              <w:bottom w:val="nil"/>
              <w:right w:val="nil"/>
            </w:tcBorders>
            <w:shd w:val="clear" w:color="auto" w:fill="FFFFFF"/>
          </w:tcPr>
          <w:p w14:paraId="0861676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001309</w:t>
            </w:r>
          </w:p>
        </w:tc>
        <w:tc>
          <w:tcPr>
            <w:tcBorders>
              <w:top w:val="nil"/>
              <w:left w:val="nil"/>
              <w:bottom w:val="nil"/>
              <w:right w:val="nil"/>
            </w:tcBorders>
            <w:shd w:val="clear" w:color="auto" w:fill="FFFFFF"/>
          </w:tcPr>
          <w:p w14:paraId="00E5BB2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德明利</w:t>
            </w:r>
          </w:p>
        </w:tc>
        <w:tc>
          <w:tcPr>
            <w:tcBorders>
              <w:top w:val="nil"/>
              <w:left w:val="nil"/>
              <w:bottom w:val="nil"/>
              <w:right w:val="nil"/>
            </w:tcBorders>
            <w:shd w:val="clear" w:color="auto" w:fill="FFFFFF"/>
          </w:tcPr>
          <w:p w14:paraId="51D2609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半导体/存储主控+模组</w:t>
            </w:r>
          </w:p>
        </w:tc>
        <w:tc>
          <w:tcPr>
            <w:tcBorders>
              <w:top w:val="nil"/>
              <w:left w:val="nil"/>
              <w:bottom w:val="nil"/>
              <w:right w:val="nil"/>
            </w:tcBorders>
            <w:shd w:val="clear" w:color="auto" w:fill="FFFFFF"/>
          </w:tcPr>
          <w:p w14:paraId="6E6481C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企业级存储领军，自研SSD主控国内前三</w:t>
            </w:r>
          </w:p>
        </w:tc>
        <w:tc>
          <w:tcPr>
            <w:tcBorders>
              <w:top w:val="nil"/>
              <w:left w:val="nil"/>
              <w:bottom w:val="nil"/>
              <w:right w:val="nil"/>
            </w:tcBorders>
            <w:shd w:val="clear" w:color="auto" w:fill="FFFFFF"/>
          </w:tcPr>
          <w:p w14:paraId="171ABFDF">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w:t>
            </w:r>
          </w:p>
        </w:tc>
        <w:tc>
          <w:tcPr>
            <w:tcBorders>
              <w:top w:val="nil"/>
              <w:left w:val="nil"/>
              <w:bottom w:val="nil"/>
              <w:right w:val="nil"/>
            </w:tcBorders>
            <w:shd w:val="clear" w:color="auto" w:fill="FFFFFF"/>
          </w:tcPr>
          <w:p w14:paraId="085C19C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160F3DA1">
        <w:tc>
          <w:tcPr>
            <w:tcBorders>
              <w:top w:val="nil"/>
              <w:left w:val="nil"/>
              <w:bottom w:val="nil"/>
              <w:right w:val="nil"/>
            </w:tcBorders>
            <w:shd w:val="clear" w:color="auto" w:fill="FFFFFF"/>
          </w:tcPr>
          <w:p w14:paraId="7F37007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w:t>
            </w:r>
          </w:p>
        </w:tc>
        <w:tc>
          <w:tcPr>
            <w:tcBorders>
              <w:top w:val="nil"/>
              <w:left w:val="nil"/>
              <w:bottom w:val="nil"/>
              <w:right w:val="nil"/>
            </w:tcBorders>
            <w:shd w:val="clear" w:color="auto" w:fill="FFFFFF"/>
          </w:tcPr>
          <w:p w14:paraId="544DF13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688766</w:t>
            </w:r>
          </w:p>
        </w:tc>
        <w:tc>
          <w:tcPr>
            <w:tcBorders>
              <w:top w:val="nil"/>
              <w:left w:val="nil"/>
              <w:bottom w:val="nil"/>
              <w:right w:val="nil"/>
            </w:tcBorders>
            <w:shd w:val="clear" w:color="auto" w:fill="FFFFFF"/>
          </w:tcPr>
          <w:p w14:paraId="5F3F03B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普冉股份</w:t>
            </w:r>
          </w:p>
        </w:tc>
        <w:tc>
          <w:tcPr>
            <w:tcBorders>
              <w:top w:val="nil"/>
              <w:left w:val="nil"/>
              <w:bottom w:val="nil"/>
              <w:right w:val="nil"/>
            </w:tcBorders>
            <w:shd w:val="clear" w:color="auto" w:fill="FFFFFF"/>
          </w:tcPr>
          <w:p w14:paraId="28E96DE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半导体/NOR+EEPROM</w:t>
            </w:r>
          </w:p>
        </w:tc>
        <w:tc>
          <w:tcPr>
            <w:tcBorders>
              <w:top w:val="nil"/>
              <w:left w:val="nil"/>
              <w:bottom w:val="nil"/>
              <w:right w:val="nil"/>
            </w:tcBorders>
            <w:shd w:val="clear" w:color="auto" w:fill="FFFFFF"/>
          </w:tcPr>
          <w:p w14:paraId="5724D46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低功耗NOR</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Flash+EEPROM，布局AI端侧</w:t>
            </w:r>
          </w:p>
        </w:tc>
        <w:tc>
          <w:tcPr>
            <w:tcBorders>
              <w:top w:val="nil"/>
              <w:left w:val="nil"/>
              <w:bottom w:val="nil"/>
              <w:right w:val="nil"/>
            </w:tcBorders>
            <w:shd w:val="clear" w:color="auto" w:fill="FFFFFF"/>
          </w:tcPr>
          <w:p w14:paraId="77AFA8A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Borders>
              <w:top w:val="nil"/>
              <w:left w:val="nil"/>
              <w:bottom w:val="nil"/>
              <w:right w:val="nil"/>
            </w:tcBorders>
            <w:shd w:val="clear" w:color="auto" w:fill="FFFFFF"/>
          </w:tcPr>
          <w:p w14:paraId="3C38AEE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2DEAF342">
        <w:tc>
          <w:tcPr>
            <w:tcBorders>
              <w:top w:val="nil"/>
              <w:left w:val="nil"/>
              <w:bottom w:val="nil"/>
              <w:right w:val="nil"/>
            </w:tcBorders>
            <w:shd w:val="clear" w:color="auto" w:fill="FFFFFF"/>
          </w:tcPr>
          <w:p w14:paraId="46AE9DD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11</w:t>
            </w:r>
          </w:p>
        </w:tc>
        <w:tc>
          <w:tcPr>
            <w:tcBorders>
              <w:top w:val="nil"/>
              <w:left w:val="nil"/>
              <w:bottom w:val="nil"/>
              <w:right w:val="nil"/>
            </w:tcBorders>
            <w:shd w:val="clear" w:color="auto" w:fill="FFFFFF"/>
          </w:tcPr>
          <w:p w14:paraId="0757D43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000538</w:t>
            </w:r>
          </w:p>
        </w:tc>
        <w:tc>
          <w:tcPr>
            <w:tcBorders>
              <w:top w:val="nil"/>
              <w:left w:val="nil"/>
              <w:bottom w:val="nil"/>
              <w:right w:val="nil"/>
            </w:tcBorders>
            <w:shd w:val="clear" w:color="auto" w:fill="FFFFFF"/>
          </w:tcPr>
          <w:p w14:paraId="55B6596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云南白药</w:t>
            </w:r>
          </w:p>
        </w:tc>
        <w:tc>
          <w:tcPr>
            <w:tcBorders>
              <w:top w:val="nil"/>
              <w:left w:val="nil"/>
              <w:bottom w:val="nil"/>
              <w:right w:val="nil"/>
            </w:tcBorders>
            <w:shd w:val="clear" w:color="auto" w:fill="FFFFFF"/>
          </w:tcPr>
          <w:p w14:paraId="72B3FB1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医药/中药健康消费</w:t>
            </w:r>
          </w:p>
        </w:tc>
        <w:tc>
          <w:tcPr>
            <w:tcBorders>
              <w:top w:val="nil"/>
              <w:left w:val="nil"/>
              <w:bottom w:val="nil"/>
              <w:right w:val="nil"/>
            </w:tcBorders>
            <w:shd w:val="clear" w:color="auto" w:fill="FFFFFF"/>
          </w:tcPr>
          <w:p w14:paraId="666C008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品牌壁垒强，健康消费品现金流稳</w:t>
            </w:r>
          </w:p>
        </w:tc>
        <w:tc>
          <w:tcPr>
            <w:tcBorders>
              <w:top w:val="nil"/>
              <w:left w:val="nil"/>
              <w:bottom w:val="nil"/>
              <w:right w:val="nil"/>
            </w:tcBorders>
            <w:shd w:val="clear" w:color="auto" w:fill="FFFFFF"/>
          </w:tcPr>
          <w:p w14:paraId="06D0111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nil"/>
              <w:left w:val="nil"/>
              <w:bottom w:val="nil"/>
              <w:right w:val="nil"/>
            </w:tcBorders>
            <w:shd w:val="clear" w:color="auto" w:fill="FFFFFF"/>
          </w:tcPr>
          <w:p w14:paraId="6AA4506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0E637E91">
        <w:tc>
          <w:tcPr>
            <w:tcBorders>
              <w:top w:val="nil"/>
              <w:left w:val="nil"/>
              <w:bottom w:val="nil"/>
              <w:right w:val="nil"/>
            </w:tcBorders>
            <w:shd w:val="clear" w:color="auto" w:fill="FFFFFF"/>
          </w:tcPr>
          <w:p w14:paraId="022FB4E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w:t>
            </w:r>
          </w:p>
        </w:tc>
        <w:tc>
          <w:tcPr>
            <w:tcBorders>
              <w:top w:val="nil"/>
              <w:left w:val="nil"/>
              <w:bottom w:val="nil"/>
              <w:right w:val="nil"/>
            </w:tcBorders>
            <w:shd w:val="clear" w:color="auto" w:fill="FFFFFF"/>
          </w:tcPr>
          <w:p w14:paraId="060B2F0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600276</w:t>
            </w:r>
          </w:p>
        </w:tc>
        <w:tc>
          <w:tcPr>
            <w:tcBorders>
              <w:top w:val="nil"/>
              <w:left w:val="nil"/>
              <w:bottom w:val="nil"/>
              <w:right w:val="nil"/>
            </w:tcBorders>
            <w:shd w:val="clear" w:color="auto" w:fill="FFFFFF"/>
          </w:tcPr>
          <w:p w14:paraId="5DF7E35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恒瑞医药</w:t>
            </w:r>
          </w:p>
        </w:tc>
        <w:tc>
          <w:tcPr>
            <w:tcBorders>
              <w:top w:val="nil"/>
              <w:left w:val="nil"/>
              <w:bottom w:val="nil"/>
              <w:right w:val="nil"/>
            </w:tcBorders>
            <w:shd w:val="clear" w:color="auto" w:fill="FFFFFF"/>
          </w:tcPr>
          <w:p w14:paraId="24086F5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医药/创新药</w:t>
            </w:r>
          </w:p>
        </w:tc>
        <w:tc>
          <w:tcPr>
            <w:tcBorders>
              <w:top w:val="nil"/>
              <w:left w:val="nil"/>
              <w:bottom w:val="nil"/>
              <w:right w:val="nil"/>
            </w:tcBorders>
            <w:shd w:val="clear" w:color="auto" w:fill="FFFFFF"/>
          </w:tcPr>
          <w:p w14:paraId="5C52F34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创新药龙头，研发管线深厚</w:t>
            </w:r>
          </w:p>
        </w:tc>
        <w:tc>
          <w:tcPr>
            <w:tcBorders>
              <w:top w:val="nil"/>
              <w:left w:val="nil"/>
              <w:bottom w:val="nil"/>
              <w:right w:val="nil"/>
            </w:tcBorders>
            <w:shd w:val="clear" w:color="auto" w:fill="FFFFFF"/>
          </w:tcPr>
          <w:p w14:paraId="03E7437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nil"/>
              <w:left w:val="nil"/>
              <w:bottom w:val="nil"/>
              <w:right w:val="nil"/>
            </w:tcBorders>
            <w:shd w:val="clear" w:color="auto" w:fill="FFFFFF"/>
          </w:tcPr>
          <w:p w14:paraId="76BFDFF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26AAD44B">
        <w:tc>
          <w:tcPr>
            <w:tcBorders>
              <w:top w:val="nil"/>
              <w:left w:val="nil"/>
              <w:bottom w:val="nil"/>
              <w:right w:val="nil"/>
            </w:tcBorders>
            <w:shd w:val="clear" w:color="auto" w:fill="FFFFFF"/>
          </w:tcPr>
          <w:p w14:paraId="0E3043B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Borders>
              <w:top w:val="nil"/>
              <w:left w:val="nil"/>
              <w:bottom w:val="nil"/>
              <w:right w:val="nil"/>
            </w:tcBorders>
            <w:shd w:val="clear" w:color="auto" w:fill="FFFFFF"/>
          </w:tcPr>
          <w:p w14:paraId="58A1A89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688235</w:t>
            </w:r>
          </w:p>
        </w:tc>
        <w:tc>
          <w:tcPr>
            <w:tcBorders>
              <w:top w:val="nil"/>
              <w:left w:val="nil"/>
              <w:bottom w:val="nil"/>
              <w:right w:val="nil"/>
            </w:tcBorders>
            <w:shd w:val="clear" w:color="auto" w:fill="FFFFFF"/>
          </w:tcPr>
          <w:p w14:paraId="378DE8B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百济神州</w:t>
            </w:r>
          </w:p>
        </w:tc>
        <w:tc>
          <w:tcPr>
            <w:tcBorders>
              <w:top w:val="nil"/>
              <w:left w:val="nil"/>
              <w:bottom w:val="nil"/>
              <w:right w:val="nil"/>
            </w:tcBorders>
            <w:shd w:val="clear" w:color="auto" w:fill="FFFFFF"/>
          </w:tcPr>
          <w:p w14:paraId="773B58C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医药/创新药</w:t>
            </w:r>
          </w:p>
        </w:tc>
        <w:tc>
          <w:tcPr>
            <w:tcBorders>
              <w:top w:val="nil"/>
              <w:left w:val="nil"/>
              <w:bottom w:val="nil"/>
              <w:right w:val="nil"/>
            </w:tcBorders>
            <w:shd w:val="clear" w:color="auto" w:fill="FFFFFF"/>
          </w:tcPr>
          <w:p w14:paraId="2CEA64F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国际化创新药标杆，全球商业化突出</w:t>
            </w:r>
          </w:p>
        </w:tc>
        <w:tc>
          <w:tcPr>
            <w:tcBorders>
              <w:top w:val="nil"/>
              <w:left w:val="nil"/>
              <w:bottom w:val="nil"/>
              <w:right w:val="nil"/>
            </w:tcBorders>
            <w:shd w:val="clear" w:color="auto" w:fill="FFFFFF"/>
          </w:tcPr>
          <w:p w14:paraId="2C882BB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nil"/>
              <w:left w:val="nil"/>
              <w:bottom w:val="nil"/>
              <w:right w:val="nil"/>
            </w:tcBorders>
            <w:shd w:val="clear" w:color="auto" w:fill="FFFFFF"/>
          </w:tcPr>
          <w:p w14:paraId="231128F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564FFCDE">
        <w:tc>
          <w:tcPr>
            <w:tcBorders>
              <w:top w:val="nil"/>
              <w:left w:val="nil"/>
              <w:bottom w:val="nil"/>
              <w:right w:val="nil"/>
            </w:tcBorders>
            <w:shd w:val="clear" w:color="auto" w:fill="FFFFFF"/>
          </w:tcPr>
          <w:p w14:paraId="4C8B7F3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w:t>
            </w:r>
          </w:p>
        </w:tc>
        <w:tc>
          <w:tcPr>
            <w:tcBorders>
              <w:top w:val="nil"/>
              <w:left w:val="nil"/>
              <w:bottom w:val="nil"/>
              <w:right w:val="nil"/>
            </w:tcBorders>
            <w:shd w:val="clear" w:color="auto" w:fill="FFFFFF"/>
          </w:tcPr>
          <w:p w14:paraId="6516025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600519</w:t>
            </w:r>
          </w:p>
        </w:tc>
        <w:tc>
          <w:tcPr>
            <w:tcBorders>
              <w:top w:val="nil"/>
              <w:left w:val="nil"/>
              <w:bottom w:val="nil"/>
              <w:right w:val="nil"/>
            </w:tcBorders>
            <w:shd w:val="clear" w:color="auto" w:fill="FFFFFF"/>
          </w:tcPr>
          <w:p w14:paraId="5B5C991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贵州茅台</w:t>
            </w:r>
          </w:p>
        </w:tc>
        <w:tc>
          <w:tcPr>
            <w:tcBorders>
              <w:top w:val="nil"/>
              <w:left w:val="nil"/>
              <w:bottom w:val="nil"/>
              <w:right w:val="nil"/>
            </w:tcBorders>
            <w:shd w:val="clear" w:color="auto" w:fill="FFFFFF"/>
          </w:tcPr>
          <w:p w14:paraId="3FCE1BD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食品饮料/白酒</w:t>
            </w:r>
          </w:p>
        </w:tc>
        <w:tc>
          <w:tcPr>
            <w:tcBorders>
              <w:top w:val="nil"/>
              <w:left w:val="nil"/>
              <w:bottom w:val="nil"/>
              <w:right w:val="nil"/>
            </w:tcBorders>
            <w:shd w:val="clear" w:color="auto" w:fill="FFFFFF"/>
          </w:tcPr>
          <w:p w14:paraId="3741405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A股价值标杆，品牌护城河极深</w:t>
            </w:r>
          </w:p>
        </w:tc>
        <w:tc>
          <w:tcPr>
            <w:tcBorders>
              <w:top w:val="nil"/>
              <w:left w:val="nil"/>
              <w:bottom w:val="nil"/>
              <w:right w:val="nil"/>
            </w:tcBorders>
            <w:shd w:val="clear" w:color="auto" w:fill="FFFFFF"/>
          </w:tcPr>
          <w:p w14:paraId="44E32BB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Borders>
              <w:top w:val="nil"/>
              <w:left w:val="nil"/>
              <w:bottom w:val="nil"/>
              <w:right w:val="nil"/>
            </w:tcBorders>
            <w:shd w:val="clear" w:color="auto" w:fill="FFFFFF"/>
          </w:tcPr>
          <w:p w14:paraId="040EAB9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12124563">
        <w:tc>
          <w:tcPr>
            <w:tcBorders>
              <w:top w:val="nil"/>
              <w:left w:val="nil"/>
              <w:bottom w:val="nil"/>
              <w:right w:val="nil"/>
            </w:tcBorders>
            <w:shd w:val="clear" w:color="auto" w:fill="FFFFFF"/>
          </w:tcPr>
          <w:p w14:paraId="592FAA7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w:t>
            </w:r>
          </w:p>
        </w:tc>
        <w:tc>
          <w:tcPr>
            <w:tcBorders>
              <w:top w:val="nil"/>
              <w:left w:val="nil"/>
              <w:bottom w:val="nil"/>
              <w:right w:val="nil"/>
            </w:tcBorders>
            <w:shd w:val="clear" w:color="auto" w:fill="FFFFFF"/>
          </w:tcPr>
          <w:p w14:paraId="1A2EB21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002422</w:t>
            </w:r>
          </w:p>
        </w:tc>
        <w:tc>
          <w:tcPr>
            <w:tcBorders>
              <w:top w:val="nil"/>
              <w:left w:val="nil"/>
              <w:bottom w:val="nil"/>
              <w:right w:val="nil"/>
            </w:tcBorders>
            <w:shd w:val="clear" w:color="auto" w:fill="FFFFFF"/>
          </w:tcPr>
          <w:p w14:paraId="68E62A4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科伦药业</w:t>
            </w:r>
          </w:p>
        </w:tc>
        <w:tc>
          <w:tcPr>
            <w:tcBorders>
              <w:top w:val="nil"/>
              <w:left w:val="nil"/>
              <w:bottom w:val="nil"/>
              <w:right w:val="nil"/>
            </w:tcBorders>
            <w:shd w:val="clear" w:color="auto" w:fill="FFFFFF"/>
          </w:tcPr>
          <w:p w14:paraId="0365BFB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医药/创新药</w:t>
            </w:r>
          </w:p>
        </w:tc>
        <w:tc>
          <w:tcPr>
            <w:tcBorders>
              <w:top w:val="nil"/>
              <w:left w:val="nil"/>
              <w:bottom w:val="nil"/>
              <w:right w:val="nil"/>
            </w:tcBorders>
            <w:shd w:val="clear" w:color="auto" w:fill="FFFFFF"/>
          </w:tcPr>
          <w:p w14:paraId="321BAF64">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大输液龙头转型创新药</w:t>
            </w:r>
          </w:p>
        </w:tc>
        <w:tc>
          <w:tcPr>
            <w:tcBorders>
              <w:top w:val="nil"/>
              <w:left w:val="nil"/>
              <w:bottom w:val="nil"/>
              <w:right w:val="nil"/>
            </w:tcBorders>
            <w:shd w:val="clear" w:color="auto" w:fill="FFFFFF"/>
          </w:tcPr>
          <w:p w14:paraId="3FA0BD11">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nil"/>
              <w:left w:val="nil"/>
              <w:bottom w:val="nil"/>
              <w:right w:val="nil"/>
            </w:tcBorders>
            <w:shd w:val="clear" w:color="auto" w:fill="FFFFFF"/>
          </w:tcPr>
          <w:p w14:paraId="10C541A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4714D03F">
        <w:tc>
          <w:tcPr>
            <w:tcBorders>
              <w:top w:val="nil"/>
              <w:left w:val="nil"/>
              <w:bottom w:val="nil"/>
              <w:right w:val="nil"/>
            </w:tcBorders>
            <w:shd w:val="clear" w:color="auto" w:fill="FFFFFF"/>
          </w:tcPr>
          <w:p w14:paraId="7BDE880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16</w:t>
            </w:r>
          </w:p>
        </w:tc>
        <w:tc>
          <w:tcPr>
            <w:tcBorders>
              <w:top w:val="nil"/>
              <w:left w:val="nil"/>
              <w:bottom w:val="nil"/>
              <w:right w:val="nil"/>
            </w:tcBorders>
            <w:shd w:val="clear" w:color="auto" w:fill="FFFFFF"/>
          </w:tcPr>
          <w:p w14:paraId="5F5F8D9F">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000333</w:t>
            </w:r>
          </w:p>
        </w:tc>
        <w:tc>
          <w:tcPr>
            <w:tcBorders>
              <w:top w:val="nil"/>
              <w:left w:val="nil"/>
              <w:bottom w:val="nil"/>
              <w:right w:val="nil"/>
            </w:tcBorders>
            <w:shd w:val="clear" w:color="auto" w:fill="FFFFFF"/>
          </w:tcPr>
          <w:p w14:paraId="07F7CCF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美的集团</w:t>
            </w:r>
          </w:p>
        </w:tc>
        <w:tc>
          <w:tcPr>
            <w:tcBorders>
              <w:top w:val="nil"/>
              <w:left w:val="nil"/>
              <w:bottom w:val="nil"/>
              <w:right w:val="nil"/>
            </w:tcBorders>
            <w:shd w:val="clear" w:color="auto" w:fill="FFFFFF"/>
          </w:tcPr>
          <w:p w14:paraId="3C06DA0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消费/家电</w:t>
            </w:r>
          </w:p>
        </w:tc>
        <w:tc>
          <w:tcPr>
            <w:tcBorders>
              <w:top w:val="nil"/>
              <w:left w:val="nil"/>
              <w:bottom w:val="nil"/>
              <w:right w:val="nil"/>
            </w:tcBorders>
            <w:shd w:val="clear" w:color="auto" w:fill="FFFFFF"/>
          </w:tcPr>
          <w:p w14:paraId="7F9EAEE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白电龙头，全球化布局，ROE稳定</w:t>
            </w:r>
          </w:p>
        </w:tc>
        <w:tc>
          <w:tcPr>
            <w:tcBorders>
              <w:top w:val="nil"/>
              <w:left w:val="nil"/>
              <w:bottom w:val="nil"/>
              <w:right w:val="nil"/>
            </w:tcBorders>
            <w:shd w:val="clear" w:color="auto" w:fill="FFFFFF"/>
          </w:tcPr>
          <w:p w14:paraId="0FDA5280">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Borders>
              <w:top w:val="nil"/>
              <w:left w:val="nil"/>
              <w:bottom w:val="nil"/>
              <w:right w:val="nil"/>
            </w:tcBorders>
            <w:shd w:val="clear" w:color="auto" w:fill="FFFFFF"/>
          </w:tcPr>
          <w:p w14:paraId="2C234DC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62545E7E">
        <w:tc>
          <w:tcPr>
            <w:tcBorders>
              <w:top w:val="nil"/>
              <w:left w:val="nil"/>
              <w:bottom w:val="nil"/>
              <w:right w:val="nil"/>
            </w:tcBorders>
            <w:shd w:val="clear" w:color="auto" w:fill="FFFFFF"/>
          </w:tcPr>
          <w:p w14:paraId="1489EC7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17</w:t>
            </w:r>
          </w:p>
        </w:tc>
        <w:tc>
          <w:tcPr>
            <w:tcBorders>
              <w:top w:val="nil"/>
              <w:left w:val="nil"/>
              <w:bottom w:val="nil"/>
              <w:right w:val="nil"/>
            </w:tcBorders>
            <w:shd w:val="clear" w:color="auto" w:fill="FFFFFF"/>
          </w:tcPr>
          <w:p w14:paraId="107AB24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600887</w:t>
            </w:r>
          </w:p>
        </w:tc>
        <w:tc>
          <w:tcPr>
            <w:tcBorders>
              <w:top w:val="nil"/>
              <w:left w:val="nil"/>
              <w:bottom w:val="nil"/>
              <w:right w:val="nil"/>
            </w:tcBorders>
            <w:shd w:val="clear" w:color="auto" w:fill="FFFFFF"/>
          </w:tcPr>
          <w:p w14:paraId="5C69676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伊利股份</w:t>
            </w:r>
          </w:p>
        </w:tc>
        <w:tc>
          <w:tcPr>
            <w:tcBorders>
              <w:top w:val="nil"/>
              <w:left w:val="nil"/>
              <w:bottom w:val="nil"/>
              <w:right w:val="nil"/>
            </w:tcBorders>
            <w:shd w:val="clear" w:color="auto" w:fill="FFFFFF"/>
          </w:tcPr>
          <w:p w14:paraId="2D03409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消费/食品饮料</w:t>
            </w:r>
          </w:p>
        </w:tc>
        <w:tc>
          <w:tcPr>
            <w:tcBorders>
              <w:top w:val="nil"/>
              <w:left w:val="nil"/>
              <w:bottom w:val="nil"/>
              <w:right w:val="nil"/>
            </w:tcBorders>
            <w:shd w:val="clear" w:color="auto" w:fill="FFFFFF"/>
          </w:tcPr>
          <w:p w14:paraId="50C7105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乳业龙头，市占率与现金流优势</w:t>
            </w:r>
          </w:p>
        </w:tc>
        <w:tc>
          <w:tcPr>
            <w:tcBorders>
              <w:top w:val="nil"/>
              <w:left w:val="nil"/>
              <w:bottom w:val="nil"/>
              <w:right w:val="nil"/>
            </w:tcBorders>
            <w:shd w:val="clear" w:color="auto" w:fill="FFFFFF"/>
          </w:tcPr>
          <w:p w14:paraId="279E769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w:t>
            </w:r>
          </w:p>
        </w:tc>
        <w:tc>
          <w:tcPr>
            <w:tcBorders>
              <w:top w:val="nil"/>
              <w:left w:val="nil"/>
              <w:bottom w:val="nil"/>
              <w:right w:val="nil"/>
            </w:tcBorders>
            <w:shd w:val="clear" w:color="auto" w:fill="FFFFFF"/>
          </w:tcPr>
          <w:p w14:paraId="5A18ED6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r>
      <w:tr w14:paraId="38F27C3E">
        <w:tc>
          <w:tcPr>
            <w:tcBorders>
              <w:top w:val="nil"/>
              <w:left w:val="nil"/>
              <w:bottom w:val="nil"/>
              <w:right w:val="nil"/>
            </w:tcBorders>
            <w:shd w:val="clear" w:color="auto" w:fill="FFFFFF"/>
          </w:tcPr>
          <w:p w14:paraId="5817601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w:t>
            </w:r>
          </w:p>
        </w:tc>
        <w:tc>
          <w:tcPr>
            <w:tcBorders>
              <w:top w:val="nil"/>
              <w:left w:val="nil"/>
              <w:bottom w:val="nil"/>
              <w:right w:val="nil"/>
            </w:tcBorders>
            <w:shd w:val="clear" w:color="auto" w:fill="FFFFFF"/>
          </w:tcPr>
          <w:p w14:paraId="3100065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hk9992</w:t>
            </w:r>
          </w:p>
        </w:tc>
        <w:tc>
          <w:tcPr>
            <w:tcBorders>
              <w:top w:val="nil"/>
              <w:left w:val="nil"/>
              <w:bottom w:val="nil"/>
              <w:right w:val="nil"/>
            </w:tcBorders>
            <w:shd w:val="clear" w:color="auto" w:fill="FFFFFF"/>
          </w:tcPr>
          <w:p w14:paraId="2A75874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泡泡玛特</w:t>
            </w:r>
          </w:p>
        </w:tc>
        <w:tc>
          <w:tcPr>
            <w:tcBorders>
              <w:top w:val="nil"/>
              <w:left w:val="nil"/>
              <w:bottom w:val="nil"/>
              <w:right w:val="nil"/>
            </w:tcBorders>
            <w:shd w:val="clear" w:color="auto" w:fill="FFFFFF"/>
          </w:tcPr>
          <w:p w14:paraId="48ED7422">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新消费</w:t>
            </w:r>
          </w:p>
        </w:tc>
        <w:tc>
          <w:tcPr>
            <w:tcBorders>
              <w:top w:val="nil"/>
              <w:left w:val="nil"/>
              <w:bottom w:val="nil"/>
              <w:right w:val="nil"/>
            </w:tcBorders>
            <w:shd w:val="clear" w:color="auto" w:fill="FFFFFF"/>
          </w:tcPr>
          <w:p w14:paraId="53E9519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高弹性成长，IP运营+出海驱动</w:t>
            </w:r>
          </w:p>
        </w:tc>
        <w:tc>
          <w:tcPr>
            <w:tcBorders>
              <w:top w:val="nil"/>
              <w:left w:val="nil"/>
              <w:bottom w:val="nil"/>
              <w:right w:val="nil"/>
            </w:tcBorders>
            <w:shd w:val="clear" w:color="auto" w:fill="FFFFFF"/>
          </w:tcPr>
          <w:p w14:paraId="1C23D19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w:t>
            </w:r>
          </w:p>
        </w:tc>
        <w:tc>
          <w:tcPr>
            <w:tcBorders>
              <w:top w:val="nil"/>
              <w:left w:val="nil"/>
              <w:bottom w:val="nil"/>
              <w:right w:val="nil"/>
            </w:tcBorders>
            <w:shd w:val="clear" w:color="auto" w:fill="FFFFFF"/>
          </w:tcPr>
          <w:p w14:paraId="0476838D">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4BB1A683">
        <w:tc>
          <w:tcPr>
            <w:tcBorders>
              <w:top w:val="nil"/>
              <w:left w:val="nil"/>
              <w:bottom w:val="nil"/>
              <w:right w:val="nil"/>
            </w:tcBorders>
            <w:shd w:val="clear" w:color="auto" w:fill="FFFFFF"/>
          </w:tcPr>
          <w:p w14:paraId="120AC81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w:t>
            </w:r>
          </w:p>
        </w:tc>
        <w:tc>
          <w:tcPr>
            <w:tcBorders>
              <w:top w:val="nil"/>
              <w:left w:val="nil"/>
              <w:bottom w:val="nil"/>
              <w:right w:val="nil"/>
            </w:tcBorders>
            <w:shd w:val="clear" w:color="auto" w:fill="FFFFFF"/>
          </w:tcPr>
          <w:p w14:paraId="3DE2D92E">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hk0700</w:t>
            </w:r>
          </w:p>
        </w:tc>
        <w:tc>
          <w:tcPr>
            <w:tcBorders>
              <w:top w:val="nil"/>
              <w:left w:val="nil"/>
              <w:bottom w:val="nil"/>
              <w:right w:val="nil"/>
            </w:tcBorders>
            <w:shd w:val="clear" w:color="auto" w:fill="FFFFFF"/>
          </w:tcPr>
          <w:p w14:paraId="42437DDA">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腾讯控股</w:t>
            </w:r>
          </w:p>
        </w:tc>
        <w:tc>
          <w:tcPr>
            <w:tcBorders>
              <w:top w:val="nil"/>
              <w:left w:val="nil"/>
              <w:bottom w:val="nil"/>
              <w:right w:val="nil"/>
            </w:tcBorders>
            <w:shd w:val="clear" w:color="auto" w:fill="FFFFFF"/>
          </w:tcPr>
          <w:p w14:paraId="379DC25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互联网科技</w:t>
            </w:r>
          </w:p>
        </w:tc>
        <w:tc>
          <w:tcPr>
            <w:tcBorders>
              <w:top w:val="nil"/>
              <w:left w:val="nil"/>
              <w:bottom w:val="nil"/>
              <w:right w:val="nil"/>
            </w:tcBorders>
            <w:shd w:val="clear" w:color="auto" w:fill="FFFFFF"/>
          </w:tcPr>
          <w:p w14:paraId="460D233C">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社交生态+AI+游戏多元驱动</w:t>
            </w:r>
          </w:p>
        </w:tc>
        <w:tc>
          <w:tcPr>
            <w:tcBorders>
              <w:top w:val="nil"/>
              <w:left w:val="nil"/>
              <w:bottom w:val="nil"/>
              <w:right w:val="nil"/>
            </w:tcBorders>
            <w:shd w:val="clear" w:color="auto" w:fill="FFFFFF"/>
          </w:tcPr>
          <w:p w14:paraId="6E7B0E29">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w:t>
            </w:r>
          </w:p>
        </w:tc>
        <w:tc>
          <w:tcPr>
            <w:tcBorders>
              <w:top w:val="nil"/>
              <w:left w:val="nil"/>
              <w:bottom w:val="nil"/>
              <w:right w:val="nil"/>
            </w:tcBorders>
            <w:shd w:val="clear" w:color="auto" w:fill="FFFFFF"/>
          </w:tcPr>
          <w:p w14:paraId="37B0C486">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r w14:paraId="4B93FDBD">
        <w:tc>
          <w:tcPr>
            <w:tcBorders>
              <w:top w:val="nil"/>
              <w:left w:val="nil"/>
              <w:bottom w:val="single" w:color="000000" w:sz="12" w:space="0"/>
              <w:right w:val="nil"/>
            </w:tcBorders>
            <w:shd w:val="clear" w:color="auto" w:fill="FFFFFF"/>
          </w:tcPr>
          <w:p w14:paraId="3AAD1F0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w:t>
            </w:r>
          </w:p>
        </w:tc>
        <w:tc>
          <w:tcPr>
            <w:tcBorders>
              <w:top w:val="nil"/>
              <w:left w:val="nil"/>
              <w:bottom w:val="single" w:color="000000" w:sz="12" w:space="0"/>
              <w:right w:val="nil"/>
            </w:tcBorders>
            <w:shd w:val="clear" w:color="auto" w:fill="FFFFFF"/>
          </w:tcPr>
          <w:p w14:paraId="20700BE8">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515100</w:t>
            </w:r>
          </w:p>
        </w:tc>
        <w:tc>
          <w:tcPr>
            <w:tcBorders>
              <w:top w:val="nil"/>
              <w:left w:val="nil"/>
              <w:bottom w:val="single" w:color="000000" w:sz="12" w:space="0"/>
              <w:right w:val="nil"/>
            </w:tcBorders>
            <w:shd w:val="clear" w:color="auto" w:fill="FFFFFF"/>
          </w:tcPr>
          <w:p w14:paraId="3BF70C35">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中证红利低波动100景顺长城</w:t>
            </w:r>
          </w:p>
        </w:tc>
        <w:tc>
          <w:tcPr>
            <w:tcBorders>
              <w:top w:val="nil"/>
              <w:left w:val="nil"/>
              <w:bottom w:val="single" w:color="000000" w:sz="12" w:space="0"/>
              <w:right w:val="nil"/>
            </w:tcBorders>
            <w:shd w:val="clear" w:color="auto" w:fill="FFFFFF"/>
          </w:tcPr>
          <w:p w14:paraId="6E06BE3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红利策略/宽基</w:t>
            </w:r>
          </w:p>
        </w:tc>
        <w:tc>
          <w:tcPr>
            <w:tcBorders>
              <w:top w:val="nil"/>
              <w:left w:val="nil"/>
              <w:bottom w:val="single" w:color="000000" w:sz="12" w:space="0"/>
              <w:right w:val="nil"/>
            </w:tcBorders>
            <w:shd w:val="clear" w:color="auto" w:fill="FFFFFF"/>
          </w:tcPr>
          <w:p w14:paraId="3A67BC9B">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高股息低波动，穿越周期稳收益</w:t>
            </w:r>
          </w:p>
        </w:tc>
        <w:tc>
          <w:tcPr>
            <w:tcBorders>
              <w:top w:val="nil"/>
              <w:left w:val="nil"/>
              <w:bottom w:val="single" w:color="000000" w:sz="12" w:space="0"/>
              <w:right w:val="nil"/>
            </w:tcBorders>
            <w:shd w:val="clear" w:color="auto" w:fill="FFFFFF"/>
          </w:tcPr>
          <w:p w14:paraId="50532F03">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Borders>
              <w:top w:val="nil"/>
              <w:left w:val="nil"/>
              <w:bottom w:val="single" w:color="000000" w:sz="12" w:space="0"/>
              <w:right w:val="nil"/>
            </w:tcBorders>
            <w:shd w:val="clear" w:color="auto" w:fill="FFFFFF"/>
          </w:tcPr>
          <w:p w14:paraId="26A09AE7">
            <w:pPr>
              <w:pStyle w:val="24"/>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r>
    </w:tbl>
    <w:p w14:paraId="612024AC">
      <w:pPr>
        <w:pStyle w:val="3"/>
        <w:rPr>
          <w:rFonts w:hint="eastAsia" w:ascii="宋体" w:hAnsi="宋体" w:eastAsia="宋体" w:cs="宋体"/>
          <w:sz w:val="24"/>
          <w:szCs w:val="24"/>
        </w:rPr>
      </w:pPr>
      <w:r>
        <w:rPr>
          <w:rFonts w:hint="eastAsia" w:ascii="宋体" w:hAnsi="宋体" w:eastAsia="宋体" w:cs="宋体"/>
          <w:b/>
          <w:bCs/>
          <w:sz w:val="24"/>
          <w:szCs w:val="24"/>
        </w:rPr>
        <w:t>VQM动态选股</w:t>
      </w:r>
      <w:r>
        <w:rPr>
          <w:rFonts w:hint="eastAsia" w:ascii="宋体" w:hAnsi="宋体" w:eastAsia="宋体" w:cs="宋体"/>
          <w:b/>
          <w:bCs/>
          <w:sz w:val="24"/>
          <w:szCs w:val="24"/>
        </w:rPr>
        <w:t xml:space="preserve"> vs </w:t>
      </w:r>
      <w:r>
        <w:rPr>
          <w:rFonts w:hint="eastAsia" w:ascii="宋体" w:hAnsi="宋体" w:eastAsia="宋体" w:cs="宋体"/>
          <w:b/>
          <w:bCs/>
          <w:sz w:val="24"/>
          <w:szCs w:val="24"/>
        </w:rPr>
        <w:t>人工预设的差异</w:t>
      </w:r>
      <w:r>
        <w:rPr>
          <w:rFonts w:hint="eastAsia" w:ascii="宋体" w:hAnsi="宋体" w:eastAsia="宋体" w:cs="宋体"/>
          <w:sz w:val="24"/>
          <w:szCs w:val="24"/>
        </w:rPr>
        <w:t>：人工预设的10只中有3只（同仁堂、恒瑞医药、百济神州）从未被策略选中，红利ETF同样未被选中；而策略实际高频选中的江波龙（16次）、佰维存储（15次）在预设名单中均标为”否”。策略动态选出的10只持仓股票为：德明利、江波龙、佰维存储、普冉股份、兆易创新、泡泡玛特、腾讯控股、达仁堂、美的集团、伊利股份，与人工预设名单仅有5只重合。</w:t>
      </w:r>
    </w:p>
    <w:p w14:paraId="1ABD7867">
      <w:pPr>
        <w:pStyle w:val="5"/>
        <w:jc w:val="center"/>
        <w:rPr>
          <w:rFonts w:hint="eastAsia" w:ascii="宋体" w:hAnsi="宋体" w:eastAsia="宋体" w:cs="宋体"/>
          <w:sz w:val="24"/>
          <w:szCs w:val="24"/>
        </w:rPr>
      </w:pPr>
      <w:bookmarkStart w:id="7" w:name="聚焦10只股票的行业分布"/>
      <w:r>
        <w:rPr>
          <w:rFonts w:hint="eastAsia" w:ascii="宋体" w:hAnsi="宋体" w:eastAsia="宋体" w:cs="宋体"/>
          <w:sz w:val="24"/>
          <w:szCs w:val="24"/>
        </w:rPr>
        <w:t>聚焦10只股票的行业分布</w:t>
      </w:r>
    </w:p>
    <w:tbl>
      <w:tblPr>
        <w:tblStyle w:val="41"/>
        <w:tblW w:w="0" w:type="auto"/>
        <w:tblInd w:w="0" w:type="dxa"/>
        <w:tblLayout w:type="autofit"/>
        <w:tblCellMar>
          <w:top w:w="0" w:type="dxa"/>
          <w:left w:w="108" w:type="dxa"/>
          <w:bottom w:w="0" w:type="dxa"/>
          <w:right w:w="108" w:type="dxa"/>
        </w:tblCellMar>
      </w:tblPr>
      <w:tblGrid>
        <w:gridCol w:w="936"/>
        <w:gridCol w:w="696"/>
        <w:gridCol w:w="5496"/>
      </w:tblGrid>
      <w:tr w14:paraId="52D5FF88">
        <w:trPr>
          <w:tblHeader/>
        </w:trPr>
        <w:tc>
          <w:tcPr>
            <w:tcBorders>
              <w:top w:val="single" w:color="000000" w:sz="12" w:space="0"/>
              <w:left w:val="nil"/>
              <w:bottom w:val="single" w:color="000000" w:sz="4" w:space="0"/>
              <w:right w:val="nil"/>
              <w:tl2br w:val="nil"/>
            </w:tcBorders>
            <w:shd w:val="clear" w:color="auto" w:fill="FFFFFF"/>
          </w:tcPr>
          <w:p w14:paraId="2C7AD53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行业</w:t>
            </w:r>
          </w:p>
        </w:tc>
        <w:tc>
          <w:tcPr>
            <w:tcBorders>
              <w:top w:val="single" w:color="000000" w:sz="12" w:space="0"/>
              <w:left w:val="nil"/>
              <w:bottom w:val="single" w:color="000000" w:sz="4" w:space="0"/>
              <w:right w:val="nil"/>
            </w:tcBorders>
            <w:shd w:val="clear" w:color="auto" w:fill="FFFFFF"/>
          </w:tcPr>
          <w:p w14:paraId="2B88F10B">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数量</w:t>
            </w:r>
          </w:p>
        </w:tc>
        <w:tc>
          <w:tcPr>
            <w:tcBorders>
              <w:top w:val="single" w:color="000000" w:sz="12" w:space="0"/>
              <w:left w:val="nil"/>
              <w:bottom w:val="single" w:color="000000" w:sz="4" w:space="0"/>
              <w:right w:val="nil"/>
            </w:tcBorders>
            <w:shd w:val="clear" w:color="auto" w:fill="FFFFFF"/>
          </w:tcPr>
          <w:p w14:paraId="07FA49D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代表股票</w:t>
            </w:r>
          </w:p>
        </w:tc>
      </w:tr>
      <w:tr w14:paraId="096E34A3">
        <w:tc>
          <w:tcPr>
            <w:tcBorders>
              <w:top w:val="single" w:color="000000" w:sz="4" w:space="0"/>
              <w:left w:val="nil"/>
              <w:bottom w:val="nil"/>
              <w:right w:val="nil"/>
            </w:tcBorders>
            <w:shd w:val="clear" w:color="auto" w:fill="FFFFFF"/>
          </w:tcPr>
          <w:p w14:paraId="11BF6BE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半导体</w:t>
            </w:r>
          </w:p>
        </w:tc>
        <w:tc>
          <w:tcPr>
            <w:tcBorders>
              <w:top w:val="single" w:color="000000" w:sz="4" w:space="0"/>
              <w:left w:val="nil"/>
              <w:bottom w:val="nil"/>
              <w:right w:val="nil"/>
            </w:tcBorders>
            <w:shd w:val="clear" w:color="auto" w:fill="FFFFFF"/>
          </w:tcPr>
          <w:p w14:paraId="6CE898AC">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Borders>
              <w:top w:val="single" w:color="000000" w:sz="4" w:space="0"/>
              <w:left w:val="nil"/>
              <w:bottom w:val="nil"/>
              <w:right w:val="nil"/>
            </w:tcBorders>
            <w:shd w:val="clear" w:color="auto" w:fill="FFFFFF"/>
          </w:tcPr>
          <w:p w14:paraId="3A565C8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德明利、江波龙、佰维存储、兆易创新、普冉股份</w:t>
            </w:r>
          </w:p>
        </w:tc>
      </w:tr>
      <w:tr w14:paraId="2A72D0F4">
        <w:tc>
          <w:tcPr>
            <w:tcBorders>
              <w:top w:val="nil"/>
              <w:left w:val="nil"/>
              <w:bottom w:val="nil"/>
              <w:right w:val="nil"/>
            </w:tcBorders>
            <w:shd w:val="clear" w:color="auto" w:fill="FFFFFF"/>
          </w:tcPr>
          <w:p w14:paraId="595F0F2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消费</w:t>
            </w:r>
          </w:p>
        </w:tc>
        <w:tc>
          <w:tcPr>
            <w:tcBorders>
              <w:top w:val="nil"/>
              <w:left w:val="nil"/>
              <w:bottom w:val="nil"/>
              <w:right w:val="nil"/>
            </w:tcBorders>
            <w:shd w:val="clear" w:color="auto" w:fill="FFFFFF"/>
          </w:tcPr>
          <w:p w14:paraId="1A8C72F2">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Borders>
              <w:top w:val="nil"/>
              <w:left w:val="nil"/>
              <w:bottom w:val="nil"/>
              <w:right w:val="nil"/>
            </w:tcBorders>
            <w:shd w:val="clear" w:color="auto" w:fill="FFFFFF"/>
          </w:tcPr>
          <w:p w14:paraId="29606DE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泡泡玛特、美的集团、伊利股份</w:t>
            </w:r>
          </w:p>
        </w:tc>
      </w:tr>
      <w:tr w14:paraId="0F1AC601">
        <w:tc>
          <w:tcPr>
            <w:tcBorders>
              <w:top w:val="nil"/>
              <w:left w:val="nil"/>
              <w:bottom w:val="nil"/>
              <w:right w:val="nil"/>
            </w:tcBorders>
            <w:shd w:val="clear" w:color="auto" w:fill="FFFFFF"/>
          </w:tcPr>
          <w:p w14:paraId="060C242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互联网</w:t>
            </w:r>
          </w:p>
        </w:tc>
        <w:tc>
          <w:tcPr>
            <w:tcBorders>
              <w:top w:val="nil"/>
              <w:left w:val="nil"/>
              <w:bottom w:val="nil"/>
              <w:right w:val="nil"/>
            </w:tcBorders>
            <w:shd w:val="clear" w:color="auto" w:fill="FFFFFF"/>
          </w:tcPr>
          <w:p w14:paraId="3C38839E">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nil"/>
              <w:left w:val="nil"/>
              <w:bottom w:val="nil"/>
              <w:right w:val="nil"/>
            </w:tcBorders>
            <w:shd w:val="clear" w:color="auto" w:fill="FFFFFF"/>
          </w:tcPr>
          <w:p w14:paraId="7E994F5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腾讯控股</w:t>
            </w:r>
          </w:p>
        </w:tc>
      </w:tr>
      <w:tr w14:paraId="6402C27B">
        <w:tc>
          <w:tcPr>
            <w:tcBorders>
              <w:top w:val="nil"/>
              <w:left w:val="nil"/>
              <w:bottom w:val="single" w:color="000000" w:sz="12" w:space="0"/>
              <w:right w:val="nil"/>
            </w:tcBorders>
            <w:shd w:val="clear" w:color="auto" w:fill="FFFFFF"/>
          </w:tcPr>
          <w:p w14:paraId="371AB70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医药</w:t>
            </w:r>
          </w:p>
        </w:tc>
        <w:tc>
          <w:tcPr>
            <w:tcBorders>
              <w:top w:val="nil"/>
              <w:left w:val="nil"/>
              <w:bottom w:val="single" w:color="000000" w:sz="12" w:space="0"/>
              <w:right w:val="nil"/>
            </w:tcBorders>
            <w:shd w:val="clear" w:color="auto" w:fill="FFFFFF"/>
          </w:tcPr>
          <w:p w14:paraId="38A66EB7">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Borders>
              <w:top w:val="nil"/>
              <w:left w:val="nil"/>
              <w:bottom w:val="single" w:color="000000" w:sz="12" w:space="0"/>
              <w:right w:val="nil"/>
            </w:tcBorders>
            <w:shd w:val="clear" w:color="auto" w:fill="FFFFFF"/>
          </w:tcPr>
          <w:p w14:paraId="217AE15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达仁堂</w:t>
            </w:r>
          </w:p>
        </w:tc>
      </w:tr>
      <w:bookmarkEnd w:id="6"/>
      <w:bookmarkEnd w:id="7"/>
    </w:tbl>
    <w:p w14:paraId="634BE000">
      <w:pPr>
        <w:pStyle w:val="4"/>
        <w:rPr>
          <w:rFonts w:hint="eastAsia" w:ascii="宋体" w:hAnsi="宋体" w:eastAsia="宋体" w:cs="宋体"/>
          <w:sz w:val="24"/>
          <w:szCs w:val="24"/>
        </w:rPr>
      </w:pPr>
      <w:bookmarkStart w:id="8" w:name="数据来源和字段字典"/>
      <w:r>
        <w:rPr>
          <w:rFonts w:hint="eastAsia" w:ascii="宋体" w:hAnsi="宋体" w:eastAsia="宋体" w:cs="宋体"/>
          <w:sz w:val="24"/>
          <w:szCs w:val="24"/>
        </w:rPr>
        <w:t xml:space="preserve">2.2 </w:t>
      </w:r>
      <w:r>
        <w:rPr>
          <w:rFonts w:hint="eastAsia" w:ascii="宋体" w:hAnsi="宋体" w:eastAsia="宋体" w:cs="宋体"/>
          <w:sz w:val="24"/>
          <w:szCs w:val="24"/>
        </w:rPr>
        <w:t>数据来源和字段字典</w:t>
      </w:r>
    </w:p>
    <w:tbl>
      <w:tblPr>
        <w:tblStyle w:val="41"/>
        <w:tblpPr w:leftFromText="180" w:rightFromText="180" w:vertAnchor="text" w:horzAnchor="page" w:tblpX="1778" w:tblpY="388"/>
        <w:tblOverlap w:val="never"/>
        <w:tblW w:w="5000" w:type="pct"/>
        <w:tblInd w:w="0" w:type="dxa"/>
        <w:tblLayout w:type="fixed"/>
        <w:tblCellMar>
          <w:top w:w="0" w:type="dxa"/>
          <w:left w:w="108" w:type="dxa"/>
          <w:bottom w:w="0" w:type="dxa"/>
          <w:right w:w="108" w:type="dxa"/>
        </w:tblCellMar>
      </w:tblPr>
      <w:tblGrid>
        <w:gridCol w:w="2952"/>
        <w:gridCol w:w="2952"/>
        <w:gridCol w:w="2952"/>
      </w:tblGrid>
      <w:tr w14:paraId="74037927">
        <w:trPr>
          <w:tblHeader/>
        </w:trPr>
        <w:tc>
          <w:tcPr>
            <w:tcBorders>
              <w:top w:val="single" w:color="000000" w:sz="12" w:space="0"/>
              <w:left w:val="nil"/>
              <w:bottom w:val="single" w:color="000000" w:sz="4" w:space="0"/>
              <w:right w:val="nil"/>
              <w:tl2br w:val="nil"/>
            </w:tcBorders>
            <w:shd w:val="clear" w:color="auto" w:fill="FFFFFF"/>
          </w:tcPr>
          <w:p w14:paraId="437BCDCD">
            <w:pPr>
              <w:pStyle w:val="24"/>
              <w:jc w:val="left"/>
              <w:rPr>
                <w:rFonts w:hint="eastAsia" w:ascii="宋体" w:hAnsi="宋体" w:eastAsia="宋体" w:cs="宋体"/>
                <w:b w:val="0"/>
                <w:color w:val="000000"/>
                <w:sz w:val="24"/>
                <w:szCs w:val="24"/>
              </w:rPr>
            </w:pPr>
            <w:bookmarkStart w:id="9" w:name="数据来源"/>
            <w:r>
              <w:rPr>
                <w:rFonts w:hint="eastAsia" w:ascii="宋体" w:hAnsi="宋体" w:eastAsia="宋体" w:cs="宋体"/>
                <w:b w:val="0"/>
                <w:color w:val="000000"/>
                <w:sz w:val="24"/>
                <w:szCs w:val="24"/>
              </w:rPr>
              <w:t>数据类型</w:t>
            </w:r>
          </w:p>
        </w:tc>
        <w:tc>
          <w:tcPr>
            <w:tcBorders>
              <w:top w:val="single" w:color="000000" w:sz="12" w:space="0"/>
              <w:left w:val="nil"/>
              <w:bottom w:val="single" w:color="000000" w:sz="4" w:space="0"/>
              <w:right w:val="nil"/>
            </w:tcBorders>
            <w:shd w:val="clear" w:color="auto" w:fill="FFFFFF"/>
          </w:tcPr>
          <w:p w14:paraId="25FE868A">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来源</w:t>
            </w:r>
          </w:p>
        </w:tc>
        <w:tc>
          <w:tcPr>
            <w:tcBorders>
              <w:top w:val="single" w:color="000000" w:sz="12" w:space="0"/>
              <w:left w:val="nil"/>
              <w:bottom w:val="single" w:color="000000" w:sz="4" w:space="0"/>
              <w:right w:val="nil"/>
            </w:tcBorders>
            <w:shd w:val="clear" w:color="auto" w:fill="FFFFFF"/>
          </w:tcPr>
          <w:p w14:paraId="2824E25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说明</w:t>
            </w:r>
          </w:p>
        </w:tc>
      </w:tr>
      <w:tr w14:paraId="45D56154">
        <w:tc>
          <w:tcPr>
            <w:tcBorders>
              <w:top w:val="single" w:color="000000" w:sz="4" w:space="0"/>
              <w:left w:val="nil"/>
              <w:bottom w:val="nil"/>
              <w:right w:val="nil"/>
            </w:tcBorders>
            <w:shd w:val="clear" w:color="auto" w:fill="FFFFFF"/>
          </w:tcPr>
          <w:p w14:paraId="6C346DB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A股日线（17只）</w:t>
            </w:r>
          </w:p>
        </w:tc>
        <w:tc>
          <w:tcPr>
            <w:tcBorders>
              <w:top w:val="single" w:color="000000" w:sz="4" w:space="0"/>
              <w:left w:val="nil"/>
              <w:bottom w:val="nil"/>
              <w:right w:val="nil"/>
            </w:tcBorders>
            <w:shd w:val="clear" w:color="auto" w:fill="FFFFFF"/>
          </w:tcPr>
          <w:p w14:paraId="147A722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本地</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CSV（Ashare20260721</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目录）</w:t>
            </w:r>
          </w:p>
        </w:tc>
        <w:tc>
          <w:tcPr>
            <w:tcBorders>
              <w:top w:val="single" w:color="000000" w:sz="4" w:space="0"/>
              <w:left w:val="nil"/>
              <w:bottom w:val="nil"/>
              <w:right w:val="nil"/>
            </w:tcBorders>
            <w:shd w:val="clear" w:color="auto" w:fill="FFFFFF"/>
          </w:tcPr>
          <w:p w14:paraId="1A10ED7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29列含前复权/后复权价格，由</w:t>
            </w:r>
            <w:r>
              <w:rPr>
                <w:rFonts w:hint="eastAsia" w:ascii="宋体" w:hAnsi="宋体" w:eastAsia="宋体" w:cs="宋体"/>
                <w:b w:val="0"/>
                <w:color w:val="000000"/>
                <w:sz w:val="24"/>
                <w:szCs w:val="24"/>
              </w:rPr>
              <w:t xml:space="preserve"> Tushare </w:t>
            </w:r>
            <w:r>
              <w:rPr>
                <w:rFonts w:hint="eastAsia" w:ascii="宋体" w:hAnsi="宋体" w:eastAsia="宋体" w:cs="宋体"/>
                <w:b w:val="0"/>
                <w:color w:val="000000"/>
                <w:sz w:val="24"/>
                <w:szCs w:val="24"/>
              </w:rPr>
              <w:t>导出</w:t>
            </w:r>
          </w:p>
        </w:tc>
      </w:tr>
      <w:tr w14:paraId="72AA0CE4">
        <w:tc>
          <w:tcPr>
            <w:tcBorders>
              <w:top w:val="nil"/>
              <w:left w:val="nil"/>
              <w:bottom w:val="nil"/>
              <w:right w:val="nil"/>
            </w:tcBorders>
            <w:shd w:val="clear" w:color="auto" w:fill="FFFFFF"/>
          </w:tcPr>
          <w:p w14:paraId="000270A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港股日线（2只）</w:t>
            </w:r>
          </w:p>
        </w:tc>
        <w:tc>
          <w:tcPr>
            <w:tcBorders>
              <w:top w:val="nil"/>
              <w:left w:val="nil"/>
              <w:bottom w:val="nil"/>
              <w:right w:val="nil"/>
            </w:tcBorders>
            <w:shd w:val="clear" w:color="auto" w:fill="FFFFFF"/>
          </w:tcPr>
          <w:p w14:paraId="08206ADA">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akshare </w:t>
            </w:r>
            <w:r>
              <w:rPr>
                <w:rStyle w:val="48"/>
                <w:rFonts w:hint="eastAsia" w:ascii="宋体" w:hAnsi="宋体" w:eastAsia="宋体" w:cs="宋体"/>
                <w:b w:val="0"/>
                <w:color w:val="000000"/>
                <w:sz w:val="24"/>
                <w:szCs w:val="24"/>
              </w:rPr>
              <w:t>stock_hk_daily(adjust="qfq")</w:t>
            </w:r>
          </w:p>
        </w:tc>
        <w:tc>
          <w:tcPr>
            <w:tcBorders>
              <w:top w:val="nil"/>
              <w:left w:val="nil"/>
              <w:bottom w:val="nil"/>
              <w:right w:val="nil"/>
            </w:tcBorders>
            <w:shd w:val="clear" w:color="auto" w:fill="FFFFFF"/>
          </w:tcPr>
          <w:p w14:paraId="06A7AF9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腾讯控股(00700)、泡泡玛特(09992)</w:t>
            </w:r>
          </w:p>
        </w:tc>
      </w:tr>
      <w:tr w14:paraId="4B58FF55">
        <w:tc>
          <w:tcPr>
            <w:tcBorders>
              <w:top w:val="nil"/>
              <w:left w:val="nil"/>
              <w:bottom w:val="nil"/>
              <w:right w:val="nil"/>
            </w:tcBorders>
            <w:shd w:val="clear" w:color="auto" w:fill="FFFFFF"/>
          </w:tcPr>
          <w:p w14:paraId="008CF81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ETF日线（1只）</w:t>
            </w:r>
          </w:p>
        </w:tc>
        <w:tc>
          <w:tcPr>
            <w:tcBorders>
              <w:top w:val="nil"/>
              <w:left w:val="nil"/>
              <w:bottom w:val="nil"/>
              <w:right w:val="nil"/>
            </w:tcBorders>
            <w:shd w:val="clear" w:color="auto" w:fill="FFFFFF"/>
          </w:tcPr>
          <w:p w14:paraId="11E21FD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akshare </w:t>
            </w:r>
            <w:r>
              <w:rPr>
                <w:rStyle w:val="48"/>
                <w:rFonts w:hint="eastAsia" w:ascii="宋体" w:hAnsi="宋体" w:eastAsia="宋体" w:cs="宋体"/>
                <w:b w:val="0"/>
                <w:color w:val="000000"/>
                <w:sz w:val="24"/>
                <w:szCs w:val="24"/>
              </w:rPr>
              <w:t>fund_etf_hist_sina</w:t>
            </w:r>
            <w:r>
              <w:rPr>
                <w:rFonts w:hint="eastAsia" w:ascii="宋体" w:hAnsi="宋体" w:eastAsia="宋体" w:cs="宋体"/>
                <w:b w:val="0"/>
                <w:color w:val="000000"/>
                <w:sz w:val="24"/>
                <w:szCs w:val="24"/>
              </w:rPr>
              <w:t xml:space="preserve"> + </w:t>
            </w:r>
            <w:r>
              <w:rPr>
                <w:rFonts w:hint="eastAsia" w:ascii="宋体" w:hAnsi="宋体" w:eastAsia="宋体" w:cs="宋体"/>
                <w:b w:val="0"/>
                <w:color w:val="000000"/>
                <w:sz w:val="24"/>
                <w:szCs w:val="24"/>
              </w:rPr>
              <w:t>手动前复权</w:t>
            </w:r>
          </w:p>
        </w:tc>
        <w:tc>
          <w:tcPr>
            <w:tcBorders>
              <w:top w:val="nil"/>
              <w:left w:val="nil"/>
              <w:bottom w:val="nil"/>
              <w:right w:val="nil"/>
            </w:tcBorders>
            <w:shd w:val="clear" w:color="auto" w:fill="FFFFFF"/>
          </w:tcPr>
          <w:p w14:paraId="1A04B03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红利ETF(515100)，用分红数据手动计算复权因子</w:t>
            </w:r>
          </w:p>
        </w:tc>
      </w:tr>
      <w:tr w14:paraId="62130C93">
        <w:tc>
          <w:tcPr>
            <w:tcBorders>
              <w:top w:val="nil"/>
              <w:left w:val="nil"/>
              <w:bottom w:val="nil"/>
              <w:right w:val="nil"/>
            </w:tcBorders>
            <w:shd w:val="clear" w:color="auto" w:fill="FFFFFF"/>
          </w:tcPr>
          <w:p w14:paraId="38FC05D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PE（市盈率TTM）</w:t>
            </w:r>
          </w:p>
        </w:tc>
        <w:tc>
          <w:tcPr>
            <w:tcBorders>
              <w:top w:val="nil"/>
              <w:left w:val="nil"/>
              <w:bottom w:val="nil"/>
              <w:right w:val="nil"/>
            </w:tcBorders>
            <w:shd w:val="clear" w:color="auto" w:fill="FFFFFF"/>
          </w:tcPr>
          <w:p w14:paraId="12362DE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akshare </w:t>
            </w:r>
            <w:r>
              <w:rPr>
                <w:rStyle w:val="48"/>
                <w:rFonts w:hint="eastAsia" w:ascii="宋体" w:hAnsi="宋体" w:eastAsia="宋体" w:cs="宋体"/>
                <w:b w:val="0"/>
                <w:color w:val="000000"/>
                <w:sz w:val="24"/>
                <w:szCs w:val="24"/>
              </w:rPr>
              <w:t>stock_zh_valuation_baidu</w:t>
            </w:r>
            <w:r>
              <w:rPr>
                <w:rFonts w:hint="eastAsia" w:ascii="宋体" w:hAnsi="宋体" w:eastAsia="宋体" w:cs="宋体"/>
                <w:b w:val="0"/>
                <w:color w:val="000000"/>
                <w:sz w:val="24"/>
                <w:szCs w:val="24"/>
              </w:rPr>
              <w:t xml:space="preserve"> / </w:t>
            </w:r>
            <w:r>
              <w:rPr>
                <w:rStyle w:val="48"/>
                <w:rFonts w:hint="eastAsia" w:ascii="宋体" w:hAnsi="宋体" w:eastAsia="宋体" w:cs="宋体"/>
                <w:b w:val="0"/>
                <w:color w:val="000000"/>
                <w:sz w:val="24"/>
                <w:szCs w:val="24"/>
              </w:rPr>
              <w:t>stock_hk_valuation_baidu</w:t>
            </w:r>
          </w:p>
        </w:tc>
        <w:tc>
          <w:tcPr>
            <w:tcBorders>
              <w:top w:val="nil"/>
              <w:left w:val="nil"/>
              <w:bottom w:val="nil"/>
              <w:right w:val="nil"/>
            </w:tcBorders>
            <w:shd w:val="clear" w:color="auto" w:fill="FFFFFF"/>
          </w:tcPr>
          <w:p w14:paraId="59883D9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A股/港股分别获取，ETF无PE设为NaN</w:t>
            </w:r>
          </w:p>
        </w:tc>
      </w:tr>
      <w:tr w14:paraId="629DD261">
        <w:tc>
          <w:tcPr>
            <w:tcBorders>
              <w:top w:val="nil"/>
              <w:left w:val="nil"/>
              <w:bottom w:val="nil"/>
              <w:right w:val="nil"/>
            </w:tcBorders>
            <w:shd w:val="clear" w:color="auto" w:fill="FFFFFF"/>
          </w:tcPr>
          <w:p w14:paraId="19D6EE4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ROE（净资产收益率）</w:t>
            </w:r>
          </w:p>
        </w:tc>
        <w:tc>
          <w:tcPr>
            <w:tcBorders>
              <w:top w:val="nil"/>
              <w:left w:val="nil"/>
              <w:bottom w:val="nil"/>
              <w:right w:val="nil"/>
            </w:tcBorders>
            <w:shd w:val="clear" w:color="auto" w:fill="FFFFFF"/>
          </w:tcPr>
          <w:p w14:paraId="20780A33">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akshare </w:t>
            </w:r>
            <w:r>
              <w:rPr>
                <w:rStyle w:val="48"/>
                <w:rFonts w:hint="eastAsia" w:ascii="宋体" w:hAnsi="宋体" w:eastAsia="宋体" w:cs="宋体"/>
                <w:b w:val="0"/>
                <w:color w:val="000000"/>
                <w:sz w:val="24"/>
                <w:szCs w:val="24"/>
              </w:rPr>
              <w:t>stock_financial_analysis_indicator</w:t>
            </w:r>
            <w:r>
              <w:rPr>
                <w:rFonts w:hint="eastAsia" w:ascii="宋体" w:hAnsi="宋体" w:eastAsia="宋体" w:cs="宋体"/>
                <w:b w:val="0"/>
                <w:color w:val="000000"/>
                <w:sz w:val="24"/>
                <w:szCs w:val="24"/>
              </w:rPr>
              <w:t xml:space="preserve"> / </w:t>
            </w:r>
            <w:r>
              <w:rPr>
                <w:rStyle w:val="48"/>
                <w:rFonts w:hint="eastAsia" w:ascii="宋体" w:hAnsi="宋体" w:eastAsia="宋体" w:cs="宋体"/>
                <w:b w:val="0"/>
                <w:color w:val="000000"/>
                <w:sz w:val="24"/>
                <w:szCs w:val="24"/>
              </w:rPr>
              <w:t>stock_financial_hk_analysis_indicator_em</w:t>
            </w:r>
          </w:p>
        </w:tc>
        <w:tc>
          <w:tcPr>
            <w:tcBorders>
              <w:top w:val="nil"/>
              <w:left w:val="nil"/>
              <w:bottom w:val="nil"/>
              <w:right w:val="nil"/>
            </w:tcBorders>
            <w:shd w:val="clear" w:color="auto" w:fill="FFFFFF"/>
          </w:tcPr>
          <w:p w14:paraId="1955808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A股需传</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start_year="2023"</w:t>
            </w:r>
            <w:r>
              <w:rPr>
                <w:rFonts w:hint="eastAsia" w:ascii="宋体" w:hAnsi="宋体" w:eastAsia="宋体" w:cs="宋体"/>
                <w:b w:val="0"/>
                <w:color w:val="000000"/>
                <w:sz w:val="24"/>
                <w:szCs w:val="24"/>
              </w:rPr>
              <w:t>，ETF无ROE设为NaN</w:t>
            </w:r>
          </w:p>
        </w:tc>
      </w:tr>
      <w:tr w14:paraId="0591E568">
        <w:tc>
          <w:tcPr>
            <w:tcBorders>
              <w:top w:val="nil"/>
              <w:left w:val="nil"/>
              <w:bottom w:val="single" w:color="000000" w:sz="12" w:space="0"/>
              <w:right w:val="nil"/>
            </w:tcBorders>
            <w:shd w:val="clear" w:color="auto" w:fill="FFFFFF"/>
          </w:tcPr>
          <w:p w14:paraId="7969DE8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沪深300指数</w:t>
            </w:r>
          </w:p>
        </w:tc>
        <w:tc>
          <w:tcPr>
            <w:tcBorders>
              <w:top w:val="nil"/>
              <w:left w:val="nil"/>
              <w:bottom w:val="single" w:color="000000" w:sz="12" w:space="0"/>
              <w:right w:val="nil"/>
            </w:tcBorders>
            <w:shd w:val="clear" w:color="auto" w:fill="FFFFFF"/>
          </w:tcPr>
          <w:p w14:paraId="346B393D">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akshare </w:t>
            </w:r>
            <w:r>
              <w:rPr>
                <w:rStyle w:val="48"/>
                <w:rFonts w:hint="eastAsia" w:ascii="宋体" w:hAnsi="宋体" w:eastAsia="宋体" w:cs="宋体"/>
                <w:b w:val="0"/>
                <w:color w:val="000000"/>
                <w:sz w:val="24"/>
                <w:szCs w:val="24"/>
              </w:rPr>
              <w:t>stock_zh_index_daily(symbol="sh000300")</w:t>
            </w:r>
          </w:p>
        </w:tc>
        <w:tc>
          <w:tcPr>
            <w:tcBorders>
              <w:top w:val="nil"/>
              <w:left w:val="nil"/>
              <w:bottom w:val="single" w:color="000000" w:sz="12" w:space="0"/>
              <w:right w:val="nil"/>
            </w:tcBorders>
            <w:shd w:val="clear" w:color="auto" w:fill="FFFFFF"/>
          </w:tcPr>
          <w:p w14:paraId="57A1F8BA">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用作基准对比</w:t>
            </w:r>
          </w:p>
        </w:tc>
      </w:tr>
    </w:tbl>
    <w:p w14:paraId="0B9FCB50">
      <w:pPr>
        <w:pStyle w:val="5"/>
        <w:rPr>
          <w:rFonts w:hint="eastAsia" w:ascii="宋体" w:hAnsi="宋体" w:eastAsia="宋体" w:cs="宋体"/>
          <w:sz w:val="24"/>
          <w:szCs w:val="24"/>
        </w:rPr>
      </w:pPr>
      <w:r>
        <w:rPr>
          <w:rFonts w:hint="eastAsia" w:ascii="宋体" w:hAnsi="宋体" w:eastAsia="宋体" w:cs="宋体"/>
          <w:sz w:val="24"/>
          <w:szCs w:val="24"/>
        </w:rPr>
        <w:t xml:space="preserve">2.2.1 </w:t>
      </w:r>
      <w:r>
        <w:rPr>
          <w:rFonts w:hint="eastAsia" w:ascii="宋体" w:hAnsi="宋体" w:eastAsia="宋体" w:cs="宋体"/>
          <w:sz w:val="24"/>
          <w:szCs w:val="24"/>
        </w:rPr>
        <w:t>数据来源</w:t>
      </w:r>
    </w:p>
    <w:bookmarkEnd w:id="9"/>
    <w:p w14:paraId="3E3BD67F">
      <w:pPr>
        <w:pStyle w:val="5"/>
        <w:rPr>
          <w:rFonts w:hint="eastAsia" w:ascii="宋体" w:hAnsi="宋体" w:eastAsia="宋体" w:cs="宋体"/>
          <w:sz w:val="24"/>
          <w:szCs w:val="24"/>
        </w:rPr>
      </w:pPr>
      <w:bookmarkStart w:id="10" w:name="字段字典"/>
      <w:r>
        <w:rPr>
          <w:rFonts w:hint="eastAsia" w:ascii="宋体" w:hAnsi="宋体" w:eastAsia="宋体" w:cs="宋体"/>
          <w:sz w:val="24"/>
          <w:szCs w:val="24"/>
        </w:rPr>
        <w:t xml:space="preserve">2.2.2 </w:t>
      </w:r>
      <w:r>
        <w:rPr>
          <w:rFonts w:hint="eastAsia" w:ascii="宋体" w:hAnsi="宋体" w:eastAsia="宋体" w:cs="宋体"/>
          <w:sz w:val="24"/>
          <w:szCs w:val="24"/>
        </w:rPr>
        <w:t>字段字典</w:t>
      </w:r>
    </w:p>
    <w:p w14:paraId="71915964">
      <w:pPr>
        <w:pStyle w:val="23"/>
        <w:rPr>
          <w:rFonts w:hint="eastAsia" w:ascii="宋体" w:hAnsi="宋体" w:eastAsia="宋体" w:cs="宋体"/>
          <w:sz w:val="24"/>
          <w:szCs w:val="24"/>
        </w:rPr>
      </w:pPr>
      <w:r>
        <w:rPr>
          <w:rFonts w:hint="eastAsia" w:ascii="宋体" w:hAnsi="宋体" w:eastAsia="宋体" w:cs="宋体"/>
          <w:sz w:val="24"/>
          <w:szCs w:val="24"/>
        </w:rPr>
        <w:t>数据来源于本地</w:t>
      </w:r>
      <w:r>
        <w:rPr>
          <w:rFonts w:hint="eastAsia" w:ascii="宋体" w:hAnsi="宋体" w:eastAsia="宋体" w:cs="宋体"/>
          <w:sz w:val="24"/>
          <w:szCs w:val="24"/>
        </w:rPr>
        <w:t xml:space="preserve"> Tushare </w:t>
      </w:r>
      <w:r>
        <w:rPr>
          <w:rFonts w:hint="eastAsia" w:ascii="宋体" w:hAnsi="宋体" w:eastAsia="宋体" w:cs="宋体"/>
          <w:sz w:val="24"/>
          <w:szCs w:val="24"/>
        </w:rPr>
        <w:t>CSV（A股17只）、AKShare</w:t>
      </w:r>
      <w:r>
        <w:rPr>
          <w:rFonts w:hint="eastAsia" w:ascii="宋体" w:hAnsi="宋体" w:eastAsia="宋体" w:cs="宋体"/>
          <w:sz w:val="24"/>
          <w:szCs w:val="24"/>
        </w:rPr>
        <w:t xml:space="preserve"> </w:t>
      </w:r>
      <w:r>
        <w:rPr>
          <w:rFonts w:hint="eastAsia" w:ascii="宋体" w:hAnsi="宋体" w:eastAsia="宋体" w:cs="宋体"/>
          <w:sz w:val="24"/>
          <w:szCs w:val="24"/>
        </w:rPr>
        <w:t>在线接口（港股2只</w:t>
      </w:r>
      <w:r>
        <w:rPr>
          <w:rFonts w:hint="eastAsia" w:ascii="宋体" w:hAnsi="宋体" w:eastAsia="宋体" w:cs="宋体"/>
          <w:sz w:val="24"/>
          <w:szCs w:val="24"/>
        </w:rPr>
        <w:t xml:space="preserve"> + ETF </w:t>
      </w:r>
      <w:r>
        <w:rPr>
          <w:rFonts w:hint="eastAsia" w:ascii="宋体" w:hAnsi="宋体" w:eastAsia="宋体" w:cs="宋体"/>
          <w:sz w:val="24"/>
          <w:szCs w:val="24"/>
        </w:rPr>
        <w:t>1只），最终合并为统一的前复权日线</w:t>
      </w:r>
      <w:r>
        <w:rPr>
          <w:rFonts w:hint="eastAsia" w:ascii="宋体" w:hAnsi="宋体" w:eastAsia="宋体" w:cs="宋体"/>
          <w:sz w:val="24"/>
          <w:szCs w:val="24"/>
        </w:rPr>
        <w:t xml:space="preserve"> CSV </w:t>
      </w:r>
      <w:r>
        <w:rPr>
          <w:rFonts w:hint="eastAsia" w:ascii="宋体" w:hAnsi="宋体" w:eastAsia="宋体" w:cs="宋体"/>
          <w:sz w:val="24"/>
          <w:szCs w:val="24"/>
        </w:rPr>
        <w:t>文件。共</w:t>
      </w:r>
      <w:r>
        <w:rPr>
          <w:rFonts w:hint="eastAsia" w:ascii="宋体" w:hAnsi="宋体" w:eastAsia="宋体" w:cs="宋体"/>
          <w:sz w:val="24"/>
          <w:szCs w:val="24"/>
        </w:rPr>
        <w:t xml:space="preserve"> 29 </w:t>
      </w:r>
      <w:r>
        <w:rPr>
          <w:rFonts w:hint="eastAsia" w:ascii="宋体" w:hAnsi="宋体" w:eastAsia="宋体" w:cs="宋体"/>
          <w:sz w:val="24"/>
          <w:szCs w:val="24"/>
        </w:rPr>
        <w:t>列，策略实际使用的关键字段如下：</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37E18C1F">
        <w:trPr>
          <w:tblHeader/>
        </w:trPr>
        <w:tc>
          <w:tcPr>
            <w:tcBorders>
              <w:top w:val="single" w:color="000000" w:sz="12" w:space="0"/>
              <w:left w:val="nil"/>
              <w:bottom w:val="single" w:color="000000" w:sz="4" w:space="0"/>
              <w:right w:val="nil"/>
              <w:tl2br w:val="nil"/>
            </w:tcBorders>
            <w:shd w:val="clear" w:color="auto" w:fill="FFFFFF"/>
          </w:tcPr>
          <w:p w14:paraId="26B8078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字段名</w:t>
            </w:r>
          </w:p>
        </w:tc>
        <w:tc>
          <w:tcPr>
            <w:tcBorders>
              <w:top w:val="single" w:color="000000" w:sz="12" w:space="0"/>
              <w:left w:val="nil"/>
              <w:bottom w:val="single" w:color="000000" w:sz="4" w:space="0"/>
              <w:right w:val="nil"/>
            </w:tcBorders>
            <w:shd w:val="clear" w:color="auto" w:fill="FFFFFF"/>
          </w:tcPr>
          <w:p w14:paraId="3B134EA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含义</w:t>
            </w:r>
          </w:p>
        </w:tc>
        <w:tc>
          <w:tcPr>
            <w:tcBorders>
              <w:top w:val="single" w:color="000000" w:sz="12" w:space="0"/>
              <w:left w:val="nil"/>
              <w:bottom w:val="single" w:color="000000" w:sz="4" w:space="0"/>
              <w:right w:val="nil"/>
            </w:tcBorders>
            <w:shd w:val="clear" w:color="auto" w:fill="FFFFFF"/>
          </w:tcPr>
          <w:p w14:paraId="3BB99ED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单位</w:t>
            </w:r>
          </w:p>
        </w:tc>
        <w:tc>
          <w:tcPr>
            <w:tcBorders>
              <w:top w:val="single" w:color="000000" w:sz="12" w:space="0"/>
              <w:left w:val="nil"/>
              <w:bottom w:val="single" w:color="000000" w:sz="4" w:space="0"/>
              <w:right w:val="nil"/>
            </w:tcBorders>
            <w:shd w:val="clear" w:color="auto" w:fill="FFFFFF"/>
          </w:tcPr>
          <w:p w14:paraId="57111E1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备注</w:t>
            </w:r>
          </w:p>
        </w:tc>
      </w:tr>
      <w:tr w14:paraId="6EB30130">
        <w:tc>
          <w:tcPr>
            <w:tcBorders>
              <w:top w:val="single" w:color="000000" w:sz="4" w:space="0"/>
              <w:left w:val="nil"/>
              <w:bottom w:val="nil"/>
              <w:right w:val="nil"/>
            </w:tcBorders>
            <w:shd w:val="clear" w:color="auto" w:fill="FFFFFF"/>
          </w:tcPr>
          <w:p w14:paraId="7C9087B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ts_code</w:t>
            </w:r>
          </w:p>
        </w:tc>
        <w:tc>
          <w:tcPr>
            <w:tcBorders>
              <w:top w:val="single" w:color="000000" w:sz="4" w:space="0"/>
              <w:left w:val="nil"/>
              <w:bottom w:val="nil"/>
              <w:right w:val="nil"/>
            </w:tcBorders>
            <w:shd w:val="clear" w:color="auto" w:fill="FFFFFF"/>
          </w:tcPr>
          <w:p w14:paraId="24AD015A">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股票代码</w:t>
            </w:r>
          </w:p>
        </w:tc>
        <w:tc>
          <w:tcPr>
            <w:tcBorders>
              <w:top w:val="single" w:color="000000" w:sz="4" w:space="0"/>
              <w:left w:val="nil"/>
              <w:bottom w:val="nil"/>
              <w:right w:val="nil"/>
            </w:tcBorders>
            <w:shd w:val="clear" w:color="auto" w:fill="FFFFFF"/>
          </w:tcPr>
          <w:p w14:paraId="7149397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single" w:color="000000" w:sz="4" w:space="0"/>
              <w:left w:val="nil"/>
              <w:bottom w:val="nil"/>
              <w:right w:val="nil"/>
            </w:tcBorders>
            <w:shd w:val="clear" w:color="auto" w:fill="FFFFFF"/>
          </w:tcPr>
          <w:p w14:paraId="69A2B79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格式</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600519.SH</w:t>
            </w:r>
            <w:r>
              <w:rPr>
                <w:rFonts w:hint="eastAsia" w:ascii="宋体" w:hAnsi="宋体" w:eastAsia="宋体" w:cs="宋体"/>
                <w:b w:val="0"/>
                <w:color w:val="000000"/>
                <w:sz w:val="24"/>
                <w:szCs w:val="24"/>
              </w:rPr>
              <w:t xml:space="preserve"> / </w:t>
            </w:r>
            <w:r>
              <w:rPr>
                <w:rStyle w:val="48"/>
                <w:rFonts w:hint="eastAsia" w:ascii="宋体" w:hAnsi="宋体" w:eastAsia="宋体" w:cs="宋体"/>
                <w:b w:val="0"/>
                <w:color w:val="000000"/>
                <w:sz w:val="24"/>
                <w:szCs w:val="24"/>
              </w:rPr>
              <w:t>00700.HK</w:t>
            </w:r>
          </w:p>
        </w:tc>
      </w:tr>
      <w:tr w14:paraId="1225DF74">
        <w:tc>
          <w:tcPr>
            <w:tcBorders>
              <w:top w:val="nil"/>
              <w:left w:val="nil"/>
              <w:bottom w:val="nil"/>
              <w:right w:val="nil"/>
            </w:tcBorders>
            <w:shd w:val="clear" w:color="auto" w:fill="FFFFFF"/>
          </w:tcPr>
          <w:p w14:paraId="5BB710E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trade_date</w:t>
            </w:r>
          </w:p>
        </w:tc>
        <w:tc>
          <w:tcPr>
            <w:tcBorders>
              <w:top w:val="nil"/>
              <w:left w:val="nil"/>
              <w:bottom w:val="nil"/>
              <w:right w:val="nil"/>
            </w:tcBorders>
            <w:shd w:val="clear" w:color="auto" w:fill="FFFFFF"/>
          </w:tcPr>
          <w:p w14:paraId="7666404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交易日期</w:t>
            </w:r>
          </w:p>
        </w:tc>
        <w:tc>
          <w:tcPr>
            <w:tcBorders>
              <w:top w:val="nil"/>
              <w:left w:val="nil"/>
              <w:bottom w:val="nil"/>
              <w:right w:val="nil"/>
            </w:tcBorders>
            <w:shd w:val="clear" w:color="auto" w:fill="FFFFFF"/>
          </w:tcPr>
          <w:p w14:paraId="098777E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5471E67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YYYY-MM-DD</w:t>
            </w:r>
          </w:p>
        </w:tc>
      </w:tr>
      <w:tr w14:paraId="665DF10B">
        <w:tc>
          <w:tcPr>
            <w:tcBorders>
              <w:top w:val="nil"/>
              <w:left w:val="nil"/>
              <w:bottom w:val="nil"/>
              <w:right w:val="nil"/>
            </w:tcBorders>
            <w:shd w:val="clear" w:color="auto" w:fill="FFFFFF"/>
          </w:tcPr>
          <w:p w14:paraId="6882EAF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name</w:t>
            </w:r>
          </w:p>
        </w:tc>
        <w:tc>
          <w:tcPr>
            <w:tcBorders>
              <w:top w:val="nil"/>
              <w:left w:val="nil"/>
              <w:bottom w:val="nil"/>
              <w:right w:val="nil"/>
            </w:tcBorders>
            <w:shd w:val="clear" w:color="auto" w:fill="FFFFFF"/>
          </w:tcPr>
          <w:p w14:paraId="4F7611B3">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股票名称</w:t>
            </w:r>
          </w:p>
        </w:tc>
        <w:tc>
          <w:tcPr>
            <w:tcBorders>
              <w:top w:val="nil"/>
              <w:left w:val="nil"/>
              <w:bottom w:val="nil"/>
              <w:right w:val="nil"/>
            </w:tcBorders>
            <w:shd w:val="clear" w:color="auto" w:fill="FFFFFF"/>
          </w:tcPr>
          <w:p w14:paraId="1FC80D0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3901AE8D">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4D996C1B">
        <w:tc>
          <w:tcPr>
            <w:tcBorders>
              <w:top w:val="nil"/>
              <w:left w:val="nil"/>
              <w:bottom w:val="nil"/>
              <w:right w:val="nil"/>
            </w:tcBorders>
            <w:shd w:val="clear" w:color="auto" w:fill="FFFFFF"/>
          </w:tcPr>
          <w:p w14:paraId="7F96D91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open</w:t>
            </w:r>
          </w:p>
        </w:tc>
        <w:tc>
          <w:tcPr>
            <w:tcBorders>
              <w:top w:val="nil"/>
              <w:left w:val="nil"/>
              <w:bottom w:val="nil"/>
              <w:right w:val="nil"/>
            </w:tcBorders>
            <w:shd w:val="clear" w:color="auto" w:fill="FFFFFF"/>
          </w:tcPr>
          <w:p w14:paraId="1CF12E3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开盘价</w:t>
            </w:r>
          </w:p>
        </w:tc>
        <w:tc>
          <w:tcPr>
            <w:tcBorders>
              <w:top w:val="nil"/>
              <w:left w:val="nil"/>
              <w:bottom w:val="nil"/>
              <w:right w:val="nil"/>
            </w:tcBorders>
            <w:shd w:val="clear" w:color="auto" w:fill="FFFFFF"/>
          </w:tcPr>
          <w:p w14:paraId="1727D7A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34D779B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原始价格</w:t>
            </w:r>
          </w:p>
        </w:tc>
      </w:tr>
      <w:tr w14:paraId="3DF8A6F2">
        <w:tc>
          <w:tcPr>
            <w:tcBorders>
              <w:top w:val="nil"/>
              <w:left w:val="nil"/>
              <w:bottom w:val="nil"/>
              <w:right w:val="nil"/>
            </w:tcBorders>
            <w:shd w:val="clear" w:color="auto" w:fill="FFFFFF"/>
          </w:tcPr>
          <w:p w14:paraId="01F31FB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high</w:t>
            </w:r>
          </w:p>
        </w:tc>
        <w:tc>
          <w:tcPr>
            <w:tcBorders>
              <w:top w:val="nil"/>
              <w:left w:val="nil"/>
              <w:bottom w:val="nil"/>
              <w:right w:val="nil"/>
            </w:tcBorders>
            <w:shd w:val="clear" w:color="auto" w:fill="FFFFFF"/>
          </w:tcPr>
          <w:p w14:paraId="2CBAAF2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最高价</w:t>
            </w:r>
          </w:p>
        </w:tc>
        <w:tc>
          <w:tcPr>
            <w:tcBorders>
              <w:top w:val="nil"/>
              <w:left w:val="nil"/>
              <w:bottom w:val="nil"/>
              <w:right w:val="nil"/>
            </w:tcBorders>
            <w:shd w:val="clear" w:color="auto" w:fill="FFFFFF"/>
          </w:tcPr>
          <w:p w14:paraId="051C1D2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0F13F87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原始价格</w:t>
            </w:r>
          </w:p>
        </w:tc>
      </w:tr>
      <w:tr w14:paraId="278B0FCC">
        <w:tc>
          <w:tcPr>
            <w:tcBorders>
              <w:top w:val="nil"/>
              <w:left w:val="nil"/>
              <w:bottom w:val="nil"/>
              <w:right w:val="nil"/>
            </w:tcBorders>
            <w:shd w:val="clear" w:color="auto" w:fill="FFFFFF"/>
          </w:tcPr>
          <w:p w14:paraId="5EF8025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low</w:t>
            </w:r>
          </w:p>
        </w:tc>
        <w:tc>
          <w:tcPr>
            <w:tcBorders>
              <w:top w:val="nil"/>
              <w:left w:val="nil"/>
              <w:bottom w:val="nil"/>
              <w:right w:val="nil"/>
            </w:tcBorders>
            <w:shd w:val="clear" w:color="auto" w:fill="FFFFFF"/>
          </w:tcPr>
          <w:p w14:paraId="0DED477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最低价</w:t>
            </w:r>
          </w:p>
        </w:tc>
        <w:tc>
          <w:tcPr>
            <w:tcBorders>
              <w:top w:val="nil"/>
              <w:left w:val="nil"/>
              <w:bottom w:val="nil"/>
              <w:right w:val="nil"/>
            </w:tcBorders>
            <w:shd w:val="clear" w:color="auto" w:fill="FFFFFF"/>
          </w:tcPr>
          <w:p w14:paraId="41FF846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1242B9B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原始价格</w:t>
            </w:r>
          </w:p>
        </w:tc>
      </w:tr>
      <w:tr w14:paraId="67C2436C">
        <w:tc>
          <w:tcPr>
            <w:tcBorders>
              <w:top w:val="nil"/>
              <w:left w:val="nil"/>
              <w:bottom w:val="nil"/>
              <w:right w:val="nil"/>
            </w:tcBorders>
            <w:shd w:val="clear" w:color="auto" w:fill="FFFFFF"/>
          </w:tcPr>
          <w:p w14:paraId="1E1A278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close</w:t>
            </w:r>
          </w:p>
        </w:tc>
        <w:tc>
          <w:tcPr>
            <w:tcBorders>
              <w:top w:val="nil"/>
              <w:left w:val="nil"/>
              <w:bottom w:val="nil"/>
              <w:right w:val="nil"/>
            </w:tcBorders>
            <w:shd w:val="clear" w:color="auto" w:fill="FFFFFF"/>
          </w:tcPr>
          <w:p w14:paraId="1BE44BA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收盘价</w:t>
            </w:r>
          </w:p>
        </w:tc>
        <w:tc>
          <w:tcPr>
            <w:tcBorders>
              <w:top w:val="nil"/>
              <w:left w:val="nil"/>
              <w:bottom w:val="nil"/>
              <w:right w:val="nil"/>
            </w:tcBorders>
            <w:shd w:val="clear" w:color="auto" w:fill="FFFFFF"/>
          </w:tcPr>
          <w:p w14:paraId="15727674">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03E47F0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原始价格</w:t>
            </w:r>
          </w:p>
        </w:tc>
      </w:tr>
      <w:tr w14:paraId="5A09D45B">
        <w:tc>
          <w:tcPr>
            <w:tcBorders>
              <w:top w:val="nil"/>
              <w:left w:val="nil"/>
              <w:bottom w:val="nil"/>
              <w:right w:val="nil"/>
            </w:tcBorders>
            <w:shd w:val="clear" w:color="auto" w:fill="FFFFFF"/>
          </w:tcPr>
          <w:p w14:paraId="747EFE0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pre_close</w:t>
            </w:r>
          </w:p>
        </w:tc>
        <w:tc>
          <w:tcPr>
            <w:tcBorders>
              <w:top w:val="nil"/>
              <w:left w:val="nil"/>
              <w:bottom w:val="nil"/>
              <w:right w:val="nil"/>
            </w:tcBorders>
            <w:shd w:val="clear" w:color="auto" w:fill="FFFFFF"/>
          </w:tcPr>
          <w:p w14:paraId="1F54CCB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前收盘价</w:t>
            </w:r>
          </w:p>
        </w:tc>
        <w:tc>
          <w:tcPr>
            <w:tcBorders>
              <w:top w:val="nil"/>
              <w:left w:val="nil"/>
              <w:bottom w:val="nil"/>
              <w:right w:val="nil"/>
            </w:tcBorders>
            <w:shd w:val="clear" w:color="auto" w:fill="FFFFFF"/>
          </w:tcPr>
          <w:p w14:paraId="1F29E7C4">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3659749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港股/ETF为NaN</w:t>
            </w:r>
          </w:p>
        </w:tc>
      </w:tr>
      <w:tr w14:paraId="5B20B0D9">
        <w:tc>
          <w:tcPr>
            <w:tcBorders>
              <w:top w:val="nil"/>
              <w:left w:val="nil"/>
              <w:bottom w:val="nil"/>
              <w:right w:val="nil"/>
            </w:tcBorders>
            <w:shd w:val="clear" w:color="auto" w:fill="FFFFFF"/>
          </w:tcPr>
          <w:p w14:paraId="58FC374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pct_chg</w:t>
            </w:r>
          </w:p>
        </w:tc>
        <w:tc>
          <w:tcPr>
            <w:tcBorders>
              <w:top w:val="nil"/>
              <w:left w:val="nil"/>
              <w:bottom w:val="nil"/>
              <w:right w:val="nil"/>
            </w:tcBorders>
            <w:shd w:val="clear" w:color="auto" w:fill="FFFFFF"/>
          </w:tcPr>
          <w:p w14:paraId="704EDE8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涨跌幅</w:t>
            </w:r>
          </w:p>
        </w:tc>
        <w:tc>
          <w:tcPr>
            <w:tcBorders>
              <w:top w:val="nil"/>
              <w:left w:val="nil"/>
              <w:bottom w:val="nil"/>
              <w:right w:val="nil"/>
            </w:tcBorders>
            <w:shd w:val="clear" w:color="auto" w:fill="FFFFFF"/>
          </w:tcPr>
          <w:p w14:paraId="18C7BEA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77BD977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当日涨跌幅</w:t>
            </w:r>
          </w:p>
        </w:tc>
      </w:tr>
      <w:tr w14:paraId="4C2C4093">
        <w:tc>
          <w:tcPr>
            <w:tcBorders>
              <w:top w:val="nil"/>
              <w:left w:val="nil"/>
              <w:bottom w:val="nil"/>
              <w:right w:val="nil"/>
            </w:tcBorders>
            <w:shd w:val="clear" w:color="auto" w:fill="FFFFFF"/>
          </w:tcPr>
          <w:p w14:paraId="1A3A9D2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vol</w:t>
            </w:r>
          </w:p>
        </w:tc>
        <w:tc>
          <w:tcPr>
            <w:tcBorders>
              <w:top w:val="nil"/>
              <w:left w:val="nil"/>
              <w:bottom w:val="nil"/>
              <w:right w:val="nil"/>
            </w:tcBorders>
            <w:shd w:val="clear" w:color="auto" w:fill="FFFFFF"/>
          </w:tcPr>
          <w:p w14:paraId="511C555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成交量</w:t>
            </w:r>
          </w:p>
        </w:tc>
        <w:tc>
          <w:tcPr>
            <w:tcBorders>
              <w:top w:val="nil"/>
              <w:left w:val="nil"/>
              <w:bottom w:val="nil"/>
              <w:right w:val="nil"/>
            </w:tcBorders>
            <w:shd w:val="clear" w:color="auto" w:fill="FFFFFF"/>
          </w:tcPr>
          <w:p w14:paraId="067DDF8D">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手</w:t>
            </w:r>
          </w:p>
        </w:tc>
        <w:tc>
          <w:tcPr>
            <w:tcBorders>
              <w:top w:val="nil"/>
              <w:left w:val="nil"/>
              <w:bottom w:val="nil"/>
              <w:right w:val="nil"/>
            </w:tcBorders>
            <w:shd w:val="clear" w:color="auto" w:fill="FFFFFF"/>
          </w:tcPr>
          <w:p w14:paraId="6206F96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5CC8298A">
        <w:tc>
          <w:tcPr>
            <w:tcBorders>
              <w:top w:val="nil"/>
              <w:left w:val="nil"/>
              <w:bottom w:val="nil"/>
              <w:right w:val="nil"/>
            </w:tcBorders>
            <w:shd w:val="clear" w:color="auto" w:fill="FFFFFF"/>
          </w:tcPr>
          <w:p w14:paraId="5B4EFA8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amount</w:t>
            </w:r>
          </w:p>
        </w:tc>
        <w:tc>
          <w:tcPr>
            <w:tcBorders>
              <w:top w:val="nil"/>
              <w:left w:val="nil"/>
              <w:bottom w:val="nil"/>
              <w:right w:val="nil"/>
            </w:tcBorders>
            <w:shd w:val="clear" w:color="auto" w:fill="FFFFFF"/>
          </w:tcPr>
          <w:p w14:paraId="0A15361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成交额</w:t>
            </w:r>
          </w:p>
        </w:tc>
        <w:tc>
          <w:tcPr>
            <w:tcBorders>
              <w:top w:val="nil"/>
              <w:left w:val="nil"/>
              <w:bottom w:val="nil"/>
              <w:right w:val="nil"/>
            </w:tcBorders>
            <w:shd w:val="clear" w:color="auto" w:fill="FFFFFF"/>
          </w:tcPr>
          <w:p w14:paraId="53155E14">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6D213AA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70BC7621">
        <w:tc>
          <w:tcPr>
            <w:tcBorders>
              <w:top w:val="nil"/>
              <w:left w:val="nil"/>
              <w:bottom w:val="nil"/>
              <w:right w:val="nil"/>
            </w:tcBorders>
            <w:shd w:val="clear" w:color="auto" w:fill="FFFFFF"/>
          </w:tcPr>
          <w:p w14:paraId="26AFC07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adj_factor</w:t>
            </w:r>
          </w:p>
        </w:tc>
        <w:tc>
          <w:tcPr>
            <w:tcBorders>
              <w:top w:val="nil"/>
              <w:left w:val="nil"/>
              <w:bottom w:val="nil"/>
              <w:right w:val="nil"/>
            </w:tcBorders>
            <w:shd w:val="clear" w:color="auto" w:fill="FFFFFF"/>
          </w:tcPr>
          <w:p w14:paraId="3819311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复权因子</w:t>
            </w:r>
          </w:p>
        </w:tc>
        <w:tc>
          <w:tcPr>
            <w:tcBorders>
              <w:top w:val="nil"/>
              <w:left w:val="nil"/>
              <w:bottom w:val="nil"/>
              <w:right w:val="nil"/>
            </w:tcBorders>
            <w:shd w:val="clear" w:color="auto" w:fill="FFFFFF"/>
          </w:tcPr>
          <w:p w14:paraId="231A92D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07C0C20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港股/ETF为NaN</w:t>
            </w:r>
          </w:p>
        </w:tc>
      </w:tr>
      <w:tr w14:paraId="5D5680D5">
        <w:tc>
          <w:tcPr>
            <w:tcBorders>
              <w:top w:val="nil"/>
              <w:left w:val="nil"/>
              <w:bottom w:val="nil"/>
              <w:right w:val="nil"/>
            </w:tcBorders>
            <w:shd w:val="clear" w:color="auto" w:fill="FFFFFF"/>
          </w:tcPr>
          <w:p w14:paraId="3628475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close_qfq</w:t>
            </w:r>
          </w:p>
        </w:tc>
        <w:tc>
          <w:tcPr>
            <w:tcBorders>
              <w:top w:val="nil"/>
              <w:left w:val="nil"/>
              <w:bottom w:val="nil"/>
              <w:right w:val="nil"/>
            </w:tcBorders>
            <w:shd w:val="clear" w:color="auto" w:fill="FFFFFF"/>
          </w:tcPr>
          <w:p w14:paraId="40B10AE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前复权收盘价</w:t>
            </w:r>
          </w:p>
        </w:tc>
        <w:tc>
          <w:tcPr>
            <w:tcBorders>
              <w:top w:val="nil"/>
              <w:left w:val="nil"/>
              <w:bottom w:val="nil"/>
              <w:right w:val="nil"/>
            </w:tcBorders>
            <w:shd w:val="clear" w:color="auto" w:fill="FFFFFF"/>
          </w:tcPr>
          <w:p w14:paraId="1A5E200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3B036C53">
            <w:pPr>
              <w:pStyle w:val="24"/>
              <w:jc w:val="left"/>
              <w:rPr>
                <w:rFonts w:hint="eastAsia" w:ascii="宋体" w:hAnsi="宋体" w:eastAsia="宋体" w:cs="宋体"/>
                <w:b w:val="0"/>
                <w:color w:val="000000"/>
                <w:sz w:val="24"/>
                <w:szCs w:val="24"/>
              </w:rPr>
            </w:pPr>
            <w:r>
              <w:rPr>
                <w:rFonts w:hint="eastAsia" w:ascii="宋体" w:hAnsi="宋体" w:eastAsia="宋体" w:cs="宋体"/>
                <w:b w:val="0"/>
                <w:bCs/>
                <w:color w:val="000000"/>
                <w:sz w:val="24"/>
                <w:szCs w:val="24"/>
              </w:rPr>
              <w:t>策略核心字段</w:t>
            </w:r>
            <w:r>
              <w:rPr>
                <w:rFonts w:hint="eastAsia" w:ascii="宋体" w:hAnsi="宋体" w:eastAsia="宋体" w:cs="宋体"/>
                <w:b w:val="0"/>
                <w:color w:val="000000"/>
                <w:sz w:val="24"/>
                <w:szCs w:val="24"/>
              </w:rPr>
              <w:t>，用于动量、均线、收益率</w:t>
            </w:r>
          </w:p>
        </w:tc>
      </w:tr>
      <w:tr w14:paraId="4206553D">
        <w:tc>
          <w:tcPr>
            <w:tcBorders>
              <w:top w:val="nil"/>
              <w:left w:val="nil"/>
              <w:bottom w:val="nil"/>
              <w:right w:val="nil"/>
            </w:tcBorders>
            <w:shd w:val="clear" w:color="auto" w:fill="FFFFFF"/>
          </w:tcPr>
          <w:p w14:paraId="6518654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pct_chg_qfq</w:t>
            </w:r>
          </w:p>
        </w:tc>
        <w:tc>
          <w:tcPr>
            <w:tcBorders>
              <w:top w:val="nil"/>
              <w:left w:val="nil"/>
              <w:bottom w:val="nil"/>
              <w:right w:val="nil"/>
            </w:tcBorders>
            <w:shd w:val="clear" w:color="auto" w:fill="FFFFFF"/>
          </w:tcPr>
          <w:p w14:paraId="6604F20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前复权涨跌幅</w:t>
            </w:r>
          </w:p>
        </w:tc>
        <w:tc>
          <w:tcPr>
            <w:tcBorders>
              <w:top w:val="nil"/>
              <w:left w:val="nil"/>
              <w:bottom w:val="nil"/>
              <w:right w:val="nil"/>
            </w:tcBorders>
            <w:shd w:val="clear" w:color="auto" w:fill="FFFFFF"/>
          </w:tcPr>
          <w:p w14:paraId="658C79B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5E5A170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44C4DA1C">
        <w:tc>
          <w:tcPr>
            <w:tcBorders>
              <w:top w:val="nil"/>
              <w:left w:val="nil"/>
              <w:bottom w:val="nil"/>
              <w:right w:val="nil"/>
            </w:tcBorders>
            <w:shd w:val="clear" w:color="auto" w:fill="FFFFFF"/>
          </w:tcPr>
          <w:p w14:paraId="70116D4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close_hfq</w:t>
            </w:r>
          </w:p>
        </w:tc>
        <w:tc>
          <w:tcPr>
            <w:tcBorders>
              <w:top w:val="nil"/>
              <w:left w:val="nil"/>
              <w:bottom w:val="nil"/>
              <w:right w:val="nil"/>
            </w:tcBorders>
            <w:shd w:val="clear" w:color="auto" w:fill="FFFFFF"/>
          </w:tcPr>
          <w:p w14:paraId="1047215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后复权收盘价</w:t>
            </w:r>
          </w:p>
        </w:tc>
        <w:tc>
          <w:tcPr>
            <w:tcBorders>
              <w:top w:val="nil"/>
              <w:left w:val="nil"/>
              <w:bottom w:val="nil"/>
              <w:right w:val="nil"/>
            </w:tcBorders>
            <w:shd w:val="clear" w:color="auto" w:fill="FFFFFF"/>
          </w:tcPr>
          <w:p w14:paraId="4C225F7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nil"/>
              <w:right w:val="nil"/>
            </w:tcBorders>
            <w:shd w:val="clear" w:color="auto" w:fill="FFFFFF"/>
          </w:tcPr>
          <w:p w14:paraId="73FED96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港股/ETF为NaN</w:t>
            </w:r>
          </w:p>
        </w:tc>
      </w:tr>
      <w:tr w14:paraId="44C3543A">
        <w:tc>
          <w:tcPr>
            <w:tcBorders>
              <w:top w:val="nil"/>
              <w:left w:val="nil"/>
              <w:bottom w:val="nil"/>
              <w:right w:val="nil"/>
            </w:tcBorders>
            <w:shd w:val="clear" w:color="auto" w:fill="FFFFFF"/>
          </w:tcPr>
          <w:p w14:paraId="130BCEC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PE (TTM)</w:t>
            </w:r>
          </w:p>
        </w:tc>
        <w:tc>
          <w:tcPr>
            <w:tcBorders>
              <w:top w:val="nil"/>
              <w:left w:val="nil"/>
              <w:bottom w:val="nil"/>
              <w:right w:val="nil"/>
            </w:tcBorders>
            <w:shd w:val="clear" w:color="auto" w:fill="FFFFFF"/>
          </w:tcPr>
          <w:p w14:paraId="0B76453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市盈率（滚动12个月）</w:t>
            </w:r>
          </w:p>
        </w:tc>
        <w:tc>
          <w:tcPr>
            <w:tcBorders>
              <w:top w:val="nil"/>
              <w:left w:val="nil"/>
              <w:bottom w:val="nil"/>
              <w:right w:val="nil"/>
            </w:tcBorders>
            <w:shd w:val="clear" w:color="auto" w:fill="FFFFFF"/>
          </w:tcPr>
          <w:p w14:paraId="1173FF0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倍</w:t>
            </w:r>
          </w:p>
        </w:tc>
        <w:tc>
          <w:tcPr>
            <w:tcBorders>
              <w:top w:val="nil"/>
              <w:left w:val="nil"/>
              <w:bottom w:val="nil"/>
              <w:right w:val="nil"/>
            </w:tcBorders>
            <w:shd w:val="clear" w:color="auto" w:fill="FFFFFF"/>
          </w:tcPr>
          <w:p w14:paraId="383A357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在线获取，A股用</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stock_zh_valuation_baidu</w:t>
            </w:r>
            <w:r>
              <w:rPr>
                <w:rFonts w:hint="eastAsia" w:ascii="宋体" w:hAnsi="宋体" w:eastAsia="宋体" w:cs="宋体"/>
                <w:b w:val="0"/>
                <w:color w:val="000000"/>
                <w:sz w:val="24"/>
                <w:szCs w:val="24"/>
              </w:rPr>
              <w:t>，港股用</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stock_hk_valuation_baidu</w:t>
            </w:r>
            <w:r>
              <w:rPr>
                <w:rFonts w:hint="eastAsia" w:ascii="宋体" w:hAnsi="宋体" w:eastAsia="宋体" w:cs="宋体"/>
                <w:b w:val="0"/>
                <w:color w:val="000000"/>
                <w:sz w:val="24"/>
                <w:szCs w:val="24"/>
              </w:rPr>
              <w:t>，ETF无PE设为NaN</w:t>
            </w:r>
          </w:p>
        </w:tc>
      </w:tr>
      <w:tr w14:paraId="16B1F24B">
        <w:tc>
          <w:tcPr>
            <w:tcBorders>
              <w:top w:val="nil"/>
              <w:left w:val="nil"/>
              <w:bottom w:val="nil"/>
              <w:right w:val="nil"/>
            </w:tcBorders>
            <w:shd w:val="clear" w:color="auto" w:fill="FFFFFF"/>
          </w:tcPr>
          <w:p w14:paraId="58AF59BA">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ROE</w:t>
            </w:r>
          </w:p>
        </w:tc>
        <w:tc>
          <w:tcPr>
            <w:tcBorders>
              <w:top w:val="nil"/>
              <w:left w:val="nil"/>
              <w:bottom w:val="nil"/>
              <w:right w:val="nil"/>
            </w:tcBorders>
            <w:shd w:val="clear" w:color="auto" w:fill="FFFFFF"/>
          </w:tcPr>
          <w:p w14:paraId="7B4B7EE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净资产收益率</w:t>
            </w:r>
          </w:p>
        </w:tc>
        <w:tc>
          <w:tcPr>
            <w:tcBorders>
              <w:top w:val="nil"/>
              <w:left w:val="nil"/>
              <w:bottom w:val="nil"/>
              <w:right w:val="nil"/>
            </w:tcBorders>
            <w:shd w:val="clear" w:color="auto" w:fill="FFFFFF"/>
          </w:tcPr>
          <w:p w14:paraId="093DD71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372371C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在线获取，A股用</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stock_financial_analysis_indicator(start_year="2023")</w:t>
            </w:r>
            <w:r>
              <w:rPr>
                <w:rFonts w:hint="eastAsia" w:ascii="宋体" w:hAnsi="宋体" w:eastAsia="宋体" w:cs="宋体"/>
                <w:b w:val="0"/>
                <w:color w:val="000000"/>
                <w:sz w:val="24"/>
                <w:szCs w:val="24"/>
              </w:rPr>
              <w:t>，港股用</w:t>
            </w:r>
            <w:r>
              <w:rPr>
                <w:rFonts w:hint="eastAsia" w:ascii="宋体" w:hAnsi="宋体" w:eastAsia="宋体" w:cs="宋体"/>
                <w:b w:val="0"/>
                <w:color w:val="000000"/>
                <w:sz w:val="24"/>
                <w:szCs w:val="24"/>
              </w:rPr>
              <w:t xml:space="preserve"> </w:t>
            </w:r>
            <w:r>
              <w:rPr>
                <w:rStyle w:val="48"/>
                <w:rFonts w:hint="eastAsia" w:ascii="宋体" w:hAnsi="宋体" w:eastAsia="宋体" w:cs="宋体"/>
                <w:b w:val="0"/>
                <w:color w:val="000000"/>
                <w:sz w:val="24"/>
                <w:szCs w:val="24"/>
              </w:rPr>
              <w:t>stock_financial_hk_analysis_indicator_em</w:t>
            </w:r>
            <w:r>
              <w:rPr>
                <w:rFonts w:hint="eastAsia" w:ascii="宋体" w:hAnsi="宋体" w:eastAsia="宋体" w:cs="宋体"/>
                <w:b w:val="0"/>
                <w:color w:val="000000"/>
                <w:sz w:val="24"/>
                <w:szCs w:val="24"/>
              </w:rPr>
              <w:t>，ETF无ROE设为NaN</w:t>
            </w:r>
          </w:p>
        </w:tc>
      </w:tr>
      <w:tr w14:paraId="31F2AD5D">
        <w:tc>
          <w:tcPr>
            <w:tcBorders>
              <w:top w:val="nil"/>
              <w:left w:val="nil"/>
              <w:bottom w:val="nil"/>
              <w:right w:val="nil"/>
            </w:tcBorders>
            <w:shd w:val="clear" w:color="auto" w:fill="FFFFFF"/>
          </w:tcPr>
          <w:p w14:paraId="2D9440F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momentum</w:t>
            </w:r>
          </w:p>
        </w:tc>
        <w:tc>
          <w:tcPr>
            <w:tcBorders>
              <w:top w:val="nil"/>
              <w:left w:val="nil"/>
              <w:bottom w:val="nil"/>
              <w:right w:val="nil"/>
            </w:tcBorders>
            <w:shd w:val="clear" w:color="auto" w:fill="FFFFFF"/>
          </w:tcPr>
          <w:p w14:paraId="0C56D99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60日动量</w:t>
            </w:r>
          </w:p>
        </w:tc>
        <w:tc>
          <w:tcPr>
            <w:tcBorders>
              <w:top w:val="nil"/>
              <w:left w:val="nil"/>
              <w:bottom w:val="nil"/>
              <w:right w:val="nil"/>
            </w:tcBorders>
            <w:shd w:val="clear" w:color="auto" w:fill="FFFFFF"/>
          </w:tcPr>
          <w:p w14:paraId="6A53492D">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16A6E17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策略运行时计算：</w:t>
            </w:r>
            <w:r>
              <w:rPr>
                <w:rStyle w:val="48"/>
                <w:rFonts w:hint="eastAsia" w:ascii="宋体" w:hAnsi="宋体" w:eastAsia="宋体" w:cs="宋体"/>
                <w:b w:val="0"/>
                <w:color w:val="000000"/>
                <w:sz w:val="24"/>
                <w:szCs w:val="24"/>
              </w:rPr>
              <w:t>close_qfq.pct_change(60)</w:t>
            </w:r>
            <w:r>
              <w:rPr>
                <w:rFonts w:hint="eastAsia" w:ascii="宋体" w:hAnsi="宋体" w:eastAsia="宋体" w:cs="宋体"/>
                <w:b w:val="0"/>
                <w:color w:val="000000"/>
                <w:sz w:val="24"/>
                <w:szCs w:val="24"/>
              </w:rPr>
              <w:t>，即当前前复权收盘价相对60个交易日前的收益率，用于动量因子</w:t>
            </w:r>
          </w:p>
        </w:tc>
      </w:tr>
      <w:tr w14:paraId="3757D8DD">
        <w:tc>
          <w:tcPr>
            <w:tcBorders>
              <w:top w:val="nil"/>
              <w:left w:val="nil"/>
              <w:bottom w:val="single" w:color="000000" w:sz="12" w:space="0"/>
              <w:right w:val="nil"/>
            </w:tcBorders>
            <w:shd w:val="clear" w:color="auto" w:fill="FFFFFF"/>
          </w:tcPr>
          <w:p w14:paraId="18A47E5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ma120</w:t>
            </w:r>
          </w:p>
        </w:tc>
        <w:tc>
          <w:tcPr>
            <w:tcBorders>
              <w:top w:val="nil"/>
              <w:left w:val="nil"/>
              <w:bottom w:val="single" w:color="000000" w:sz="12" w:space="0"/>
              <w:right w:val="nil"/>
            </w:tcBorders>
            <w:shd w:val="clear" w:color="auto" w:fill="FFFFFF"/>
          </w:tcPr>
          <w:p w14:paraId="41FB630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120日均线</w:t>
            </w:r>
          </w:p>
        </w:tc>
        <w:tc>
          <w:tcPr>
            <w:tcBorders>
              <w:top w:val="nil"/>
              <w:left w:val="nil"/>
              <w:bottom w:val="single" w:color="000000" w:sz="12" w:space="0"/>
              <w:right w:val="nil"/>
            </w:tcBorders>
            <w:shd w:val="clear" w:color="auto" w:fill="FFFFFF"/>
          </w:tcPr>
          <w:p w14:paraId="48ED36D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元</w:t>
            </w:r>
          </w:p>
        </w:tc>
        <w:tc>
          <w:tcPr>
            <w:tcBorders>
              <w:top w:val="nil"/>
              <w:left w:val="nil"/>
              <w:bottom w:val="single" w:color="000000" w:sz="12" w:space="0"/>
              <w:right w:val="nil"/>
            </w:tcBorders>
            <w:shd w:val="clear" w:color="auto" w:fill="FFFFFF"/>
          </w:tcPr>
          <w:p w14:paraId="019FBFC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策略运行时计算：</w:t>
            </w:r>
            <w:r>
              <w:rPr>
                <w:rStyle w:val="48"/>
                <w:rFonts w:hint="eastAsia" w:ascii="宋体" w:hAnsi="宋体" w:eastAsia="宋体" w:cs="宋体"/>
                <w:b w:val="0"/>
                <w:color w:val="000000"/>
                <w:sz w:val="24"/>
                <w:szCs w:val="24"/>
              </w:rPr>
              <w:t>close_qfq.rolling(120).mean()</w:t>
            </w:r>
            <w:r>
              <w:rPr>
                <w:rFonts w:hint="eastAsia" w:ascii="宋体" w:hAnsi="宋体" w:eastAsia="宋体" w:cs="宋体"/>
                <w:b w:val="0"/>
                <w:color w:val="000000"/>
                <w:sz w:val="24"/>
                <w:szCs w:val="24"/>
              </w:rPr>
              <w:t>，即前120个交易日收盘价均值，用于均线过滤（跌破即剔除）</w:t>
            </w:r>
          </w:p>
        </w:tc>
      </w:tr>
    </w:tbl>
    <w:p w14:paraId="04D34220">
      <w:pPr>
        <w:pStyle w:val="13"/>
        <w:rPr>
          <w:rFonts w:hint="eastAsia" w:ascii="宋体" w:hAnsi="宋体" w:eastAsia="宋体" w:cs="宋体"/>
          <w:sz w:val="24"/>
          <w:szCs w:val="24"/>
        </w:rPr>
      </w:pPr>
      <w:r>
        <w:rPr>
          <w:rFonts w:hint="eastAsia" w:ascii="宋体" w:hAnsi="宋体" w:eastAsia="宋体" w:cs="宋体"/>
          <w:sz w:val="24"/>
          <w:szCs w:val="24"/>
        </w:rPr>
        <w:t>其余字段（open_qfq</w:t>
      </w:r>
      <w:r>
        <w:rPr>
          <w:rFonts w:hint="eastAsia" w:ascii="宋体" w:hAnsi="宋体" w:eastAsia="宋体" w:cs="宋体"/>
          <w:sz w:val="24"/>
          <w:szCs w:val="24"/>
        </w:rPr>
        <w:t xml:space="preserve"> / high_qfq / low_hfq </w:t>
      </w:r>
      <w:r>
        <w:rPr>
          <w:rFonts w:hint="eastAsia" w:ascii="宋体" w:hAnsi="宋体" w:eastAsia="宋体" w:cs="宋体"/>
          <w:sz w:val="24"/>
          <w:szCs w:val="24"/>
        </w:rPr>
        <w:t>等）结构与上表对应字段一致，此处省略。完整列名见</w:t>
      </w:r>
      <w:r>
        <w:rPr>
          <w:rFonts w:hint="eastAsia" w:ascii="宋体" w:hAnsi="宋体" w:eastAsia="宋体" w:cs="宋体"/>
          <w:sz w:val="24"/>
          <w:szCs w:val="24"/>
        </w:rPr>
        <w:t xml:space="preserve"> CSV </w:t>
      </w:r>
      <w:r>
        <w:rPr>
          <w:rFonts w:hint="eastAsia" w:ascii="宋体" w:hAnsi="宋体" w:eastAsia="宋体" w:cs="宋体"/>
          <w:sz w:val="24"/>
          <w:szCs w:val="24"/>
        </w:rPr>
        <w:t>文件表头。</w:t>
      </w:r>
    </w:p>
    <w:p w14:paraId="490DFE65">
      <w:pPr>
        <w:pStyle w:val="13"/>
        <w:rPr>
          <w:rFonts w:hint="eastAsia" w:ascii="宋体" w:hAnsi="宋体" w:eastAsia="宋体" w:cs="宋体"/>
          <w:sz w:val="24"/>
          <w:szCs w:val="24"/>
        </w:rPr>
      </w:pPr>
      <w:r>
        <w:rPr>
          <w:rFonts w:hint="eastAsia" w:ascii="宋体" w:hAnsi="宋体" w:eastAsia="宋体" w:cs="宋体"/>
          <w:sz w:val="24"/>
          <w:szCs w:val="24"/>
        </w:rPr>
        <w:t xml:space="preserve">PE </w:t>
      </w:r>
      <w:r>
        <w:rPr>
          <w:rFonts w:hint="eastAsia" w:ascii="宋体" w:hAnsi="宋体" w:eastAsia="宋体" w:cs="宋体"/>
          <w:sz w:val="24"/>
          <w:szCs w:val="24"/>
        </w:rPr>
        <w:t>和</w:t>
      </w:r>
      <w:r>
        <w:rPr>
          <w:rFonts w:hint="eastAsia" w:ascii="宋体" w:hAnsi="宋体" w:eastAsia="宋体" w:cs="宋体"/>
          <w:sz w:val="24"/>
          <w:szCs w:val="24"/>
        </w:rPr>
        <w:t xml:space="preserve"> ROE </w:t>
      </w:r>
      <w:r>
        <w:rPr>
          <w:rFonts w:hint="eastAsia" w:ascii="宋体" w:hAnsi="宋体" w:eastAsia="宋体" w:cs="宋体"/>
          <w:sz w:val="24"/>
          <w:szCs w:val="24"/>
        </w:rPr>
        <w:t>不在</w:t>
      </w:r>
      <w:r>
        <w:rPr>
          <w:rFonts w:hint="eastAsia" w:ascii="宋体" w:hAnsi="宋体" w:eastAsia="宋体" w:cs="宋体"/>
          <w:sz w:val="24"/>
          <w:szCs w:val="24"/>
        </w:rPr>
        <w:t xml:space="preserve"> CSV </w:t>
      </w:r>
      <w:r>
        <w:rPr>
          <w:rFonts w:hint="eastAsia" w:ascii="宋体" w:hAnsi="宋体" w:eastAsia="宋体" w:cs="宋体"/>
          <w:sz w:val="24"/>
          <w:szCs w:val="24"/>
        </w:rPr>
        <w:t>文件中，而是在策略运行时通过</w:t>
      </w:r>
      <w:r>
        <w:rPr>
          <w:rFonts w:hint="eastAsia" w:ascii="宋体" w:hAnsi="宋体" w:eastAsia="宋体" w:cs="宋体"/>
          <w:sz w:val="24"/>
          <w:szCs w:val="24"/>
        </w:rPr>
        <w:t xml:space="preserve"> AKShare </w:t>
      </w:r>
      <w:r>
        <w:rPr>
          <w:rFonts w:hint="eastAsia" w:ascii="宋体" w:hAnsi="宋体" w:eastAsia="宋体" w:cs="宋体"/>
          <w:sz w:val="24"/>
          <w:szCs w:val="24"/>
        </w:rPr>
        <w:t>接口在线获取，再通过股票代码映射到日线数据上。ETF（515100）无</w:t>
      </w:r>
      <w:r>
        <w:rPr>
          <w:rFonts w:hint="eastAsia" w:ascii="宋体" w:hAnsi="宋体" w:eastAsia="宋体" w:cs="宋体"/>
          <w:sz w:val="24"/>
          <w:szCs w:val="24"/>
        </w:rPr>
        <w:t xml:space="preserve"> PE </w:t>
      </w:r>
      <w:r>
        <w:rPr>
          <w:rFonts w:hint="eastAsia" w:ascii="宋体" w:hAnsi="宋体" w:eastAsia="宋体" w:cs="宋体"/>
          <w:sz w:val="24"/>
          <w:szCs w:val="24"/>
        </w:rPr>
        <w:t>和</w:t>
      </w:r>
      <w:r>
        <w:rPr>
          <w:rFonts w:hint="eastAsia" w:ascii="宋体" w:hAnsi="宋体" w:eastAsia="宋体" w:cs="宋体"/>
          <w:sz w:val="24"/>
          <w:szCs w:val="24"/>
        </w:rPr>
        <w:t xml:space="preserve"> ROE </w:t>
      </w:r>
      <w:r>
        <w:rPr>
          <w:rFonts w:hint="eastAsia" w:ascii="宋体" w:hAnsi="宋体" w:eastAsia="宋体" w:cs="宋体"/>
          <w:sz w:val="24"/>
          <w:szCs w:val="24"/>
        </w:rPr>
        <w:t>概念，统一设为</w:t>
      </w:r>
      <w:r>
        <w:rPr>
          <w:rFonts w:hint="eastAsia" w:ascii="宋体" w:hAnsi="宋体" w:eastAsia="宋体" w:cs="宋体"/>
          <w:sz w:val="24"/>
          <w:szCs w:val="24"/>
        </w:rPr>
        <w:t xml:space="preserve"> NaN。momentum </w:t>
      </w:r>
      <w:r>
        <w:rPr>
          <w:rFonts w:hint="eastAsia" w:ascii="宋体" w:hAnsi="宋体" w:eastAsia="宋体" w:cs="宋体"/>
          <w:sz w:val="24"/>
          <w:szCs w:val="24"/>
        </w:rPr>
        <w:t>和</w:t>
      </w:r>
      <w:r>
        <w:rPr>
          <w:rFonts w:hint="eastAsia" w:ascii="宋体" w:hAnsi="宋体" w:eastAsia="宋体" w:cs="宋体"/>
          <w:sz w:val="24"/>
          <w:szCs w:val="24"/>
        </w:rPr>
        <w:t xml:space="preserve"> ma120 </w:t>
      </w:r>
      <w:r>
        <w:rPr>
          <w:rFonts w:hint="eastAsia" w:ascii="宋体" w:hAnsi="宋体" w:eastAsia="宋体" w:cs="宋体"/>
          <w:sz w:val="24"/>
          <w:szCs w:val="24"/>
        </w:rPr>
        <w:t>同样不在</w:t>
      </w:r>
      <w:r>
        <w:rPr>
          <w:rFonts w:hint="eastAsia" w:ascii="宋体" w:hAnsi="宋体" w:eastAsia="宋体" w:cs="宋体"/>
          <w:sz w:val="24"/>
          <w:szCs w:val="24"/>
        </w:rPr>
        <w:t xml:space="preserve"> CSV </w:t>
      </w:r>
      <w:r>
        <w:rPr>
          <w:rFonts w:hint="eastAsia" w:ascii="宋体" w:hAnsi="宋体" w:eastAsia="宋体" w:cs="宋体"/>
          <w:sz w:val="24"/>
          <w:szCs w:val="24"/>
        </w:rPr>
        <w:t>中，由策略代码从</w:t>
      </w:r>
      <w:r>
        <w:rPr>
          <w:rFonts w:hint="eastAsia" w:ascii="宋体" w:hAnsi="宋体" w:eastAsia="宋体" w:cs="宋体"/>
          <w:sz w:val="24"/>
          <w:szCs w:val="24"/>
        </w:rPr>
        <w:t xml:space="preserve"> </w:t>
      </w:r>
      <w:r>
        <w:rPr>
          <w:rStyle w:val="48"/>
          <w:rFonts w:hint="eastAsia" w:ascii="宋体" w:hAnsi="宋体" w:eastAsia="宋体" w:cs="宋体"/>
          <w:sz w:val="24"/>
          <w:szCs w:val="24"/>
        </w:rPr>
        <w:t>close_qfq</w:t>
      </w:r>
      <w:r>
        <w:rPr>
          <w:rFonts w:hint="eastAsia" w:ascii="宋体" w:hAnsi="宋体" w:eastAsia="宋体" w:cs="宋体"/>
          <w:sz w:val="24"/>
          <w:szCs w:val="24"/>
        </w:rPr>
        <w:t xml:space="preserve"> </w:t>
      </w:r>
      <w:r>
        <w:rPr>
          <w:rFonts w:hint="eastAsia" w:ascii="宋体" w:hAnsi="宋体" w:eastAsia="宋体" w:cs="宋体"/>
          <w:sz w:val="24"/>
          <w:szCs w:val="24"/>
        </w:rPr>
        <w:t>列实时计算。</w:t>
      </w:r>
    </w:p>
    <w:bookmarkEnd w:id="8"/>
    <w:bookmarkEnd w:id="10"/>
    <w:p w14:paraId="699BD4DE">
      <w:pPr>
        <w:pStyle w:val="4"/>
        <w:rPr>
          <w:rFonts w:hint="eastAsia" w:ascii="宋体" w:hAnsi="宋体" w:eastAsia="宋体" w:cs="宋体"/>
          <w:sz w:val="24"/>
          <w:szCs w:val="24"/>
        </w:rPr>
      </w:pPr>
      <w:bookmarkStart w:id="11" w:name="文件说明"/>
      <w:r>
        <w:rPr>
          <w:rFonts w:hint="eastAsia" w:ascii="宋体" w:hAnsi="宋体" w:eastAsia="宋体" w:cs="宋体"/>
          <w:sz w:val="24"/>
          <w:szCs w:val="24"/>
        </w:rPr>
        <w:t xml:space="preserve">2.3 </w:t>
      </w:r>
      <w:r>
        <w:rPr>
          <w:rFonts w:hint="eastAsia" w:ascii="宋体" w:hAnsi="宋体" w:eastAsia="宋体" w:cs="宋体"/>
          <w:sz w:val="24"/>
          <w:szCs w:val="24"/>
        </w:rPr>
        <w:t>文件说明</w:t>
      </w:r>
    </w:p>
    <w:p w14:paraId="16A516D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文件名</w:t>
      </w:r>
      <w:r>
        <w:rPr>
          <w:rFonts w:hint="eastAsia" w:ascii="宋体" w:hAnsi="宋体" w:eastAsia="宋体" w:cs="宋体"/>
          <w:sz w:val="24"/>
          <w:szCs w:val="24"/>
        </w:rPr>
        <w:t>：</w:t>
      </w:r>
      <w:r>
        <w:rPr>
          <w:rStyle w:val="48"/>
          <w:rFonts w:hint="eastAsia" w:ascii="宋体" w:hAnsi="宋体" w:eastAsia="宋体" w:cs="宋体"/>
          <w:sz w:val="24"/>
          <w:szCs w:val="24"/>
        </w:rPr>
        <w:t>price_qfq_20240719_20260721.csv</w:t>
      </w:r>
    </w:p>
    <w:p w14:paraId="0D104ECA">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记录数</w:t>
      </w:r>
      <w:r>
        <w:rPr>
          <w:rFonts w:hint="eastAsia" w:ascii="宋体" w:hAnsi="宋体" w:eastAsia="宋体" w:cs="宋体"/>
          <w:sz w:val="24"/>
          <w:szCs w:val="24"/>
        </w:rPr>
        <w:t>：9,702</w:t>
      </w:r>
      <w:r>
        <w:rPr>
          <w:rFonts w:hint="eastAsia" w:ascii="宋体" w:hAnsi="宋体" w:eastAsia="宋体" w:cs="宋体"/>
          <w:sz w:val="24"/>
          <w:szCs w:val="24"/>
        </w:rPr>
        <w:t xml:space="preserve"> </w:t>
      </w:r>
      <w:r>
        <w:rPr>
          <w:rFonts w:hint="eastAsia" w:ascii="宋体" w:hAnsi="宋体" w:eastAsia="宋体" w:cs="宋体"/>
          <w:sz w:val="24"/>
          <w:szCs w:val="24"/>
        </w:rPr>
        <w:t>行（20只股票</w:t>
      </w:r>
      <w:r>
        <w:rPr>
          <w:rFonts w:hint="eastAsia" w:ascii="宋体" w:hAnsi="宋体" w:eastAsia="宋体" w:cs="宋体"/>
          <w:sz w:val="24"/>
          <w:szCs w:val="24"/>
        </w:rPr>
        <w:t xml:space="preserve"> × </w:t>
      </w:r>
      <w:r>
        <w:rPr>
          <w:rFonts w:hint="eastAsia" w:ascii="宋体" w:hAnsi="宋体" w:eastAsia="宋体" w:cs="宋体"/>
          <w:sz w:val="24"/>
          <w:szCs w:val="24"/>
        </w:rPr>
        <w:t>约485交易日）</w:t>
      </w:r>
    </w:p>
    <w:p w14:paraId="3A7CF818">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列数</w:t>
      </w:r>
      <w:r>
        <w:rPr>
          <w:rFonts w:hint="eastAsia" w:ascii="宋体" w:hAnsi="宋体" w:eastAsia="宋体" w:cs="宋体"/>
          <w:sz w:val="24"/>
          <w:szCs w:val="24"/>
        </w:rPr>
        <w:t>：29</w:t>
      </w:r>
      <w:r>
        <w:rPr>
          <w:rFonts w:hint="eastAsia" w:ascii="宋体" w:hAnsi="宋体" w:eastAsia="宋体" w:cs="宋体"/>
          <w:sz w:val="24"/>
          <w:szCs w:val="24"/>
        </w:rPr>
        <w:t xml:space="preserve"> </w:t>
      </w:r>
      <w:r>
        <w:rPr>
          <w:rFonts w:hint="eastAsia" w:ascii="宋体" w:hAnsi="宋体" w:eastAsia="宋体" w:cs="宋体"/>
          <w:sz w:val="24"/>
          <w:szCs w:val="24"/>
        </w:rPr>
        <w:t>列</w:t>
      </w:r>
    </w:p>
    <w:p w14:paraId="385D13A1">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时间范围</w:t>
      </w:r>
      <w:r>
        <w:rPr>
          <w:rFonts w:hint="eastAsia" w:ascii="宋体" w:hAnsi="宋体" w:eastAsia="宋体" w:cs="宋体"/>
          <w:sz w:val="24"/>
          <w:szCs w:val="24"/>
        </w:rPr>
        <w:t>：2024-07-19</w:t>
      </w:r>
      <w:r>
        <w:rPr>
          <w:rFonts w:hint="eastAsia" w:ascii="宋体" w:hAnsi="宋体" w:eastAsia="宋体" w:cs="宋体"/>
          <w:sz w:val="24"/>
          <w:szCs w:val="24"/>
        </w:rPr>
        <w:t xml:space="preserve"> </w:t>
      </w:r>
      <w:r>
        <w:rPr>
          <w:rFonts w:hint="eastAsia" w:ascii="宋体" w:hAnsi="宋体" w:eastAsia="宋体" w:cs="宋体"/>
          <w:sz w:val="24"/>
          <w:szCs w:val="24"/>
        </w:rPr>
        <w:t>至</w:t>
      </w:r>
      <w:r>
        <w:rPr>
          <w:rFonts w:hint="eastAsia" w:ascii="宋体" w:hAnsi="宋体" w:eastAsia="宋体" w:cs="宋体"/>
          <w:sz w:val="24"/>
          <w:szCs w:val="24"/>
        </w:rPr>
        <w:t xml:space="preserve"> 2026-07-21</w:t>
      </w:r>
    </w:p>
    <w:p w14:paraId="1E015592">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数据源</w:t>
      </w:r>
      <w:r>
        <w:rPr>
          <w:rFonts w:hint="eastAsia" w:ascii="宋体" w:hAnsi="宋体" w:eastAsia="宋体" w:cs="宋体"/>
          <w:sz w:val="24"/>
          <w:szCs w:val="24"/>
        </w:rPr>
        <w:t>：A股17只为本地</w:t>
      </w:r>
      <w:r>
        <w:rPr>
          <w:rFonts w:hint="eastAsia" w:ascii="宋体" w:hAnsi="宋体" w:eastAsia="宋体" w:cs="宋体"/>
          <w:sz w:val="24"/>
          <w:szCs w:val="24"/>
        </w:rPr>
        <w:t xml:space="preserve"> Tushare </w:t>
      </w:r>
      <w:r>
        <w:rPr>
          <w:rFonts w:hint="eastAsia" w:ascii="宋体" w:hAnsi="宋体" w:eastAsia="宋体" w:cs="宋体"/>
          <w:sz w:val="24"/>
          <w:szCs w:val="24"/>
        </w:rPr>
        <w:t>导出</w:t>
      </w:r>
      <w:r>
        <w:rPr>
          <w:rFonts w:hint="eastAsia" w:ascii="宋体" w:hAnsi="宋体" w:eastAsia="宋体" w:cs="宋体"/>
          <w:sz w:val="24"/>
          <w:szCs w:val="24"/>
        </w:rPr>
        <w:t xml:space="preserve"> </w:t>
      </w:r>
      <w:r>
        <w:rPr>
          <w:rFonts w:hint="eastAsia" w:ascii="宋体" w:hAnsi="宋体" w:eastAsia="宋体" w:cs="宋体"/>
          <w:sz w:val="24"/>
          <w:szCs w:val="24"/>
        </w:rPr>
        <w:t>CSV，港股2只为</w:t>
      </w:r>
      <w:r>
        <w:rPr>
          <w:rFonts w:hint="eastAsia" w:ascii="宋体" w:hAnsi="宋体" w:eastAsia="宋体" w:cs="宋体"/>
          <w:sz w:val="24"/>
          <w:szCs w:val="24"/>
        </w:rPr>
        <w:t xml:space="preserve"> AKShare </w:t>
      </w:r>
      <w:r>
        <w:rPr>
          <w:rStyle w:val="48"/>
          <w:rFonts w:hint="eastAsia" w:ascii="宋体" w:hAnsi="宋体" w:eastAsia="宋体" w:cs="宋体"/>
          <w:sz w:val="24"/>
          <w:szCs w:val="24"/>
        </w:rPr>
        <w:t>stock_hk_daily(adjust="qfq")</w:t>
      </w:r>
      <w:r>
        <w:rPr>
          <w:rFonts w:hint="eastAsia" w:ascii="宋体" w:hAnsi="宋体" w:eastAsia="宋体" w:cs="宋体"/>
          <w:sz w:val="24"/>
          <w:szCs w:val="24"/>
        </w:rPr>
        <w:t xml:space="preserve"> </w:t>
      </w:r>
      <w:r>
        <w:rPr>
          <w:rFonts w:hint="eastAsia" w:ascii="宋体" w:hAnsi="宋体" w:eastAsia="宋体" w:cs="宋体"/>
          <w:sz w:val="24"/>
          <w:szCs w:val="24"/>
        </w:rPr>
        <w:t>在线获取，ETF</w:t>
      </w:r>
      <w:r>
        <w:rPr>
          <w:rFonts w:hint="eastAsia" w:ascii="宋体" w:hAnsi="宋体" w:eastAsia="宋体" w:cs="宋体"/>
          <w:sz w:val="24"/>
          <w:szCs w:val="24"/>
        </w:rPr>
        <w:t xml:space="preserve"> </w:t>
      </w:r>
      <w:r>
        <w:rPr>
          <w:rFonts w:hint="eastAsia" w:ascii="宋体" w:hAnsi="宋体" w:eastAsia="宋体" w:cs="宋体"/>
          <w:sz w:val="24"/>
          <w:szCs w:val="24"/>
        </w:rPr>
        <w:t>1只为</w:t>
      </w:r>
      <w:r>
        <w:rPr>
          <w:rFonts w:hint="eastAsia" w:ascii="宋体" w:hAnsi="宋体" w:eastAsia="宋体" w:cs="宋体"/>
          <w:sz w:val="24"/>
          <w:szCs w:val="24"/>
        </w:rPr>
        <w:t xml:space="preserve"> AKShare </w:t>
      </w:r>
      <w:r>
        <w:rPr>
          <w:rStyle w:val="48"/>
          <w:rFonts w:hint="eastAsia" w:ascii="宋体" w:hAnsi="宋体" w:eastAsia="宋体" w:cs="宋体"/>
          <w:sz w:val="24"/>
          <w:szCs w:val="24"/>
        </w:rPr>
        <w:t>fund_etf_hist_sina</w:t>
      </w:r>
      <w:r>
        <w:rPr>
          <w:rFonts w:hint="eastAsia" w:ascii="宋体" w:hAnsi="宋体" w:eastAsia="宋体" w:cs="宋体"/>
          <w:sz w:val="24"/>
          <w:szCs w:val="24"/>
        </w:rPr>
        <w:t xml:space="preserve"> + </w:t>
      </w:r>
      <w:r>
        <w:rPr>
          <w:rFonts w:hint="eastAsia" w:ascii="宋体" w:hAnsi="宋体" w:eastAsia="宋体" w:cs="宋体"/>
          <w:sz w:val="24"/>
          <w:szCs w:val="24"/>
        </w:rPr>
        <w:t>分红数据手动前复权</w:t>
      </w:r>
    </w:p>
    <w:bookmarkEnd w:id="11"/>
    <w:p w14:paraId="12DB2EF8">
      <w:pPr>
        <w:pStyle w:val="4"/>
        <w:rPr>
          <w:rFonts w:hint="eastAsia" w:ascii="宋体" w:hAnsi="宋体" w:eastAsia="宋体" w:cs="宋体"/>
          <w:sz w:val="24"/>
          <w:szCs w:val="24"/>
        </w:rPr>
      </w:pPr>
      <w:bookmarkStart w:id="12" w:name="质量处理"/>
      <w:r>
        <w:rPr>
          <w:rFonts w:hint="eastAsia" w:ascii="宋体" w:hAnsi="宋体" w:eastAsia="宋体" w:cs="宋体"/>
          <w:sz w:val="24"/>
          <w:szCs w:val="24"/>
        </w:rPr>
        <w:t xml:space="preserve">2.4 </w:t>
      </w:r>
      <w:r>
        <w:rPr>
          <w:rFonts w:hint="eastAsia" w:ascii="宋体" w:hAnsi="宋体" w:eastAsia="宋体" w:cs="宋体"/>
          <w:sz w:val="24"/>
          <w:szCs w:val="24"/>
        </w:rPr>
        <w:t>质量处理</w:t>
      </w:r>
    </w:p>
    <w:p w14:paraId="7F06FF25">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复权方式</w:t>
      </w:r>
      <w:r>
        <w:rPr>
          <w:rFonts w:hint="eastAsia" w:ascii="宋体" w:hAnsi="宋体" w:eastAsia="宋体" w:cs="宋体"/>
          <w:sz w:val="24"/>
          <w:szCs w:val="24"/>
        </w:rPr>
        <w:t>：采用前复权（qfq）价格，保证收益率计算的连续性。港股通过</w:t>
      </w:r>
      <w:r>
        <w:rPr>
          <w:rFonts w:hint="eastAsia" w:ascii="宋体" w:hAnsi="宋体" w:eastAsia="宋体" w:cs="宋体"/>
          <w:sz w:val="24"/>
          <w:szCs w:val="24"/>
        </w:rPr>
        <w:t xml:space="preserve"> AKShare </w:t>
      </w:r>
      <w:r>
        <w:rPr>
          <w:rFonts w:hint="eastAsia" w:ascii="宋体" w:hAnsi="宋体" w:eastAsia="宋体" w:cs="宋体"/>
          <w:sz w:val="24"/>
          <w:szCs w:val="24"/>
        </w:rPr>
        <w:t>接口直接获取前复权数据；ETF</w:t>
      </w:r>
      <w:r>
        <w:rPr>
          <w:rFonts w:hint="eastAsia" w:ascii="宋体" w:hAnsi="宋体" w:eastAsia="宋体" w:cs="宋体"/>
          <w:sz w:val="24"/>
          <w:szCs w:val="24"/>
        </w:rPr>
        <w:t xml:space="preserve"> </w:t>
      </w:r>
      <w:r>
        <w:rPr>
          <w:rFonts w:hint="eastAsia" w:ascii="宋体" w:hAnsi="宋体" w:eastAsia="宋体" w:cs="宋体"/>
          <w:sz w:val="24"/>
          <w:szCs w:val="24"/>
        </w:rPr>
        <w:t>因接口不支持复权参数，通过分红数据手动计算复权因子并乘法调整。</w:t>
      </w:r>
    </w:p>
    <w:p w14:paraId="7E7B87E6">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缺失值处理</w:t>
      </w:r>
      <w:r>
        <w:rPr>
          <w:rFonts w:hint="eastAsia" w:ascii="宋体" w:hAnsi="宋体" w:eastAsia="宋体" w:cs="宋体"/>
          <w:sz w:val="24"/>
          <w:szCs w:val="24"/>
        </w:rPr>
        <w:t>：港股（2只）和</w:t>
      </w:r>
      <w:r>
        <w:rPr>
          <w:rFonts w:hint="eastAsia" w:ascii="宋体" w:hAnsi="宋体" w:eastAsia="宋体" w:cs="宋体"/>
          <w:sz w:val="24"/>
          <w:szCs w:val="24"/>
        </w:rPr>
        <w:t xml:space="preserve"> </w:t>
      </w:r>
      <w:r>
        <w:rPr>
          <w:rFonts w:hint="eastAsia" w:ascii="宋体" w:hAnsi="宋体" w:eastAsia="宋体" w:cs="宋体"/>
          <w:sz w:val="24"/>
          <w:szCs w:val="24"/>
        </w:rPr>
        <w:t>ETF（1只）的</w:t>
      </w:r>
      <w:r>
        <w:rPr>
          <w:rFonts w:hint="eastAsia" w:ascii="宋体" w:hAnsi="宋体" w:eastAsia="宋体" w:cs="宋体"/>
          <w:sz w:val="24"/>
          <w:szCs w:val="24"/>
        </w:rPr>
        <w:t xml:space="preserve"> </w:t>
      </w:r>
      <w:r>
        <w:rPr>
          <w:rStyle w:val="48"/>
          <w:rFonts w:hint="eastAsia" w:ascii="宋体" w:hAnsi="宋体" w:eastAsia="宋体" w:cs="宋体"/>
          <w:sz w:val="24"/>
          <w:szCs w:val="24"/>
        </w:rPr>
        <w:t>adj_factor</w:t>
      </w:r>
      <w:r>
        <w:rPr>
          <w:rFonts w:hint="eastAsia" w:ascii="宋体" w:hAnsi="宋体" w:eastAsia="宋体" w:cs="宋体"/>
          <w:sz w:val="24"/>
          <w:szCs w:val="24"/>
        </w:rPr>
        <w:t>、</w:t>
      </w:r>
      <w:r>
        <w:rPr>
          <w:rStyle w:val="48"/>
          <w:rFonts w:hint="eastAsia" w:ascii="宋体" w:hAnsi="宋体" w:eastAsia="宋体" w:cs="宋体"/>
          <w:sz w:val="24"/>
          <w:szCs w:val="24"/>
        </w:rPr>
        <w:t>pre_close</w:t>
      </w:r>
      <w:r>
        <w:rPr>
          <w:rFonts w:hint="eastAsia" w:ascii="宋体" w:hAnsi="宋体" w:eastAsia="宋体" w:cs="宋体"/>
          <w:sz w:val="24"/>
          <w:szCs w:val="24"/>
        </w:rPr>
        <w:t>、</w:t>
      </w:r>
      <w:r>
        <w:rPr>
          <w:rStyle w:val="48"/>
          <w:rFonts w:hint="eastAsia" w:ascii="宋体" w:hAnsi="宋体" w:eastAsia="宋体" w:cs="宋体"/>
          <w:sz w:val="24"/>
          <w:szCs w:val="24"/>
        </w:rPr>
        <w:t>change</w:t>
      </w:r>
      <w:r>
        <w:rPr>
          <w:rFonts w:hint="eastAsia" w:ascii="宋体" w:hAnsi="宋体" w:eastAsia="宋体" w:cs="宋体"/>
          <w:sz w:val="24"/>
          <w:szCs w:val="24"/>
        </w:rPr>
        <w:t xml:space="preserve"> </w:t>
      </w:r>
      <w:r>
        <w:rPr>
          <w:rFonts w:hint="eastAsia" w:ascii="宋体" w:hAnsi="宋体" w:eastAsia="宋体" w:cs="宋体"/>
          <w:sz w:val="24"/>
          <w:szCs w:val="24"/>
        </w:rPr>
        <w:t>及全部后复权（hfq）列为</w:t>
      </w:r>
      <w:r>
        <w:rPr>
          <w:rFonts w:hint="eastAsia" w:ascii="宋体" w:hAnsi="宋体" w:eastAsia="宋体" w:cs="宋体"/>
          <w:sz w:val="24"/>
          <w:szCs w:val="24"/>
        </w:rPr>
        <w:t xml:space="preserve"> </w:t>
      </w:r>
      <w:r>
        <w:rPr>
          <w:rFonts w:hint="eastAsia" w:ascii="宋体" w:hAnsi="宋体" w:eastAsia="宋体" w:cs="宋体"/>
          <w:sz w:val="24"/>
          <w:szCs w:val="24"/>
        </w:rPr>
        <w:t>NaN，共影响</w:t>
      </w:r>
      <w:r>
        <w:rPr>
          <w:rFonts w:hint="eastAsia" w:ascii="宋体" w:hAnsi="宋体" w:eastAsia="宋体" w:cs="宋体"/>
          <w:sz w:val="24"/>
          <w:szCs w:val="24"/>
        </w:rPr>
        <w:t xml:space="preserve"> 1,468 </w:t>
      </w:r>
      <w:r>
        <w:rPr>
          <w:rFonts w:hint="eastAsia" w:ascii="宋体" w:hAnsi="宋体" w:eastAsia="宋体" w:cs="宋体"/>
          <w:sz w:val="24"/>
          <w:szCs w:val="24"/>
        </w:rPr>
        <w:t>行（占15.1%），原因是对应数据源不支持这些字段。策略仅使用</w:t>
      </w:r>
      <w:r>
        <w:rPr>
          <w:rFonts w:hint="eastAsia" w:ascii="宋体" w:hAnsi="宋体" w:eastAsia="宋体" w:cs="宋体"/>
          <w:sz w:val="24"/>
          <w:szCs w:val="24"/>
        </w:rPr>
        <w:t xml:space="preserve"> </w:t>
      </w:r>
      <w:r>
        <w:rPr>
          <w:rStyle w:val="48"/>
          <w:rFonts w:hint="eastAsia" w:ascii="宋体" w:hAnsi="宋体" w:eastAsia="宋体" w:cs="宋体"/>
          <w:sz w:val="24"/>
          <w:szCs w:val="24"/>
        </w:rPr>
        <w:t>close_qfq</w:t>
      </w:r>
      <w:r>
        <w:rPr>
          <w:rFonts w:hint="eastAsia" w:ascii="宋体" w:hAnsi="宋体" w:eastAsia="宋体" w:cs="宋体"/>
          <w:sz w:val="24"/>
          <w:szCs w:val="24"/>
        </w:rPr>
        <w:t xml:space="preserve"> </w:t>
      </w:r>
      <w:r>
        <w:rPr>
          <w:rFonts w:hint="eastAsia" w:ascii="宋体" w:hAnsi="宋体" w:eastAsia="宋体" w:cs="宋体"/>
          <w:sz w:val="24"/>
          <w:szCs w:val="24"/>
        </w:rPr>
        <w:t>列，不受缺失值影响。</w:t>
      </w:r>
    </w:p>
    <w:p w14:paraId="234AA7DC">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交易日对齐</w:t>
      </w:r>
      <w:r>
        <w:rPr>
          <w:rFonts w:hint="eastAsia" w:ascii="宋体" w:hAnsi="宋体" w:eastAsia="宋体" w:cs="宋体"/>
          <w:sz w:val="24"/>
          <w:szCs w:val="24"/>
        </w:rPr>
        <w:t>：A股与港股交易日历不完全一致（如港股有半天交易日），通过</w:t>
      </w:r>
      <w:r>
        <w:rPr>
          <w:rFonts w:hint="eastAsia" w:ascii="宋体" w:hAnsi="宋体" w:eastAsia="宋体" w:cs="宋体"/>
          <w:sz w:val="24"/>
          <w:szCs w:val="24"/>
        </w:rPr>
        <w:t xml:space="preserve"> </w:t>
      </w:r>
      <w:r>
        <w:rPr>
          <w:rStyle w:val="48"/>
          <w:rFonts w:hint="eastAsia" w:ascii="宋体" w:hAnsi="宋体" w:eastAsia="宋体" w:cs="宋体"/>
          <w:sz w:val="24"/>
          <w:szCs w:val="24"/>
        </w:rPr>
        <w:t>last_common_date()</w:t>
      </w:r>
      <w:r>
        <w:rPr>
          <w:rFonts w:hint="eastAsia" w:ascii="宋体" w:hAnsi="宋体" w:eastAsia="宋体" w:cs="宋体"/>
          <w:sz w:val="24"/>
          <w:szCs w:val="24"/>
        </w:rPr>
        <w:t xml:space="preserve"> </w:t>
      </w:r>
      <w:r>
        <w:rPr>
          <w:rFonts w:hint="eastAsia" w:ascii="宋体" w:hAnsi="宋体" w:eastAsia="宋体" w:cs="宋体"/>
          <w:sz w:val="24"/>
          <w:szCs w:val="24"/>
        </w:rPr>
        <w:t>函数取每月所有股票共有交易日的最后一日作为调仓日，避免因交易日错位导致的伪信号。</w:t>
      </w:r>
    </w:p>
    <w:p w14:paraId="032352B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基准</w:t>
      </w:r>
      <w:r>
        <w:rPr>
          <w:rFonts w:hint="eastAsia" w:ascii="宋体" w:hAnsi="宋体" w:eastAsia="宋体" w:cs="宋体"/>
          <w:sz w:val="24"/>
          <w:szCs w:val="24"/>
        </w:rPr>
        <w:t>：沪深300指数（sh000300）日线数据取自</w:t>
      </w:r>
      <w:r>
        <w:rPr>
          <w:rFonts w:hint="eastAsia" w:ascii="宋体" w:hAnsi="宋体" w:eastAsia="宋体" w:cs="宋体"/>
          <w:sz w:val="24"/>
          <w:szCs w:val="24"/>
        </w:rPr>
        <w:t xml:space="preserve"> AKShare </w:t>
      </w:r>
      <w:r>
        <w:rPr>
          <w:rStyle w:val="48"/>
          <w:rFonts w:hint="eastAsia" w:ascii="宋体" w:hAnsi="宋体" w:eastAsia="宋体" w:cs="宋体"/>
          <w:sz w:val="24"/>
          <w:szCs w:val="24"/>
        </w:rPr>
        <w:t>stock_zh_index_daily</w:t>
      </w:r>
      <w:r>
        <w:rPr>
          <w:rFonts w:hint="eastAsia" w:ascii="宋体" w:hAnsi="宋体" w:eastAsia="宋体" w:cs="宋体"/>
          <w:sz w:val="24"/>
          <w:szCs w:val="24"/>
        </w:rPr>
        <w:t>，与组合净值同期归一化至1。</w:t>
      </w:r>
    </w:p>
    <w:bookmarkEnd w:id="12"/>
    <w:p w14:paraId="2964C4D4">
      <w:pPr>
        <w:pStyle w:val="4"/>
        <w:rPr>
          <w:rFonts w:hint="eastAsia" w:ascii="宋体" w:hAnsi="宋体" w:eastAsia="宋体" w:cs="宋体"/>
          <w:sz w:val="24"/>
          <w:szCs w:val="24"/>
        </w:rPr>
      </w:pPr>
      <w:bookmarkStart w:id="13" w:name="回测区间"/>
      <w:r>
        <w:rPr>
          <w:rFonts w:hint="eastAsia" w:ascii="宋体" w:hAnsi="宋体" w:eastAsia="宋体" w:cs="宋体"/>
          <w:sz w:val="24"/>
          <w:szCs w:val="24"/>
        </w:rPr>
        <w:t xml:space="preserve">2.5 </w:t>
      </w:r>
      <w:r>
        <w:rPr>
          <w:rFonts w:hint="eastAsia" w:ascii="宋体" w:hAnsi="宋体" w:eastAsia="宋体" w:cs="宋体"/>
          <w:sz w:val="24"/>
          <w:szCs w:val="24"/>
        </w:rPr>
        <w:t>回测区间</w:t>
      </w:r>
    </w:p>
    <w:p w14:paraId="6B71DDDF">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数据准备期</w:t>
      </w:r>
      <w:r>
        <w:rPr>
          <w:rFonts w:hint="eastAsia" w:ascii="宋体" w:hAnsi="宋体" w:eastAsia="宋体" w:cs="宋体"/>
          <w:sz w:val="24"/>
          <w:szCs w:val="24"/>
        </w:rPr>
        <w:t>：2024-07-19</w:t>
      </w:r>
      <w:r>
        <w:rPr>
          <w:rFonts w:hint="eastAsia" w:ascii="宋体" w:hAnsi="宋体" w:eastAsia="宋体" w:cs="宋体"/>
          <w:sz w:val="24"/>
          <w:szCs w:val="24"/>
        </w:rPr>
        <w:t xml:space="preserve"> ~ </w:t>
      </w:r>
      <w:r>
        <w:rPr>
          <w:rFonts w:hint="eastAsia" w:ascii="宋体" w:hAnsi="宋体" w:eastAsia="宋体" w:cs="宋体"/>
          <w:sz w:val="24"/>
          <w:szCs w:val="24"/>
        </w:rPr>
        <w:t>2025-01-26（用于计算60日动量和120日均线）</w:t>
      </w:r>
    </w:p>
    <w:p w14:paraId="38CD297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策略回测期</w:t>
      </w:r>
      <w:r>
        <w:rPr>
          <w:rFonts w:hint="eastAsia" w:ascii="宋体" w:hAnsi="宋体" w:eastAsia="宋体" w:cs="宋体"/>
          <w:sz w:val="24"/>
          <w:szCs w:val="24"/>
        </w:rPr>
        <w:t>：2025-01-27</w:t>
      </w:r>
      <w:r>
        <w:rPr>
          <w:rFonts w:hint="eastAsia" w:ascii="宋体" w:hAnsi="宋体" w:eastAsia="宋体" w:cs="宋体"/>
          <w:sz w:val="24"/>
          <w:szCs w:val="24"/>
        </w:rPr>
        <w:t xml:space="preserve"> ~ </w:t>
      </w:r>
      <w:r>
        <w:rPr>
          <w:rFonts w:hint="eastAsia" w:ascii="宋体" w:hAnsi="宋体" w:eastAsia="宋体" w:cs="宋体"/>
          <w:sz w:val="24"/>
          <w:szCs w:val="24"/>
        </w:rPr>
        <w:t>2026-07-21（19个调仓月，366个交易日）</w:t>
      </w:r>
    </w:p>
    <w:p w14:paraId="1BC3B56E">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调仓频率</w:t>
      </w:r>
      <w:r>
        <w:rPr>
          <w:rFonts w:hint="eastAsia" w:ascii="宋体" w:hAnsi="宋体" w:eastAsia="宋体" w:cs="宋体"/>
          <w:sz w:val="24"/>
          <w:szCs w:val="24"/>
        </w:rPr>
        <w:t>：月度（每月最后一个所有股票共有的交易日）</w:t>
      </w:r>
    </w:p>
    <w:p w14:paraId="2CE350BB">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持仓数量</w:t>
      </w:r>
      <w:r>
        <w:rPr>
          <w:rFonts w:hint="eastAsia" w:ascii="宋体" w:hAnsi="宋体" w:eastAsia="宋体" w:cs="宋体"/>
          <w:sz w:val="24"/>
          <w:szCs w:val="24"/>
        </w:rPr>
        <w:t>：每月5只，等权配置（各20%）</w:t>
      </w:r>
    </w:p>
    <w:bookmarkEnd w:id="5"/>
    <w:bookmarkEnd w:id="13"/>
    <w:p w14:paraId="60297414">
      <w:pPr>
        <w:pStyle w:val="2"/>
        <w:rPr>
          <w:rFonts w:hint="eastAsia" w:ascii="宋体" w:hAnsi="宋体" w:eastAsia="宋体" w:cs="宋体"/>
          <w:sz w:val="24"/>
          <w:szCs w:val="24"/>
        </w:rPr>
      </w:pPr>
      <w:bookmarkStart w:id="14" w:name="第3章-策略设计"/>
      <w:r>
        <w:rPr>
          <w:rFonts w:hint="eastAsia" w:ascii="宋体" w:hAnsi="宋体" w:eastAsia="宋体" w:cs="宋体"/>
          <w:sz w:val="24"/>
          <w:szCs w:val="24"/>
        </w:rPr>
        <w:t>第3章</w:t>
      </w:r>
      <w:r>
        <w:rPr>
          <w:rFonts w:hint="eastAsia" w:ascii="宋体" w:hAnsi="宋体" w:eastAsia="宋体" w:cs="宋体"/>
          <w:sz w:val="24"/>
          <w:szCs w:val="24"/>
        </w:rPr>
        <w:t xml:space="preserve"> </w:t>
      </w:r>
      <w:r>
        <w:rPr>
          <w:rFonts w:hint="eastAsia" w:ascii="宋体" w:hAnsi="宋体" w:eastAsia="宋体" w:cs="宋体"/>
          <w:sz w:val="24"/>
          <w:szCs w:val="24"/>
        </w:rPr>
        <w:t>策略设计</w:t>
      </w:r>
    </w:p>
    <w:p w14:paraId="591A451D">
      <w:pPr>
        <w:pStyle w:val="4"/>
        <w:jc w:val="center"/>
        <w:rPr>
          <w:rFonts w:hint="eastAsia" w:ascii="宋体" w:hAnsi="宋体" w:eastAsia="宋体" w:cs="宋体"/>
          <w:sz w:val="24"/>
          <w:szCs w:val="24"/>
        </w:rPr>
      </w:pPr>
      <w:bookmarkStart w:id="15" w:name="关键设定"/>
      <w:r>
        <w:rPr>
          <w:rFonts w:hint="eastAsia" w:ascii="宋体" w:hAnsi="宋体" w:eastAsia="宋体" w:cs="宋体"/>
          <w:sz w:val="24"/>
          <w:szCs w:val="24"/>
        </w:rPr>
        <w:t xml:space="preserve">3.1 </w:t>
      </w:r>
      <w:r>
        <w:rPr>
          <w:rFonts w:hint="eastAsia" w:ascii="宋体" w:hAnsi="宋体" w:eastAsia="宋体" w:cs="宋体"/>
          <w:sz w:val="24"/>
          <w:szCs w:val="24"/>
        </w:rPr>
        <w:t>关键设定</w:t>
      </w:r>
    </w:p>
    <w:tbl>
      <w:tblPr>
        <w:tblStyle w:val="41"/>
        <w:tblW w:w="5000" w:type="pct"/>
        <w:tblInd w:w="0" w:type="dxa"/>
        <w:tblLayout w:type="fixed"/>
        <w:tblCellMar>
          <w:top w:w="0" w:type="dxa"/>
          <w:left w:w="108" w:type="dxa"/>
          <w:bottom w:w="0" w:type="dxa"/>
          <w:right w:w="108" w:type="dxa"/>
        </w:tblCellMar>
      </w:tblPr>
      <w:tblGrid>
        <w:gridCol w:w="4428"/>
        <w:gridCol w:w="4428"/>
      </w:tblGrid>
      <w:tr w14:paraId="567440D7">
        <w:trPr>
          <w:tblHeader/>
        </w:trPr>
        <w:tc>
          <w:tcPr>
            <w:tcBorders>
              <w:top w:val="single" w:color="000000" w:sz="12" w:space="0"/>
              <w:left w:val="nil"/>
              <w:bottom w:val="single" w:color="000000" w:sz="4" w:space="0"/>
              <w:right w:val="nil"/>
              <w:tl2br w:val="nil"/>
            </w:tcBorders>
            <w:shd w:val="clear" w:color="auto" w:fill="FFFFFF"/>
          </w:tcPr>
          <w:p w14:paraId="550BF4F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项目</w:t>
            </w:r>
          </w:p>
        </w:tc>
        <w:tc>
          <w:tcPr>
            <w:tcBorders>
              <w:top w:val="single" w:color="000000" w:sz="12" w:space="0"/>
              <w:left w:val="nil"/>
              <w:bottom w:val="single" w:color="000000" w:sz="4" w:space="0"/>
              <w:right w:val="nil"/>
            </w:tcBorders>
            <w:shd w:val="clear" w:color="auto" w:fill="FFFFFF"/>
          </w:tcPr>
          <w:p w14:paraId="08CE87D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设定</w:t>
            </w:r>
          </w:p>
        </w:tc>
      </w:tr>
      <w:tr w14:paraId="61F7DEC5">
        <w:tc>
          <w:tcPr>
            <w:tcBorders>
              <w:top w:val="single" w:color="000000" w:sz="4" w:space="0"/>
              <w:left w:val="nil"/>
              <w:bottom w:val="nil"/>
              <w:right w:val="nil"/>
            </w:tcBorders>
            <w:shd w:val="clear" w:color="auto" w:fill="FFFFFF"/>
          </w:tcPr>
          <w:p w14:paraId="5BC1718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样本</w:t>
            </w:r>
          </w:p>
        </w:tc>
        <w:tc>
          <w:tcPr>
            <w:tcBorders>
              <w:top w:val="single" w:color="000000" w:sz="4" w:space="0"/>
              <w:left w:val="nil"/>
              <w:bottom w:val="nil"/>
              <w:right w:val="nil"/>
            </w:tcBorders>
            <w:shd w:val="clear" w:color="auto" w:fill="FFFFFF"/>
          </w:tcPr>
          <w:p w14:paraId="4B6DF627">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从候选20只股票池中，每月底计算</w:t>
            </w:r>
            <w:r>
              <w:rPr>
                <w:rFonts w:hint="eastAsia" w:ascii="宋体" w:hAnsi="宋体" w:eastAsia="宋体" w:cs="宋体"/>
                <w:b w:val="0"/>
                <w:color w:val="000000"/>
                <w:sz w:val="24"/>
                <w:szCs w:val="24"/>
              </w:rPr>
              <w:t xml:space="preserve"> </w:t>
            </w:r>
            <w:r>
              <w:rPr>
                <w:rFonts w:hint="eastAsia" w:ascii="宋体" w:hAnsi="宋体" w:eastAsia="宋体" w:cs="宋体"/>
                <w:b w:val="0"/>
                <w:bCs/>
                <w:color w:val="000000"/>
                <w:sz w:val="24"/>
                <w:szCs w:val="24"/>
              </w:rPr>
              <w:t>PE、ROE、60日动量</w:t>
            </w:r>
            <w:r>
              <w:rPr>
                <w:rFonts w:hint="eastAsia" w:ascii="宋体" w:hAnsi="宋体" w:eastAsia="宋体" w:cs="宋体"/>
                <w:b w:val="0"/>
                <w:color w:val="000000"/>
                <w:sz w:val="24"/>
                <w:szCs w:val="24"/>
              </w:rPr>
              <w:t>，经120日均线过滤后标准化排序，选择得分最高的</w:t>
            </w:r>
            <w:r>
              <w:rPr>
                <w:rFonts w:hint="eastAsia" w:ascii="宋体" w:hAnsi="宋体" w:eastAsia="宋体" w:cs="宋体"/>
                <w:b w:val="0"/>
                <w:color w:val="000000"/>
                <w:sz w:val="24"/>
                <w:szCs w:val="24"/>
              </w:rPr>
              <w:t xml:space="preserve"> </w:t>
            </w:r>
            <w:r>
              <w:rPr>
                <w:rFonts w:hint="eastAsia" w:ascii="宋体" w:hAnsi="宋体" w:eastAsia="宋体" w:cs="宋体"/>
                <w:b w:val="0"/>
                <w:bCs/>
                <w:color w:val="000000"/>
                <w:sz w:val="24"/>
                <w:szCs w:val="24"/>
              </w:rPr>
              <w:t>前5只</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构建组合</w:t>
            </w:r>
          </w:p>
        </w:tc>
      </w:tr>
      <w:tr w14:paraId="4DDD7DED">
        <w:tc>
          <w:tcPr>
            <w:tcBorders>
              <w:top w:val="nil"/>
              <w:left w:val="nil"/>
              <w:bottom w:val="nil"/>
              <w:right w:val="nil"/>
            </w:tcBorders>
            <w:shd w:val="clear" w:color="auto" w:fill="FFFFFF"/>
          </w:tcPr>
          <w:p w14:paraId="0333B04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组合构建</w:t>
            </w:r>
          </w:p>
        </w:tc>
        <w:tc>
          <w:tcPr>
            <w:tcBorders>
              <w:top w:val="nil"/>
              <w:left w:val="nil"/>
              <w:bottom w:val="nil"/>
              <w:right w:val="nil"/>
            </w:tcBorders>
            <w:shd w:val="clear" w:color="auto" w:fill="FFFFFF"/>
          </w:tcPr>
          <w:p w14:paraId="663DB848">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等权配置（各20%），月初建仓，持有至下月调仓日</w:t>
            </w:r>
          </w:p>
        </w:tc>
      </w:tr>
      <w:tr w14:paraId="15D5C1F7">
        <w:tc>
          <w:tcPr>
            <w:tcBorders>
              <w:top w:val="nil"/>
              <w:left w:val="nil"/>
              <w:bottom w:val="nil"/>
              <w:right w:val="nil"/>
            </w:tcBorders>
            <w:shd w:val="clear" w:color="auto" w:fill="FFFFFF"/>
          </w:tcPr>
          <w:p w14:paraId="2097733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再平衡</w:t>
            </w:r>
          </w:p>
        </w:tc>
        <w:tc>
          <w:tcPr>
            <w:tcBorders>
              <w:top w:val="nil"/>
              <w:left w:val="nil"/>
              <w:bottom w:val="nil"/>
              <w:right w:val="nil"/>
            </w:tcBorders>
            <w:shd w:val="clear" w:color="auto" w:fill="FFFFFF"/>
          </w:tcPr>
          <w:p w14:paraId="5C022AF0">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月度调仓（每月最后一个所有股票共有交易日重新计算因子并调整持仓）</w:t>
            </w:r>
          </w:p>
        </w:tc>
      </w:tr>
      <w:tr w14:paraId="08DBA1C4">
        <w:tc>
          <w:tcPr>
            <w:tcBorders>
              <w:top w:val="nil"/>
              <w:left w:val="nil"/>
              <w:bottom w:val="nil"/>
              <w:right w:val="nil"/>
            </w:tcBorders>
            <w:shd w:val="clear" w:color="auto" w:fill="FFFFFF"/>
          </w:tcPr>
          <w:p w14:paraId="4528FCC2">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收益计算</w:t>
            </w:r>
          </w:p>
        </w:tc>
        <w:tc>
          <w:tcPr>
            <w:tcBorders>
              <w:top w:val="nil"/>
              <w:left w:val="nil"/>
              <w:bottom w:val="nil"/>
              <w:right w:val="nil"/>
            </w:tcBorders>
            <w:shd w:val="clear" w:color="auto" w:fill="FFFFFF"/>
          </w:tcPr>
          <w:p w14:paraId="0D981174">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简单收益率（Simple</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Return），基于前复权收盘价</w:t>
            </w:r>
          </w:p>
        </w:tc>
      </w:tr>
      <w:tr w14:paraId="1DC12EB6">
        <w:tc>
          <w:tcPr>
            <w:tcBorders>
              <w:top w:val="nil"/>
              <w:left w:val="nil"/>
              <w:bottom w:val="nil"/>
              <w:right w:val="nil"/>
            </w:tcBorders>
            <w:shd w:val="clear" w:color="auto" w:fill="FFFFFF"/>
          </w:tcPr>
          <w:p w14:paraId="5A298C8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无风险利率</w:t>
            </w:r>
          </w:p>
        </w:tc>
        <w:tc>
          <w:tcPr>
            <w:tcBorders>
              <w:top w:val="nil"/>
              <w:left w:val="nil"/>
              <w:bottom w:val="nil"/>
              <w:right w:val="nil"/>
            </w:tcBorders>
            <w:shd w:val="clear" w:color="auto" w:fill="FFFFFF"/>
          </w:tcPr>
          <w:p w14:paraId="0E89E30E">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年化</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2%（用于夏普比率计算）</w:t>
            </w:r>
          </w:p>
        </w:tc>
      </w:tr>
      <w:tr w14:paraId="6E490D03">
        <w:tc>
          <w:tcPr>
            <w:tcBorders>
              <w:top w:val="nil"/>
              <w:left w:val="nil"/>
              <w:bottom w:val="nil"/>
              <w:right w:val="nil"/>
            </w:tcBorders>
            <w:shd w:val="clear" w:color="auto" w:fill="FFFFFF"/>
          </w:tcPr>
          <w:p w14:paraId="48980F7C">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交易成本</w:t>
            </w:r>
          </w:p>
        </w:tc>
        <w:tc>
          <w:tcPr>
            <w:tcBorders>
              <w:top w:val="nil"/>
              <w:left w:val="nil"/>
              <w:bottom w:val="nil"/>
              <w:right w:val="nil"/>
            </w:tcBorders>
            <w:shd w:val="clear" w:color="auto" w:fill="FFFFFF"/>
          </w:tcPr>
          <w:p w14:paraId="7C9C1ED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不考虑冲击成本、滑点、税费</w:t>
            </w:r>
          </w:p>
        </w:tc>
      </w:tr>
      <w:tr w14:paraId="539CD452">
        <w:tc>
          <w:tcPr>
            <w:tcBorders>
              <w:top w:val="nil"/>
              <w:left w:val="nil"/>
              <w:bottom w:val="single" w:color="000000" w:sz="12" w:space="0"/>
              <w:right w:val="nil"/>
            </w:tcBorders>
            <w:shd w:val="clear" w:color="auto" w:fill="FFFFFF"/>
          </w:tcPr>
          <w:p w14:paraId="050FF31D">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基准</w:t>
            </w:r>
          </w:p>
        </w:tc>
        <w:tc>
          <w:tcPr>
            <w:tcBorders>
              <w:top w:val="nil"/>
              <w:left w:val="nil"/>
              <w:bottom w:val="single" w:color="000000" w:sz="12" w:space="0"/>
              <w:right w:val="nil"/>
            </w:tcBorders>
            <w:shd w:val="clear" w:color="auto" w:fill="FFFFFF"/>
          </w:tcPr>
          <w:p w14:paraId="4D7445B6">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沪深300指数（CSI</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300，sh000300），同期归一化至1</w:t>
            </w:r>
          </w:p>
        </w:tc>
      </w:tr>
    </w:tbl>
    <w:p w14:paraId="3E3878E5">
      <w:pPr>
        <w:pStyle w:val="5"/>
        <w:rPr>
          <w:rFonts w:hint="eastAsia" w:ascii="宋体" w:hAnsi="宋体" w:eastAsia="宋体" w:cs="宋体"/>
          <w:sz w:val="24"/>
          <w:szCs w:val="24"/>
        </w:rPr>
      </w:pPr>
      <w:bookmarkStart w:id="16" w:name="三因子定义"/>
      <w:r>
        <w:rPr>
          <w:rFonts w:hint="eastAsia" w:ascii="宋体" w:hAnsi="宋体" w:eastAsia="宋体" w:cs="宋体"/>
          <w:sz w:val="24"/>
          <w:szCs w:val="24"/>
        </w:rPr>
        <w:t>三因子定义</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4DB00DCC">
        <w:trPr>
          <w:tblHeader/>
        </w:trPr>
        <w:tc>
          <w:p w14:paraId="0B88FA55">
            <w:pPr>
              <w:pStyle w:val="24"/>
              <w:jc w:val="left"/>
              <w:rPr>
                <w:rFonts w:hint="eastAsia" w:ascii="宋体" w:hAnsi="宋体" w:eastAsia="宋体" w:cs="宋体"/>
                <w:sz w:val="24"/>
                <w:szCs w:val="24"/>
              </w:rPr>
            </w:pPr>
            <w:r>
              <w:rPr>
                <w:rFonts w:hint="eastAsia" w:ascii="宋体" w:hAnsi="宋体" w:eastAsia="宋体" w:cs="宋体"/>
                <w:sz w:val="24"/>
                <w:szCs w:val="24"/>
              </w:rPr>
              <w:t>因子</w:t>
            </w:r>
          </w:p>
        </w:tc>
        <w:tc>
          <w:p w14:paraId="0D53B647">
            <w:pPr>
              <w:pStyle w:val="24"/>
              <w:jc w:val="left"/>
              <w:rPr>
                <w:rFonts w:hint="eastAsia" w:ascii="宋体" w:hAnsi="宋体" w:eastAsia="宋体" w:cs="宋体"/>
                <w:sz w:val="24"/>
                <w:szCs w:val="24"/>
              </w:rPr>
            </w:pPr>
            <w:r>
              <w:rPr>
                <w:rFonts w:hint="eastAsia" w:ascii="宋体" w:hAnsi="宋体" w:eastAsia="宋体" w:cs="宋体"/>
                <w:sz w:val="24"/>
                <w:szCs w:val="24"/>
              </w:rPr>
              <w:t>计算公式</w:t>
            </w:r>
          </w:p>
        </w:tc>
        <w:tc>
          <w:p w14:paraId="35119DA9">
            <w:pPr>
              <w:pStyle w:val="24"/>
              <w:jc w:val="left"/>
              <w:rPr>
                <w:rFonts w:hint="eastAsia" w:ascii="宋体" w:hAnsi="宋体" w:eastAsia="宋体" w:cs="宋体"/>
                <w:sz w:val="24"/>
                <w:szCs w:val="24"/>
              </w:rPr>
            </w:pPr>
            <w:r>
              <w:rPr>
                <w:rFonts w:hint="eastAsia" w:ascii="宋体" w:hAnsi="宋体" w:eastAsia="宋体" w:cs="宋体"/>
                <w:sz w:val="24"/>
                <w:szCs w:val="24"/>
              </w:rPr>
              <w:t>方向</w:t>
            </w:r>
          </w:p>
        </w:tc>
        <w:tc>
          <w:p w14:paraId="5BE6D24F">
            <w:pPr>
              <w:pStyle w:val="24"/>
              <w:jc w:val="right"/>
              <w:rPr>
                <w:rFonts w:hint="eastAsia" w:ascii="宋体" w:hAnsi="宋体" w:eastAsia="宋体" w:cs="宋体"/>
                <w:sz w:val="24"/>
                <w:szCs w:val="24"/>
              </w:rPr>
            </w:pPr>
            <w:r>
              <w:rPr>
                <w:rFonts w:hint="eastAsia" w:ascii="宋体" w:hAnsi="宋体" w:eastAsia="宋体" w:cs="宋体"/>
                <w:sz w:val="24"/>
                <w:szCs w:val="24"/>
              </w:rPr>
              <w:t>权重</w:t>
            </w:r>
          </w:p>
        </w:tc>
        <w:tc>
          <w:p w14:paraId="0C011214">
            <w:pPr>
              <w:pStyle w:val="24"/>
              <w:jc w:val="left"/>
              <w:rPr>
                <w:rFonts w:hint="eastAsia" w:ascii="宋体" w:hAnsi="宋体" w:eastAsia="宋体" w:cs="宋体"/>
                <w:sz w:val="24"/>
                <w:szCs w:val="24"/>
              </w:rPr>
            </w:pPr>
            <w:r>
              <w:rPr>
                <w:rFonts w:hint="eastAsia" w:ascii="宋体" w:hAnsi="宋体" w:eastAsia="宋体" w:cs="宋体"/>
                <w:sz w:val="24"/>
                <w:szCs w:val="24"/>
              </w:rPr>
              <w:t>参考文献</w:t>
            </w:r>
          </w:p>
        </w:tc>
      </w:tr>
      <w:tr w14:paraId="5A52709D">
        <w:tc>
          <w:p w14:paraId="530D4AA1">
            <w:pPr>
              <w:pStyle w:val="24"/>
              <w:jc w:val="left"/>
              <w:rPr>
                <w:rFonts w:hint="eastAsia" w:ascii="宋体" w:hAnsi="宋体" w:eastAsia="宋体" w:cs="宋体"/>
                <w:sz w:val="24"/>
                <w:szCs w:val="24"/>
              </w:rPr>
            </w:pPr>
            <w:r>
              <w:rPr>
                <w:rFonts w:hint="eastAsia" w:ascii="宋体" w:hAnsi="宋体" w:eastAsia="宋体" w:cs="宋体"/>
                <w:sz w:val="24"/>
                <w:szCs w:val="24"/>
              </w:rPr>
              <w:t>动量</w:t>
            </w:r>
            <w:r>
              <w:rPr>
                <w:rFonts w:hint="eastAsia" w:ascii="宋体" w:hAnsi="宋体" w:eastAsia="宋体" w:cs="宋体"/>
                <w:sz w:val="24"/>
                <w:szCs w:val="24"/>
              </w:rPr>
              <w:t xml:space="preserve"> (Momentum)</w:t>
            </w:r>
          </w:p>
        </w:tc>
        <w:tc>
          <w:p w14:paraId="43E40F2B">
            <w:pPr>
              <w:pStyle w:val="24"/>
              <w:jc w:val="left"/>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MOM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60</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m:t>
                </m:r>
              </m:oMath>
            </m:oMathPara>
          </w:p>
        </w:tc>
        <w:tc>
          <w:p w14:paraId="02D485C2">
            <w:pPr>
              <w:pStyle w:val="24"/>
              <w:jc w:val="left"/>
              <w:rPr>
                <w:rFonts w:hint="eastAsia" w:ascii="宋体" w:hAnsi="宋体" w:eastAsia="宋体" w:cs="宋体"/>
                <w:sz w:val="24"/>
                <w:szCs w:val="24"/>
              </w:rPr>
            </w:pPr>
            <w:r>
              <w:rPr>
                <w:rFonts w:hint="eastAsia" w:ascii="宋体" w:hAnsi="宋体" w:eastAsia="宋体" w:cs="宋体"/>
                <w:sz w:val="24"/>
                <w:szCs w:val="24"/>
              </w:rPr>
              <w:t>越高越好</w:t>
            </w:r>
          </w:p>
        </w:tc>
        <w:tc>
          <w:p w14:paraId="45376862">
            <w:pPr>
              <w:pStyle w:val="24"/>
              <w:jc w:val="right"/>
              <w:rPr>
                <w:rFonts w:hint="eastAsia" w:ascii="宋体" w:hAnsi="宋体" w:eastAsia="宋体" w:cs="宋体"/>
                <w:sz w:val="24"/>
                <w:szCs w:val="24"/>
              </w:rPr>
            </w:pPr>
            <w:r>
              <w:rPr>
                <w:rFonts w:hint="eastAsia" w:ascii="宋体" w:hAnsi="宋体" w:eastAsia="宋体" w:cs="宋体"/>
                <w:sz w:val="24"/>
                <w:szCs w:val="24"/>
              </w:rPr>
              <w:t>0.4</w:t>
            </w:r>
          </w:p>
        </w:tc>
        <w:tc>
          <w:p w14:paraId="38F108F1">
            <w:pPr>
              <w:pStyle w:val="24"/>
              <w:jc w:val="left"/>
              <w:rPr>
                <w:rFonts w:hint="eastAsia" w:ascii="宋体" w:hAnsi="宋体" w:eastAsia="宋体" w:cs="宋体"/>
                <w:sz w:val="24"/>
                <w:szCs w:val="24"/>
              </w:rPr>
            </w:pPr>
            <w:r>
              <w:rPr>
                <w:rFonts w:hint="eastAsia" w:ascii="宋体" w:hAnsi="宋体" w:eastAsia="宋体" w:cs="宋体"/>
                <w:sz w:val="24"/>
                <w:szCs w:val="24"/>
              </w:rPr>
              <w:t>Jegadeesh &amp; Titman (1993); Asness, Moskowitz &amp; Pedersen (2013)</w:t>
            </w:r>
          </w:p>
        </w:tc>
      </w:tr>
      <w:tr w14:paraId="15A19F40">
        <w:tc>
          <w:p w14:paraId="401FD3FA">
            <w:pPr>
              <w:pStyle w:val="24"/>
              <w:jc w:val="left"/>
              <w:rPr>
                <w:rFonts w:hint="eastAsia" w:ascii="宋体" w:hAnsi="宋体" w:eastAsia="宋体" w:cs="宋体"/>
                <w:sz w:val="24"/>
                <w:szCs w:val="24"/>
              </w:rPr>
            </w:pPr>
            <w:r>
              <w:rPr>
                <w:rFonts w:hint="eastAsia" w:ascii="宋体" w:hAnsi="宋体" w:eastAsia="宋体" w:cs="宋体"/>
                <w:sz w:val="24"/>
                <w:szCs w:val="24"/>
              </w:rPr>
              <w:t>质量</w:t>
            </w:r>
            <w:r>
              <w:rPr>
                <w:rFonts w:hint="eastAsia" w:ascii="宋体" w:hAnsi="宋体" w:eastAsia="宋体" w:cs="宋体"/>
                <w:sz w:val="24"/>
                <w:szCs w:val="24"/>
              </w:rPr>
              <w:t xml:space="preserve"> (Quality)</w:t>
            </w:r>
          </w:p>
        </w:tc>
        <w:tc>
          <w:p w14:paraId="19451EDF">
            <w:pPr>
              <w:pStyle w:val="24"/>
              <w:jc w:val="left"/>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ROE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净利润</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股东权益</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100</m:t>
                </m:r>
                <m:r>
                  <m:rPr>
                    <m:sty m:val="p"/>
                  </m:rPr>
                  <w:rPr>
                    <w:rFonts w:hint="eastAsia" w:ascii="Cambria Math" w:hAnsi="Cambria Math" w:eastAsia="宋体" w:cs="宋体"/>
                    <w:sz w:val="24"/>
                    <w:szCs w:val="24"/>
                  </w:rPr>
                  <m:t>%</m:t>
                </m:r>
              </m:oMath>
            </m:oMathPara>
          </w:p>
        </w:tc>
        <w:tc>
          <w:p w14:paraId="76FCF4E1">
            <w:pPr>
              <w:pStyle w:val="24"/>
              <w:jc w:val="left"/>
              <w:rPr>
                <w:rFonts w:hint="eastAsia" w:ascii="宋体" w:hAnsi="宋体" w:eastAsia="宋体" w:cs="宋体"/>
                <w:sz w:val="24"/>
                <w:szCs w:val="24"/>
              </w:rPr>
            </w:pPr>
            <w:r>
              <w:rPr>
                <w:rFonts w:hint="eastAsia" w:ascii="宋体" w:hAnsi="宋体" w:eastAsia="宋体" w:cs="宋体"/>
                <w:sz w:val="24"/>
                <w:szCs w:val="24"/>
              </w:rPr>
              <w:t>越高越好</w:t>
            </w:r>
          </w:p>
        </w:tc>
        <w:tc>
          <w:p w14:paraId="2CE99C49">
            <w:pPr>
              <w:pStyle w:val="24"/>
              <w:jc w:val="right"/>
              <w:rPr>
                <w:rFonts w:hint="eastAsia" w:ascii="宋体" w:hAnsi="宋体" w:eastAsia="宋体" w:cs="宋体"/>
                <w:sz w:val="24"/>
                <w:szCs w:val="24"/>
              </w:rPr>
            </w:pPr>
            <w:r>
              <w:rPr>
                <w:rFonts w:hint="eastAsia" w:ascii="宋体" w:hAnsi="宋体" w:eastAsia="宋体" w:cs="宋体"/>
                <w:sz w:val="24"/>
                <w:szCs w:val="24"/>
              </w:rPr>
              <w:t>0.3</w:t>
            </w:r>
          </w:p>
        </w:tc>
        <w:tc>
          <w:p w14:paraId="30508E35">
            <w:pPr>
              <w:pStyle w:val="24"/>
              <w:jc w:val="left"/>
              <w:rPr>
                <w:rFonts w:hint="eastAsia" w:ascii="宋体" w:hAnsi="宋体" w:eastAsia="宋体" w:cs="宋体"/>
                <w:sz w:val="24"/>
                <w:szCs w:val="24"/>
              </w:rPr>
            </w:pPr>
            <w:r>
              <w:rPr>
                <w:rFonts w:hint="eastAsia" w:ascii="宋体" w:hAnsi="宋体" w:eastAsia="宋体" w:cs="宋体"/>
                <w:sz w:val="24"/>
                <w:szCs w:val="24"/>
              </w:rPr>
              <w:t>Novy-Marx (2013); Asness, Frazzini &amp; Pedersen (2019)</w:t>
            </w:r>
          </w:p>
        </w:tc>
      </w:tr>
      <w:tr w14:paraId="7B82CF6E">
        <w:tc>
          <w:p w14:paraId="5AAF7AD6">
            <w:pPr>
              <w:pStyle w:val="24"/>
              <w:jc w:val="left"/>
              <w:rPr>
                <w:rFonts w:hint="eastAsia" w:ascii="宋体" w:hAnsi="宋体" w:eastAsia="宋体" w:cs="宋体"/>
                <w:sz w:val="24"/>
                <w:szCs w:val="24"/>
              </w:rPr>
            </w:pPr>
            <w:r>
              <w:rPr>
                <w:rFonts w:hint="eastAsia" w:ascii="宋体" w:hAnsi="宋体" w:eastAsia="宋体" w:cs="宋体"/>
                <w:sz w:val="24"/>
                <w:szCs w:val="24"/>
              </w:rPr>
              <w:t>价值</w:t>
            </w:r>
            <w:r>
              <w:rPr>
                <w:rFonts w:hint="eastAsia" w:ascii="宋体" w:hAnsi="宋体" w:eastAsia="宋体" w:cs="宋体"/>
                <w:sz w:val="24"/>
                <w:szCs w:val="24"/>
              </w:rPr>
              <w:t xml:space="preserve"> (Value)</w:t>
            </w:r>
          </w:p>
        </w:tc>
        <w:tc>
          <w:p w14:paraId="61DD45D0">
            <w:pPr>
              <w:pStyle w:val="24"/>
              <w:jc w:val="left"/>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PE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EPS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oMath>
            </m:oMathPara>
          </w:p>
          <w:p w14:paraId="28190D1B">
            <w:pPr>
              <w:pStyle w:val="24"/>
              <w:jc w:val="left"/>
              <w:rPr>
                <w:rFonts w:hint="eastAsia" w:ascii="宋体" w:hAnsi="宋体" w:eastAsia="宋体" w:cs="宋体"/>
                <w:sz w:val="24"/>
                <w:szCs w:val="24"/>
              </w:rPr>
            </w:pPr>
            <w:r>
              <w:rPr>
                <w:rFonts w:hint="eastAsia" w:ascii="宋体" w:hAnsi="宋体" w:eastAsia="宋体" w:cs="宋体"/>
                <w:sz w:val="24"/>
                <w:szCs w:val="24"/>
              </w:rPr>
              <w:t>，取负值参与评分</w:t>
            </w:r>
          </w:p>
        </w:tc>
        <w:tc>
          <w:p w14:paraId="4A9118ED">
            <w:pPr>
              <w:pStyle w:val="24"/>
              <w:jc w:val="left"/>
              <w:rPr>
                <w:rFonts w:hint="eastAsia" w:ascii="宋体" w:hAnsi="宋体" w:eastAsia="宋体" w:cs="宋体"/>
                <w:sz w:val="24"/>
                <w:szCs w:val="24"/>
              </w:rPr>
            </w:pPr>
            <w:r>
              <w:rPr>
                <w:rFonts w:hint="eastAsia" w:ascii="宋体" w:hAnsi="宋体" w:eastAsia="宋体" w:cs="宋体"/>
                <w:sz w:val="24"/>
                <w:szCs w:val="24"/>
              </w:rPr>
              <w:t>越低越好</w:t>
            </w:r>
          </w:p>
        </w:tc>
        <w:tc>
          <w:p w14:paraId="3B117052">
            <w:pPr>
              <w:pStyle w:val="24"/>
              <w:jc w:val="right"/>
              <w:rPr>
                <w:rFonts w:hint="eastAsia" w:ascii="宋体" w:hAnsi="宋体" w:eastAsia="宋体" w:cs="宋体"/>
                <w:sz w:val="24"/>
                <w:szCs w:val="24"/>
              </w:rPr>
            </w:pPr>
            <w:r>
              <w:rPr>
                <w:rFonts w:hint="eastAsia" w:ascii="宋体" w:hAnsi="宋体" w:eastAsia="宋体" w:cs="宋体"/>
                <w:sz w:val="24"/>
                <w:szCs w:val="24"/>
              </w:rPr>
              <w:t>0.3</w:t>
            </w:r>
          </w:p>
        </w:tc>
        <w:tc>
          <w:p w14:paraId="0F335D7A">
            <w:pPr>
              <w:pStyle w:val="24"/>
              <w:jc w:val="left"/>
              <w:rPr>
                <w:rFonts w:hint="eastAsia" w:ascii="宋体" w:hAnsi="宋体" w:eastAsia="宋体" w:cs="宋体"/>
                <w:sz w:val="24"/>
                <w:szCs w:val="24"/>
              </w:rPr>
            </w:pPr>
            <w:r>
              <w:rPr>
                <w:rFonts w:hint="eastAsia" w:ascii="宋体" w:hAnsi="宋体" w:eastAsia="宋体" w:cs="宋体"/>
                <w:sz w:val="24"/>
                <w:szCs w:val="24"/>
              </w:rPr>
              <w:t>Fama &amp; French (1993); Lakonishok, Shleifer &amp; Vishny (1994)</w:t>
            </w:r>
          </w:p>
        </w:tc>
      </w:tr>
    </w:tbl>
    <w:p w14:paraId="240CF0FE">
      <w:pPr>
        <w:pStyle w:val="3"/>
        <w:rPr>
          <w:rFonts w:hint="eastAsia" w:ascii="宋体" w:hAnsi="宋体" w:eastAsia="宋体" w:cs="宋体"/>
          <w:sz w:val="24"/>
          <w:szCs w:val="24"/>
        </w:rPr>
      </w:pPr>
      <w:r>
        <w:rPr>
          <w:rFonts w:hint="eastAsia" w:ascii="宋体" w:hAnsi="宋体" w:eastAsia="宋体" w:cs="宋体"/>
          <w:sz w:val="24"/>
          <w:szCs w:val="24"/>
        </w:rPr>
        <w:t>其中</w:t>
      </w:r>
      <w:r>
        <w:rPr>
          <w:rFonts w:hint="eastAsia" w:ascii="宋体" w:hAnsi="宋体" w:eastAsia="宋体" w:cs="宋体"/>
          <w:sz w:val="24"/>
          <w:szCs w:val="24"/>
        </w:rPr>
        <w:t xml:space="preserve">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w:t>
      </w:r>
      <w:r>
        <w:rPr>
          <w:rFonts w:hint="eastAsia" w:ascii="宋体" w:hAnsi="宋体" w:eastAsia="宋体" w:cs="宋体"/>
          <w:sz w:val="24"/>
          <w:szCs w:val="24"/>
        </w:rPr>
        <w:t>为股票</w:t>
      </w:r>
      <w:r>
        <w:rPr>
          <w:rFonts w:hint="eastAsia" w:ascii="宋体" w:hAnsi="宋体" w:eastAsia="宋体" w:cs="宋体"/>
          <w:sz w:val="24"/>
          <w:szCs w:val="24"/>
        </w:rPr>
        <w:t xml:space="preserve"> </w:t>
      </w:r>
      <m:oMath>
        <m:r>
          <m:rPr/>
          <w:rPr>
            <w:rFonts w:hint="eastAsia" w:ascii="Cambria Math" w:hAnsi="Cambria Math" w:eastAsia="宋体" w:cs="宋体"/>
            <w:sz w:val="24"/>
            <w:szCs w:val="24"/>
          </w:rPr>
          <m:t>i</m:t>
        </m:r>
      </m:oMath>
      <w:r>
        <w:rPr>
          <w:rFonts w:hint="eastAsia" w:ascii="宋体" w:hAnsi="宋体" w:eastAsia="宋体" w:cs="宋体"/>
          <w:sz w:val="24"/>
          <w:szCs w:val="24"/>
        </w:rPr>
        <w:t xml:space="preserve"> </w:t>
      </w:r>
      <w:r>
        <w:rPr>
          <w:rFonts w:hint="eastAsia" w:ascii="宋体" w:hAnsi="宋体" w:eastAsia="宋体" w:cs="宋体"/>
          <w:sz w:val="24"/>
          <w:szCs w:val="24"/>
        </w:rPr>
        <w:t>在第</w:t>
      </w:r>
      <w:r>
        <w:rPr>
          <w:rFonts w:hint="eastAsia" w:ascii="宋体" w:hAnsi="宋体" w:eastAsia="宋体" w:cs="宋体"/>
          <w:sz w:val="24"/>
          <w:szCs w:val="24"/>
        </w:rPr>
        <w:t xml:space="preserve"> </w:t>
      </w:r>
      <m:oMath>
        <m:r>
          <m:rPr/>
          <w:rPr>
            <w:rFonts w:hint="eastAsia" w:ascii="Cambria Math" w:hAnsi="Cambria Math" w:eastAsia="宋体" w:cs="宋体"/>
            <w:sz w:val="24"/>
            <w:szCs w:val="24"/>
          </w:rPr>
          <m:t>t</m:t>
        </m:r>
      </m:oMath>
      <w:r>
        <w:rPr>
          <w:rFonts w:hint="eastAsia" w:ascii="宋体" w:hAnsi="宋体" w:eastAsia="宋体" w:cs="宋体"/>
          <w:sz w:val="24"/>
          <w:szCs w:val="24"/>
        </w:rPr>
        <w:t xml:space="preserve"> </w:t>
      </w:r>
      <w:r>
        <w:rPr>
          <w:rFonts w:hint="eastAsia" w:ascii="宋体" w:hAnsi="宋体" w:eastAsia="宋体" w:cs="宋体"/>
          <w:sz w:val="24"/>
          <w:szCs w:val="24"/>
        </w:rPr>
        <w:t>日的前复权收盘价，</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60</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w:t>
      </w:r>
      <w:r>
        <w:rPr>
          <w:rFonts w:hint="eastAsia" w:ascii="宋体" w:hAnsi="宋体" w:eastAsia="宋体" w:cs="宋体"/>
          <w:sz w:val="24"/>
          <w:szCs w:val="24"/>
        </w:rPr>
        <w:t>为60个交易日前的收盘价。EPS</w:t>
      </w:r>
      <w:r>
        <w:rPr>
          <w:rFonts w:hint="eastAsia" w:ascii="宋体" w:hAnsi="宋体" w:eastAsia="宋体" w:cs="宋体"/>
          <w:sz w:val="24"/>
          <w:szCs w:val="24"/>
        </w:rPr>
        <w:t xml:space="preserve"> </w:t>
      </w:r>
      <w:r>
        <w:rPr>
          <w:rFonts w:hint="eastAsia" w:ascii="宋体" w:hAnsi="宋体" w:eastAsia="宋体" w:cs="宋体"/>
          <w:sz w:val="24"/>
          <w:szCs w:val="24"/>
        </w:rPr>
        <w:t>为滚动12个月每股收益（TTM）。</w:t>
      </w:r>
    </w:p>
    <w:p w14:paraId="37A5A060">
      <w:pPr>
        <w:pStyle w:val="3"/>
        <w:rPr>
          <w:rFonts w:hint="eastAsia" w:ascii="宋体" w:hAnsi="宋体" w:eastAsia="宋体" w:cs="宋体"/>
          <w:sz w:val="24"/>
          <w:szCs w:val="24"/>
        </w:rPr>
      </w:pPr>
      <w:r>
        <w:rPr>
          <w:rFonts w:hint="eastAsia" w:ascii="宋体" w:hAnsi="宋体" w:eastAsia="宋体" w:cs="宋体"/>
          <w:b/>
          <w:bCs/>
          <w:sz w:val="24"/>
          <w:szCs w:val="24"/>
        </w:rPr>
        <w:t>原始取值范围</w:t>
      </w:r>
      <w:r>
        <w:rPr>
          <w:rFonts w:hint="eastAsia" w:ascii="宋体" w:hAnsi="宋体" w:eastAsia="宋体" w:cs="宋体"/>
          <w:sz w:val="24"/>
          <w:szCs w:val="24"/>
        </w:rPr>
        <w:t>（回测期间实际数据）：</w:t>
      </w:r>
    </w:p>
    <w:tbl>
      <w:tblPr>
        <w:tblStyle w:val="41"/>
        <w:tblW w:w="0" w:type="auto"/>
        <w:tblInd w:w="0" w:type="dxa"/>
        <w:tblLayout w:type="autofit"/>
        <w:tblCellMar>
          <w:top w:w="0" w:type="dxa"/>
          <w:left w:w="108" w:type="dxa"/>
          <w:bottom w:w="0" w:type="dxa"/>
          <w:right w:w="108" w:type="dxa"/>
        </w:tblCellMar>
      </w:tblPr>
      <w:tblGrid>
        <w:gridCol w:w="2316"/>
        <w:gridCol w:w="696"/>
        <w:gridCol w:w="936"/>
        <w:gridCol w:w="1056"/>
        <w:gridCol w:w="936"/>
      </w:tblGrid>
      <w:tr w14:paraId="19E5F5D6">
        <w:trPr>
          <w:tblHeader/>
        </w:trPr>
        <w:tc>
          <w:tcPr>
            <w:tcBorders>
              <w:top w:val="single" w:color="000000" w:sz="12" w:space="0"/>
              <w:left w:val="nil"/>
              <w:bottom w:val="single" w:color="000000" w:sz="4" w:space="0"/>
              <w:right w:val="nil"/>
              <w:tl2br w:val="nil"/>
            </w:tcBorders>
            <w:shd w:val="clear" w:color="auto" w:fill="FFFFFF"/>
          </w:tcPr>
          <w:p w14:paraId="3A0474B9">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因子</w:t>
            </w:r>
          </w:p>
        </w:tc>
        <w:tc>
          <w:tcPr>
            <w:tcBorders>
              <w:top w:val="single" w:color="000000" w:sz="12" w:space="0"/>
              <w:left w:val="nil"/>
              <w:bottom w:val="single" w:color="000000" w:sz="4" w:space="0"/>
              <w:right w:val="nil"/>
            </w:tcBorders>
            <w:shd w:val="clear" w:color="auto" w:fill="FFFFFF"/>
          </w:tcPr>
          <w:p w14:paraId="2A6078FB">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单位</w:t>
            </w:r>
          </w:p>
        </w:tc>
        <w:tc>
          <w:tcPr>
            <w:tcBorders>
              <w:top w:val="single" w:color="000000" w:sz="12" w:space="0"/>
              <w:left w:val="nil"/>
              <w:bottom w:val="single" w:color="000000" w:sz="4" w:space="0"/>
              <w:right w:val="nil"/>
            </w:tcBorders>
            <w:shd w:val="clear" w:color="auto" w:fill="FFFFFF"/>
          </w:tcPr>
          <w:p w14:paraId="2579B1AF">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最小值</w:t>
            </w:r>
          </w:p>
        </w:tc>
        <w:tc>
          <w:tcPr>
            <w:tcBorders>
              <w:top w:val="single" w:color="000000" w:sz="12" w:space="0"/>
              <w:left w:val="nil"/>
              <w:bottom w:val="single" w:color="000000" w:sz="4" w:space="0"/>
              <w:right w:val="nil"/>
            </w:tcBorders>
            <w:shd w:val="clear" w:color="auto" w:fill="FFFFFF"/>
          </w:tcPr>
          <w:p w14:paraId="525DBD09">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最大值</w:t>
            </w:r>
          </w:p>
        </w:tc>
        <w:tc>
          <w:tcPr>
            <w:tcBorders>
              <w:top w:val="single" w:color="000000" w:sz="12" w:space="0"/>
              <w:left w:val="nil"/>
              <w:bottom w:val="single" w:color="000000" w:sz="4" w:space="0"/>
              <w:right w:val="nil"/>
            </w:tcBorders>
            <w:shd w:val="clear" w:color="auto" w:fill="FFFFFF"/>
          </w:tcPr>
          <w:p w14:paraId="0A4B8CCA">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均值</w:t>
            </w:r>
          </w:p>
        </w:tc>
      </w:tr>
      <w:tr w14:paraId="3D649BD4">
        <w:tc>
          <w:tcPr>
            <w:tcBorders>
              <w:top w:val="single" w:color="000000" w:sz="4" w:space="0"/>
              <w:left w:val="nil"/>
              <w:bottom w:val="nil"/>
              <w:right w:val="nil"/>
            </w:tcBorders>
            <w:shd w:val="clear" w:color="auto" w:fill="FFFFFF"/>
          </w:tcPr>
          <w:p w14:paraId="4FE0F94F">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动量</w:t>
            </w:r>
            <w:r>
              <w:rPr>
                <w:rFonts w:hint="eastAsia" w:ascii="宋体" w:hAnsi="宋体" w:eastAsia="宋体" w:cs="宋体"/>
                <w:b w:val="0"/>
                <w:color w:val="000000"/>
                <w:sz w:val="24"/>
                <w:szCs w:val="24"/>
              </w:rPr>
              <w:t xml:space="preserve"> </w:t>
            </w:r>
            <w:r>
              <w:rPr>
                <w:rFonts w:hint="eastAsia" w:ascii="宋体" w:hAnsi="宋体" w:eastAsia="宋体" w:cs="宋体"/>
                <w:b w:val="0"/>
                <w:color w:val="000000"/>
                <w:sz w:val="24"/>
                <w:szCs w:val="24"/>
              </w:rPr>
              <w:t>(60日收益率)</w:t>
            </w:r>
          </w:p>
        </w:tc>
        <w:tc>
          <w:tcPr>
            <w:tcBorders>
              <w:top w:val="single" w:color="000000" w:sz="4" w:space="0"/>
              <w:left w:val="nil"/>
              <w:bottom w:val="nil"/>
              <w:right w:val="nil"/>
            </w:tcBorders>
            <w:shd w:val="clear" w:color="auto" w:fill="FFFFFF"/>
          </w:tcPr>
          <w:p w14:paraId="20D0EDF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single" w:color="000000" w:sz="4" w:space="0"/>
              <w:left w:val="nil"/>
              <w:bottom w:val="nil"/>
              <w:right w:val="nil"/>
            </w:tcBorders>
            <w:shd w:val="clear" w:color="auto" w:fill="FFFFFF"/>
          </w:tcPr>
          <w:p w14:paraId="08600529">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-23.8%</w:t>
            </w:r>
          </w:p>
        </w:tc>
        <w:tc>
          <w:tcPr>
            <w:tcBorders>
              <w:top w:val="single" w:color="000000" w:sz="4" w:space="0"/>
              <w:left w:val="nil"/>
              <w:bottom w:val="nil"/>
              <w:right w:val="nil"/>
            </w:tcBorders>
            <w:shd w:val="clear" w:color="auto" w:fill="FFFFFF"/>
          </w:tcPr>
          <w:p w14:paraId="2F7DAA2A">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+242.8%</w:t>
            </w:r>
          </w:p>
        </w:tc>
        <w:tc>
          <w:tcPr>
            <w:tcBorders>
              <w:top w:val="single" w:color="000000" w:sz="4" w:space="0"/>
              <w:left w:val="nil"/>
              <w:bottom w:val="nil"/>
              <w:right w:val="nil"/>
            </w:tcBorders>
            <w:shd w:val="clear" w:color="auto" w:fill="FFFFFF"/>
          </w:tcPr>
          <w:p w14:paraId="3A10CD23">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+29.8%</w:t>
            </w:r>
          </w:p>
        </w:tc>
      </w:tr>
      <w:tr w14:paraId="3A9B022C">
        <w:tc>
          <w:tcPr>
            <w:tcBorders>
              <w:top w:val="nil"/>
              <w:left w:val="nil"/>
              <w:bottom w:val="nil"/>
              <w:right w:val="nil"/>
            </w:tcBorders>
            <w:shd w:val="clear" w:color="auto" w:fill="FFFFFF"/>
          </w:tcPr>
          <w:p w14:paraId="51FB51C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ROE</w:t>
            </w:r>
          </w:p>
        </w:tc>
        <w:tc>
          <w:tcPr>
            <w:tcBorders>
              <w:top w:val="nil"/>
              <w:left w:val="nil"/>
              <w:bottom w:val="nil"/>
              <w:right w:val="nil"/>
            </w:tcBorders>
            <w:shd w:val="clear" w:color="auto" w:fill="FFFFFF"/>
          </w:tcPr>
          <w:p w14:paraId="52E47BB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Borders>
              <w:top w:val="nil"/>
              <w:left w:val="nil"/>
              <w:bottom w:val="nil"/>
              <w:right w:val="nil"/>
            </w:tcBorders>
            <w:shd w:val="clear" w:color="auto" w:fill="FFFFFF"/>
          </w:tcPr>
          <w:p w14:paraId="567C5331">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1.84</w:t>
            </w:r>
          </w:p>
        </w:tc>
        <w:tc>
          <w:tcPr>
            <w:tcBorders>
              <w:top w:val="nil"/>
              <w:left w:val="nil"/>
              <w:bottom w:val="nil"/>
              <w:right w:val="nil"/>
            </w:tcBorders>
            <w:shd w:val="clear" w:color="auto" w:fill="FFFFFF"/>
          </w:tcPr>
          <w:p w14:paraId="38C4BBDA">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50.52</w:t>
            </w:r>
          </w:p>
        </w:tc>
        <w:tc>
          <w:tcPr>
            <w:tcBorders>
              <w:top w:val="nil"/>
              <w:left w:val="nil"/>
              <w:bottom w:val="nil"/>
              <w:right w:val="nil"/>
            </w:tcBorders>
            <w:shd w:val="clear" w:color="auto" w:fill="FFFFFF"/>
          </w:tcPr>
          <w:p w14:paraId="205E62E0">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13.97</w:t>
            </w:r>
          </w:p>
        </w:tc>
      </w:tr>
      <w:tr w14:paraId="504E9058">
        <w:tc>
          <w:tcPr>
            <w:tcBorders>
              <w:top w:val="nil"/>
              <w:left w:val="nil"/>
              <w:bottom w:val="single" w:color="000000" w:sz="12" w:space="0"/>
              <w:right w:val="nil"/>
            </w:tcBorders>
            <w:shd w:val="clear" w:color="auto" w:fill="FFFFFF"/>
          </w:tcPr>
          <w:p w14:paraId="45A96881">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PE (TTM)</w:t>
            </w:r>
          </w:p>
        </w:tc>
        <w:tc>
          <w:tcPr>
            <w:tcBorders>
              <w:top w:val="nil"/>
              <w:left w:val="nil"/>
              <w:bottom w:val="single" w:color="000000" w:sz="12" w:space="0"/>
              <w:right w:val="nil"/>
            </w:tcBorders>
            <w:shd w:val="clear" w:color="auto" w:fill="FFFFFF"/>
          </w:tcPr>
          <w:p w14:paraId="0F981B65">
            <w:pPr>
              <w:pStyle w:val="24"/>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倍</w:t>
            </w:r>
          </w:p>
        </w:tc>
        <w:tc>
          <w:tcPr>
            <w:tcBorders>
              <w:top w:val="nil"/>
              <w:left w:val="nil"/>
              <w:bottom w:val="single" w:color="000000" w:sz="12" w:space="0"/>
              <w:right w:val="nil"/>
            </w:tcBorders>
            <w:shd w:val="clear" w:color="auto" w:fill="FFFFFF"/>
          </w:tcPr>
          <w:p w14:paraId="5C783A8C">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13.46</w:t>
            </w:r>
          </w:p>
        </w:tc>
        <w:tc>
          <w:tcPr>
            <w:tcBorders>
              <w:top w:val="nil"/>
              <w:left w:val="nil"/>
              <w:bottom w:val="single" w:color="000000" w:sz="12" w:space="0"/>
              <w:right w:val="nil"/>
            </w:tcBorders>
            <w:shd w:val="clear" w:color="auto" w:fill="FFFFFF"/>
          </w:tcPr>
          <w:p w14:paraId="17E7956B">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158.79</w:t>
            </w:r>
          </w:p>
        </w:tc>
        <w:tc>
          <w:tcPr>
            <w:tcBorders>
              <w:top w:val="nil"/>
              <w:left w:val="nil"/>
              <w:bottom w:val="single" w:color="000000" w:sz="12" w:space="0"/>
              <w:right w:val="nil"/>
            </w:tcBorders>
            <w:shd w:val="clear" w:color="auto" w:fill="FFFFFF"/>
          </w:tcPr>
          <w:p w14:paraId="68B8931F">
            <w:pPr>
              <w:pStyle w:val="24"/>
              <w:jc w:val="righ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55.72</w:t>
            </w:r>
          </w:p>
        </w:tc>
      </w:tr>
    </w:tbl>
    <w:p w14:paraId="4D142537">
      <w:pPr>
        <w:pStyle w:val="3"/>
        <w:rPr>
          <w:rFonts w:hint="eastAsia" w:ascii="宋体" w:hAnsi="宋体" w:eastAsia="宋体" w:cs="宋体"/>
          <w:sz w:val="24"/>
          <w:szCs w:val="24"/>
        </w:rPr>
      </w:pPr>
      <w:r>
        <w:rPr>
          <w:rFonts w:hint="eastAsia" w:ascii="宋体" w:hAnsi="宋体" w:eastAsia="宋体" w:cs="宋体"/>
          <w:sz w:val="24"/>
          <w:szCs w:val="24"/>
        </w:rPr>
        <w:t>三个因子的量纲差异极大（动量为比率、ROE</w:t>
      </w:r>
      <w:r>
        <w:rPr>
          <w:rFonts w:hint="eastAsia" w:ascii="宋体" w:hAnsi="宋体" w:eastAsia="宋体" w:cs="宋体"/>
          <w:sz w:val="24"/>
          <w:szCs w:val="24"/>
        </w:rPr>
        <w:t xml:space="preserve"> </w:t>
      </w:r>
      <w:r>
        <w:rPr>
          <w:rFonts w:hint="eastAsia" w:ascii="宋体" w:hAnsi="宋体" w:eastAsia="宋体" w:cs="宋体"/>
          <w:sz w:val="24"/>
          <w:szCs w:val="24"/>
        </w:rPr>
        <w:t>为百分比、PE</w:t>
      </w:r>
      <w:r>
        <w:rPr>
          <w:rFonts w:hint="eastAsia" w:ascii="宋体" w:hAnsi="宋体" w:eastAsia="宋体" w:cs="宋体"/>
          <w:sz w:val="24"/>
          <w:szCs w:val="24"/>
        </w:rPr>
        <w:t xml:space="preserve"> </w:t>
      </w:r>
      <w:r>
        <w:rPr>
          <w:rFonts w:hint="eastAsia" w:ascii="宋体" w:hAnsi="宋体" w:eastAsia="宋体" w:cs="宋体"/>
          <w:sz w:val="24"/>
          <w:szCs w:val="24"/>
        </w:rPr>
        <w:t>为倍数），直接相加无意义，因此每个调仓日截面内做</w:t>
      </w:r>
      <w:r>
        <w:rPr>
          <w:rFonts w:hint="eastAsia" w:ascii="宋体" w:hAnsi="宋体" w:eastAsia="宋体" w:cs="宋体"/>
          <w:sz w:val="24"/>
          <w:szCs w:val="24"/>
        </w:rPr>
        <w:t xml:space="preserve"> Z-score </w:t>
      </w:r>
      <w:r>
        <w:rPr>
          <w:rFonts w:hint="eastAsia" w:ascii="宋体" w:hAnsi="宋体" w:eastAsia="宋体" w:cs="宋体"/>
          <w:sz w:val="24"/>
          <w:szCs w:val="24"/>
        </w:rPr>
        <w:t>标准化</w:t>
      </w:r>
      <w:r>
        <w:rPr>
          <w:rFonts w:hint="eastAsia" w:ascii="宋体" w:hAnsi="宋体" w:eastAsia="宋体" w:cs="宋体"/>
          <w:sz w:val="24"/>
          <w:szCs w:val="24"/>
        </w:rPr>
        <w:t xml:space="preserve"> (Wilks, 1938; Bachelet et al., </w:t>
      </w:r>
      <w:r>
        <w:rPr>
          <w:rFonts w:hint="eastAsia" w:ascii="宋体" w:hAnsi="宋体" w:eastAsia="宋体" w:cs="宋体"/>
          <w:sz w:val="24"/>
          <w:szCs w:val="24"/>
        </w:rPr>
        <w:t>2024)：</w:t>
      </w:r>
    </w:p>
    <w:p w14:paraId="5168D304">
      <w:pPr>
        <w:pStyle w:val="3"/>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σ</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x</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oMath>
      </m:oMathPara>
    </w:p>
    <w:p w14:paraId="665FF23A">
      <w:pPr>
        <w:pStyle w:val="23"/>
        <w:rPr>
          <w:rFonts w:hint="eastAsia" w:ascii="宋体" w:hAnsi="宋体" w:eastAsia="宋体" w:cs="宋体"/>
          <w:sz w:val="24"/>
          <w:szCs w:val="24"/>
        </w:rPr>
      </w:pPr>
      <w:r>
        <w:rPr>
          <w:rFonts w:hint="eastAsia" w:ascii="宋体" w:hAnsi="宋体" w:eastAsia="宋体" w:cs="宋体"/>
          <w:sz w:val="24"/>
          <w:szCs w:val="24"/>
        </w:rPr>
        <w:t>标准化后各因子均值约为0、标准差约为1，取值范围约在</w:t>
      </w:r>
      <w:r>
        <w:rPr>
          <w:rFonts w:hint="eastAsia" w:ascii="宋体" w:hAnsi="宋体" w:eastAsia="宋体" w:cs="宋体"/>
          <w:sz w:val="24"/>
          <w:szCs w:val="24"/>
        </w:rPr>
        <w:t xml:space="preserve"> </w:t>
      </w:r>
      <m:oMath>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3</m:t>
        </m:r>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3</m:t>
        </m:r>
        <m:r>
          <m:rPr>
            <m:sty m:val="p"/>
          </m:rPr>
          <w:rPr>
            <w:rFonts w:hint="eastAsia" w:ascii="Cambria Math" w:hAnsi="Cambria Math" w:eastAsia="宋体" w:cs="宋体"/>
            <w:sz w:val="24"/>
            <w:szCs w:val="24"/>
          </w:rPr>
          <m:t>]</m:t>
        </m:r>
      </m:oMath>
      <w:r>
        <w:rPr>
          <w:rFonts w:hint="eastAsia" w:ascii="宋体" w:hAnsi="宋体" w:eastAsia="宋体" w:cs="宋体"/>
          <w:sz w:val="24"/>
          <w:szCs w:val="24"/>
        </w:rPr>
        <w:t>。综合评分为：</w:t>
      </w:r>
    </w:p>
    <w:p w14:paraId="3A6EE202">
      <w:pPr>
        <w:pStyle w:val="3"/>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m:nor/>
                  <m:sty m:val="p"/>
                </m:rPr>
                <w:rPr>
                  <w:rFonts w:hint="eastAsia" w:ascii="Cambria Math" w:hAnsi="Cambria Math" w:eastAsia="宋体" w:cs="宋体"/>
                  <w:b w:val="0"/>
                  <w:i w:val="0"/>
                  <w:sz w:val="24"/>
                  <w:szCs w:val="24"/>
                </w:rPr>
                <m:t>Score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0.4</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MOM,</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0.3</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ROE,</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0.3</m:t>
          </m:r>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-PE,</m:t>
              </m:r>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m:oMathPara>
    </w:p>
    <w:p w14:paraId="4CAEF649">
      <w:pPr>
        <w:pStyle w:val="23"/>
        <w:rPr>
          <w:rFonts w:hint="eastAsia" w:ascii="宋体" w:hAnsi="宋体" w:eastAsia="宋体" w:cs="宋体"/>
          <w:sz w:val="24"/>
          <w:szCs w:val="24"/>
        </w:rPr>
      </w:pPr>
      <w:r>
        <w:rPr>
          <w:rFonts w:hint="eastAsia" w:ascii="宋体" w:hAnsi="宋体" w:eastAsia="宋体" w:cs="宋体"/>
          <w:sz w:val="24"/>
          <w:szCs w:val="24"/>
        </w:rPr>
        <w:t>多因子线性加权组合的方法论参见</w:t>
      </w:r>
      <w:r>
        <w:rPr>
          <w:rFonts w:hint="eastAsia" w:ascii="宋体" w:hAnsi="宋体" w:eastAsia="宋体" w:cs="宋体"/>
          <w:sz w:val="24"/>
          <w:szCs w:val="24"/>
        </w:rPr>
        <w:t xml:space="preserve"> Fama &amp; French (1993) </w:t>
      </w:r>
      <w:r>
        <w:rPr>
          <w:rFonts w:hint="eastAsia" w:ascii="宋体" w:hAnsi="宋体" w:eastAsia="宋体" w:cs="宋体"/>
          <w:sz w:val="24"/>
          <w:szCs w:val="24"/>
        </w:rPr>
        <w:t>和</w:t>
      </w:r>
      <w:r>
        <w:rPr>
          <w:rFonts w:hint="eastAsia" w:ascii="宋体" w:hAnsi="宋体" w:eastAsia="宋体" w:cs="宋体"/>
          <w:sz w:val="24"/>
          <w:szCs w:val="24"/>
        </w:rPr>
        <w:t xml:space="preserve"> Carhart (1997)。</w:t>
      </w:r>
    </w:p>
    <w:p w14:paraId="30F757B5">
      <w:pPr>
        <w:pStyle w:val="3"/>
        <w:rPr>
          <w:rFonts w:hint="eastAsia" w:ascii="宋体" w:hAnsi="宋体" w:eastAsia="宋体" w:cs="宋体"/>
          <w:sz w:val="24"/>
          <w:szCs w:val="24"/>
        </w:rPr>
      </w:pPr>
      <w:r>
        <w:rPr>
          <w:rFonts w:hint="eastAsia" w:ascii="宋体" w:hAnsi="宋体" w:eastAsia="宋体" w:cs="宋体"/>
          <w:b/>
          <w:bCs/>
          <w:sz w:val="24"/>
          <w:szCs w:val="24"/>
        </w:rPr>
        <w:t>权重设定依据</w:t>
      </w:r>
      <w:r>
        <w:rPr>
          <w:rFonts w:hint="eastAsia" w:ascii="宋体" w:hAnsi="宋体" w:eastAsia="宋体" w:cs="宋体"/>
          <w:sz w:val="24"/>
          <w:szCs w:val="24"/>
        </w:rPr>
        <w:t>：</w:t>
      </w:r>
    </w:p>
    <w:p w14:paraId="7725A847">
      <w:pPr>
        <w:pStyle w:val="3"/>
        <w:rPr>
          <w:rFonts w:hint="eastAsia" w:ascii="宋体" w:hAnsi="宋体" w:eastAsia="宋体" w:cs="宋体"/>
          <w:sz w:val="24"/>
          <w:szCs w:val="24"/>
        </w:rPr>
      </w:pPr>
      <w:r>
        <w:rPr>
          <w:rFonts w:hint="eastAsia" w:ascii="宋体" w:hAnsi="宋体" w:eastAsia="宋体" w:cs="宋体"/>
          <w:sz w:val="24"/>
          <w:szCs w:val="24"/>
        </w:rPr>
        <w:t>动量因子权重</w:t>
      </w:r>
      <w:r>
        <w:rPr>
          <w:rFonts w:hint="eastAsia" w:ascii="宋体" w:hAnsi="宋体" w:eastAsia="宋体" w:cs="宋体"/>
          <w:sz w:val="24"/>
          <w:szCs w:val="24"/>
        </w:rPr>
        <w:t xml:space="preserve"> 0.4 </w:t>
      </w:r>
      <w:r>
        <w:rPr>
          <w:rFonts w:hint="eastAsia" w:ascii="宋体" w:hAnsi="宋体" w:eastAsia="宋体" w:cs="宋体"/>
          <w:sz w:val="24"/>
          <w:szCs w:val="24"/>
        </w:rPr>
        <w:t>高于质量和价值因子的</w:t>
      </w:r>
      <w:r>
        <w:rPr>
          <w:rFonts w:hint="eastAsia" w:ascii="宋体" w:hAnsi="宋体" w:eastAsia="宋体" w:cs="宋体"/>
          <w:sz w:val="24"/>
          <w:szCs w:val="24"/>
        </w:rPr>
        <w:t xml:space="preserve"> </w:t>
      </w:r>
      <w:r>
        <w:rPr>
          <w:rFonts w:hint="eastAsia" w:ascii="宋体" w:hAnsi="宋体" w:eastAsia="宋体" w:cs="宋体"/>
          <w:sz w:val="24"/>
          <w:szCs w:val="24"/>
        </w:rPr>
        <w:t>0.3，原因有三：（1）在A股市场，动量效应在3-6个月周期上具有较强的截面预测力</w:t>
      </w:r>
      <w:r>
        <w:rPr>
          <w:rFonts w:hint="eastAsia" w:ascii="宋体" w:hAnsi="宋体" w:eastAsia="宋体" w:cs="宋体"/>
          <w:sz w:val="24"/>
          <w:szCs w:val="24"/>
        </w:rPr>
        <w:t xml:space="preserve"> (Jegadeesh &amp; Titman, 1993; Asness, Moskowitz &amp; Pedersen, </w:t>
      </w:r>
      <w:r>
        <w:rPr>
          <w:rFonts w:hint="eastAsia" w:ascii="宋体" w:hAnsi="宋体" w:eastAsia="宋体" w:cs="宋体"/>
          <w:sz w:val="24"/>
          <w:szCs w:val="24"/>
        </w:rPr>
        <w:t>2013)，尤其对成长型行业（如半导体），赋予更高权重可放大选股</w:t>
      </w:r>
      <w:r>
        <w:rPr>
          <w:rFonts w:hint="eastAsia" w:ascii="宋体" w:hAnsi="宋体" w:eastAsia="宋体" w:cs="宋体"/>
          <w:sz w:val="24"/>
          <w:szCs w:val="24"/>
        </w:rPr>
        <w:t xml:space="preserve"> </w:t>
      </w:r>
      <w:r>
        <w:rPr>
          <w:rFonts w:hint="eastAsia" w:ascii="宋体" w:hAnsi="宋体" w:eastAsia="宋体" w:cs="宋体"/>
          <w:sz w:val="24"/>
          <w:szCs w:val="24"/>
        </w:rPr>
        <w:t>alpha；（2）ROE</w:t>
      </w:r>
      <w:r>
        <w:rPr>
          <w:rFonts w:hint="eastAsia" w:ascii="宋体" w:hAnsi="宋体" w:eastAsia="宋体" w:cs="宋体"/>
          <w:sz w:val="24"/>
          <w:szCs w:val="24"/>
        </w:rPr>
        <w:t xml:space="preserve"> </w:t>
      </w:r>
      <w:r>
        <w:rPr>
          <w:rFonts w:hint="eastAsia" w:ascii="宋体" w:hAnsi="宋体" w:eastAsia="宋体" w:cs="宋体"/>
          <w:sz w:val="24"/>
          <w:szCs w:val="24"/>
        </w:rPr>
        <w:t>和</w:t>
      </w:r>
      <w:r>
        <w:rPr>
          <w:rFonts w:hint="eastAsia" w:ascii="宋体" w:hAnsi="宋体" w:eastAsia="宋体" w:cs="宋体"/>
          <w:sz w:val="24"/>
          <w:szCs w:val="24"/>
        </w:rPr>
        <w:t xml:space="preserve"> PE </w:t>
      </w:r>
      <w:r>
        <w:rPr>
          <w:rFonts w:hint="eastAsia" w:ascii="宋体" w:hAnsi="宋体" w:eastAsia="宋体" w:cs="宋体"/>
          <w:sz w:val="24"/>
          <w:szCs w:val="24"/>
        </w:rPr>
        <w:t>属于基本面慢变量——ROE</w:t>
      </w:r>
      <w:r>
        <w:rPr>
          <w:rFonts w:hint="eastAsia" w:ascii="宋体" w:hAnsi="宋体" w:eastAsia="宋体" w:cs="宋体"/>
          <w:sz w:val="24"/>
          <w:szCs w:val="24"/>
        </w:rPr>
        <w:t xml:space="preserve"> </w:t>
      </w:r>
      <w:r>
        <w:rPr>
          <w:rFonts w:hint="eastAsia" w:ascii="宋体" w:hAnsi="宋体" w:eastAsia="宋体" w:cs="宋体"/>
          <w:sz w:val="24"/>
          <w:szCs w:val="24"/>
        </w:rPr>
        <w:t>按季报更新、PE</w:t>
      </w:r>
      <w:r>
        <w:rPr>
          <w:rFonts w:hint="eastAsia" w:ascii="宋体" w:hAnsi="宋体" w:eastAsia="宋体" w:cs="宋体"/>
          <w:sz w:val="24"/>
          <w:szCs w:val="24"/>
        </w:rPr>
        <w:t xml:space="preserve"> </w:t>
      </w:r>
      <w:r>
        <w:rPr>
          <w:rFonts w:hint="eastAsia" w:ascii="宋体" w:hAnsi="宋体" w:eastAsia="宋体" w:cs="宋体"/>
          <w:sz w:val="24"/>
          <w:szCs w:val="24"/>
        </w:rPr>
        <w:t>随价格每日变动但分子</w:t>
      </w:r>
      <w:r>
        <w:rPr>
          <w:rFonts w:hint="eastAsia" w:ascii="宋体" w:hAnsi="宋体" w:eastAsia="宋体" w:cs="宋体"/>
          <w:sz w:val="24"/>
          <w:szCs w:val="24"/>
        </w:rPr>
        <w:t xml:space="preserve"> EPS </w:t>
      </w:r>
      <w:r>
        <w:rPr>
          <w:rFonts w:hint="eastAsia" w:ascii="宋体" w:hAnsi="宋体" w:eastAsia="宋体" w:cs="宋体"/>
          <w:sz w:val="24"/>
          <w:szCs w:val="24"/>
        </w:rPr>
        <w:t>同样滞后，两者对月度调仓的边际区分度低于动量</w:t>
      </w:r>
      <w:r>
        <w:rPr>
          <w:rFonts w:hint="eastAsia" w:ascii="宋体" w:hAnsi="宋体" w:eastAsia="宋体" w:cs="宋体"/>
          <w:sz w:val="24"/>
          <w:szCs w:val="24"/>
        </w:rPr>
        <w:t xml:space="preserve"> (Novy-Marx, 2013; Lakonishok, Shleifer &amp; Vishny, </w:t>
      </w:r>
      <w:r>
        <w:rPr>
          <w:rFonts w:hint="eastAsia" w:ascii="宋体" w:hAnsi="宋体" w:eastAsia="宋体" w:cs="宋体"/>
          <w:sz w:val="24"/>
          <w:szCs w:val="24"/>
        </w:rPr>
        <w:t>1994)；（3）质量与价值各占0.3、权重相等，体现二者作为”筛选锚”而非”排序引擎”的定位——它们确保选出的股票在盈利和估值上不过度偏离，但排序主要由动量驱动。这一</w:t>
      </w:r>
      <w:r>
        <w:rPr>
          <w:rFonts w:hint="eastAsia" w:ascii="宋体" w:hAnsi="宋体" w:eastAsia="宋体" w:cs="宋体"/>
          <w:sz w:val="24"/>
          <w:szCs w:val="24"/>
        </w:rPr>
        <w:t xml:space="preserve"> 4:3:3 </w:t>
      </w:r>
      <w:r>
        <w:rPr>
          <w:rFonts w:hint="eastAsia" w:ascii="宋体" w:hAnsi="宋体" w:eastAsia="宋体" w:cs="宋体"/>
          <w:sz w:val="24"/>
          <w:szCs w:val="24"/>
        </w:rPr>
        <w:t>的配比在回测中取得了210.8%的总收益，验证了动量主导、基本面辅助的配置逻辑。</w:t>
      </w:r>
    </w:p>
    <w:bookmarkEnd w:id="16"/>
    <w:p w14:paraId="59EAB573">
      <w:pPr>
        <w:pStyle w:val="5"/>
        <w:jc w:val="center"/>
        <w:rPr>
          <w:rFonts w:hint="eastAsia" w:ascii="宋体" w:hAnsi="宋体" w:eastAsia="宋体" w:cs="宋体"/>
          <w:sz w:val="24"/>
          <w:szCs w:val="24"/>
        </w:rPr>
      </w:pPr>
      <w:bookmarkStart w:id="17" w:name="选股流程"/>
      <w:r>
        <w:rPr>
          <w:rFonts w:hint="eastAsia" w:ascii="宋体" w:hAnsi="宋体" w:eastAsia="宋体" w:cs="宋体"/>
          <w:sz w:val="24"/>
          <w:szCs w:val="24"/>
        </w:rPr>
        <w:t>选股流程</w:t>
      </w:r>
    </w:p>
    <w:bookmarkEnd w:id="17"/>
    <w:p w14:paraId="0EF310A6">
      <w:pPr>
        <w:pStyle w:val="5"/>
        <w:jc w:val="center"/>
        <w:rPr>
          <w:rFonts w:hint="eastAsia" w:ascii="宋体" w:hAnsi="宋体" w:eastAsia="宋体" w:cs="宋体"/>
        </w:rPr>
      </w:pPr>
      <w:bookmarkStart w:id="18" w:name="风控规则"/>
      <w:r>
        <w:rPr>
          <w:rFonts w:hint="eastAsia" w:ascii="宋体" w:hAnsi="宋体" w:eastAsia="宋体" w:cs="宋体"/>
        </w:rPr>
        <w:drawing>
          <wp:inline distT="0" distB="0" distL="114300" distR="114300">
            <wp:extent cx="2835275" cy="7603490"/>
            <wp:effectExtent l="0" t="0" r="9525" b="1651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5"/>
                    <a:stretch>
                      <a:fillRect/>
                    </a:stretch>
                  </pic:blipFill>
                  <pic:spPr>
                    <a:xfrm>
                      <a:off x="0" y="0"/>
                      <a:ext cx="2835275" cy="7603490"/>
                    </a:xfrm>
                    <a:prstGeom prst="rect">
                      <a:avLst/>
                    </a:prstGeom>
                    <a:noFill/>
                    <a:ln>
                      <a:noFill/>
                    </a:ln>
                  </pic:spPr>
                </pic:pic>
              </a:graphicData>
            </a:graphic>
          </wp:inline>
        </w:drawing>
      </w:r>
    </w:p>
    <w:p w14:paraId="33C517A0">
      <w:pPr>
        <w:pStyle w:val="5"/>
        <w:jc w:val="both"/>
        <w:rPr>
          <w:rFonts w:hint="eastAsia" w:ascii="宋体" w:hAnsi="宋体" w:eastAsia="宋体" w:cs="宋体"/>
          <w:sz w:val="24"/>
          <w:szCs w:val="24"/>
        </w:rPr>
      </w:pPr>
      <w:r>
        <w:rPr>
          <w:rFonts w:hint="eastAsia" w:ascii="宋体" w:hAnsi="宋体" w:eastAsia="宋体" w:cs="宋体"/>
          <w:sz w:val="24"/>
          <w:szCs w:val="24"/>
        </w:rPr>
        <w:t>风控规则</w:t>
      </w:r>
    </w:p>
    <w:p w14:paraId="4A9CEFB9">
      <w:pPr>
        <w:pStyle w:val="23"/>
        <w:rPr>
          <w:rFonts w:hint="eastAsia" w:ascii="宋体" w:hAnsi="宋体" w:eastAsia="宋体" w:cs="宋体"/>
          <w:sz w:val="24"/>
          <w:szCs w:val="24"/>
        </w:rPr>
      </w:pPr>
      <w:r>
        <w:rPr>
          <w:rFonts w:hint="eastAsia" w:ascii="宋体" w:hAnsi="宋体" w:eastAsia="宋体" w:cs="宋体"/>
          <w:sz w:val="24"/>
          <w:szCs w:val="24"/>
        </w:rPr>
        <w:t>15%回撤控制：每日监控组合净值，若相对历史峰值的回撤超过15%，则全部转为现金（收益率为0），直至下一个调仓日重新按规则建仓。</w:t>
      </w:r>
    </w:p>
    <w:bookmarkEnd w:id="15"/>
    <w:bookmarkEnd w:id="18"/>
    <w:p w14:paraId="42D05F69">
      <w:pPr>
        <w:pStyle w:val="4"/>
        <w:rPr>
          <w:rFonts w:hint="eastAsia" w:ascii="宋体" w:hAnsi="宋体" w:eastAsia="宋体" w:cs="宋体"/>
          <w:sz w:val="24"/>
          <w:szCs w:val="24"/>
        </w:rPr>
      </w:pPr>
      <w:bookmarkStart w:id="19" w:name="可复现步骤"/>
      <w:r>
        <w:rPr>
          <w:rFonts w:hint="eastAsia" w:ascii="宋体" w:hAnsi="宋体" w:eastAsia="宋体" w:cs="宋体"/>
          <w:sz w:val="24"/>
          <w:szCs w:val="24"/>
        </w:rPr>
        <w:t xml:space="preserve">3.2 </w:t>
      </w:r>
      <w:r>
        <w:rPr>
          <w:rFonts w:hint="eastAsia" w:ascii="宋体" w:hAnsi="宋体" w:eastAsia="宋体" w:cs="宋体"/>
          <w:sz w:val="24"/>
          <w:szCs w:val="24"/>
        </w:rPr>
        <w:t>可复现步骤</w:t>
      </w:r>
    </w:p>
    <w:p w14:paraId="18240774">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读取数据</w:t>
      </w:r>
      <w:r>
        <w:rPr>
          <w:rFonts w:hint="eastAsia" w:ascii="宋体" w:hAnsi="宋体" w:eastAsia="宋体" w:cs="宋体"/>
          <w:sz w:val="24"/>
          <w:szCs w:val="24"/>
        </w:rPr>
        <w:t>：从本地</w:t>
      </w:r>
      <w:r>
        <w:rPr>
          <w:rFonts w:hint="eastAsia" w:ascii="宋体" w:hAnsi="宋体" w:eastAsia="宋体" w:cs="宋体"/>
          <w:sz w:val="24"/>
          <w:szCs w:val="24"/>
        </w:rPr>
        <w:t xml:space="preserve"> CSV </w:t>
      </w:r>
      <w:r>
        <w:rPr>
          <w:rFonts w:hint="eastAsia" w:ascii="宋体" w:hAnsi="宋体" w:eastAsia="宋体" w:cs="宋体"/>
          <w:sz w:val="24"/>
          <w:szCs w:val="24"/>
        </w:rPr>
        <w:t>加载17只A股日线数据，通过</w:t>
      </w:r>
      <w:r>
        <w:rPr>
          <w:rFonts w:hint="eastAsia" w:ascii="宋体" w:hAnsi="宋体" w:eastAsia="宋体" w:cs="宋体"/>
          <w:sz w:val="24"/>
          <w:szCs w:val="24"/>
        </w:rPr>
        <w:t xml:space="preserve"> AKShare </w:t>
      </w:r>
      <w:r>
        <w:rPr>
          <w:rFonts w:hint="eastAsia" w:ascii="宋体" w:hAnsi="宋体" w:eastAsia="宋体" w:cs="宋体"/>
          <w:sz w:val="24"/>
          <w:szCs w:val="24"/>
        </w:rPr>
        <w:t>在线获取2只港股日线和1只ETF日线（含手动前复权），合并为统一格式；在线获取全部20只股票的</w:t>
      </w:r>
      <w:r>
        <w:rPr>
          <w:rFonts w:hint="eastAsia" w:ascii="宋体" w:hAnsi="宋体" w:eastAsia="宋体" w:cs="宋体"/>
          <w:sz w:val="24"/>
          <w:szCs w:val="24"/>
        </w:rPr>
        <w:t xml:space="preserve"> PE </w:t>
      </w:r>
      <w:r>
        <w:rPr>
          <w:rFonts w:hint="eastAsia" w:ascii="宋体" w:hAnsi="宋体" w:eastAsia="宋体" w:cs="宋体"/>
          <w:sz w:val="24"/>
          <w:szCs w:val="24"/>
        </w:rPr>
        <w:t>和</w:t>
      </w:r>
      <w:r>
        <w:rPr>
          <w:rFonts w:hint="eastAsia" w:ascii="宋体" w:hAnsi="宋体" w:eastAsia="宋体" w:cs="宋体"/>
          <w:sz w:val="24"/>
          <w:szCs w:val="24"/>
        </w:rPr>
        <w:t xml:space="preserve"> ROE。</w:t>
      </w:r>
    </w:p>
    <w:p w14:paraId="338ED4C8">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清洗与对齐</w:t>
      </w:r>
      <w:r>
        <w:rPr>
          <w:rFonts w:hint="eastAsia" w:ascii="宋体" w:hAnsi="宋体" w:eastAsia="宋体" w:cs="宋体"/>
          <w:sz w:val="24"/>
          <w:szCs w:val="24"/>
        </w:rPr>
        <w:t>：按交易日对齐，处理港股/ETF缺失字段，通过</w:t>
      </w:r>
      <w:r>
        <w:rPr>
          <w:rFonts w:hint="eastAsia" w:ascii="宋体" w:hAnsi="宋体" w:eastAsia="宋体" w:cs="宋体"/>
          <w:sz w:val="24"/>
          <w:szCs w:val="24"/>
        </w:rPr>
        <w:t xml:space="preserve"> </w:t>
      </w:r>
      <w:r>
        <w:rPr>
          <w:rStyle w:val="48"/>
          <w:rFonts w:hint="eastAsia" w:ascii="宋体" w:hAnsi="宋体" w:eastAsia="宋体" w:cs="宋体"/>
          <w:sz w:val="24"/>
          <w:szCs w:val="24"/>
        </w:rPr>
        <w:t>last_common_date()</w:t>
      </w:r>
      <w:r>
        <w:rPr>
          <w:rFonts w:hint="eastAsia" w:ascii="宋体" w:hAnsi="宋体" w:eastAsia="宋体" w:cs="宋体"/>
          <w:sz w:val="24"/>
          <w:szCs w:val="24"/>
        </w:rPr>
        <w:t xml:space="preserve"> </w:t>
      </w:r>
      <w:r>
        <w:rPr>
          <w:rFonts w:hint="eastAsia" w:ascii="宋体" w:hAnsi="宋体" w:eastAsia="宋体" w:cs="宋体"/>
          <w:sz w:val="24"/>
          <w:szCs w:val="24"/>
        </w:rPr>
        <w:t>取每月共有交易日，计算每日个股前复权收益率。</w:t>
      </w:r>
    </w:p>
    <w:p w14:paraId="1CFA89A9">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因子计算与选股</w:t>
      </w:r>
      <w:r>
        <w:rPr>
          <w:rFonts w:hint="eastAsia" w:ascii="宋体" w:hAnsi="宋体" w:eastAsia="宋体" w:cs="宋体"/>
          <w:sz w:val="24"/>
          <w:szCs w:val="24"/>
        </w:rPr>
        <w:t>：计算60日动量和120日均线，均线过滤后对</w:t>
      </w:r>
      <w:r>
        <w:rPr>
          <w:rFonts w:hint="eastAsia" w:ascii="宋体" w:hAnsi="宋体" w:eastAsia="宋体" w:cs="宋体"/>
          <w:sz w:val="24"/>
          <w:szCs w:val="24"/>
        </w:rPr>
        <w:t xml:space="preserve"> </w:t>
      </w:r>
      <w:r>
        <w:rPr>
          <w:rFonts w:hint="eastAsia" w:ascii="宋体" w:hAnsi="宋体" w:eastAsia="宋体" w:cs="宋体"/>
          <w:sz w:val="24"/>
          <w:szCs w:val="24"/>
        </w:rPr>
        <w:t>PE/ROE/动量做</w:t>
      </w:r>
      <w:r>
        <w:rPr>
          <w:rFonts w:hint="eastAsia" w:ascii="宋体" w:hAnsi="宋体" w:eastAsia="宋体" w:cs="宋体"/>
          <w:sz w:val="24"/>
          <w:szCs w:val="24"/>
        </w:rPr>
        <w:t xml:space="preserve"> Z-score </w:t>
      </w:r>
      <w:r>
        <w:rPr>
          <w:rFonts w:hint="eastAsia" w:ascii="宋体" w:hAnsi="宋体" w:eastAsia="宋体" w:cs="宋体"/>
          <w:sz w:val="24"/>
          <w:szCs w:val="24"/>
        </w:rPr>
        <w:t>截面标准化，按</w:t>
      </w:r>
      <w:r>
        <w:rPr>
          <w:rFonts w:hint="eastAsia" w:ascii="宋体" w:hAnsi="宋体" w:eastAsia="宋体" w:cs="宋体"/>
          <w:sz w:val="24"/>
          <w:szCs w:val="24"/>
        </w:rPr>
        <w:t xml:space="preserve"> </w:t>
      </w:r>
      <w:r>
        <w:rPr>
          <w:rStyle w:val="48"/>
          <w:rFonts w:hint="eastAsia" w:ascii="宋体" w:hAnsi="宋体" w:eastAsia="宋体" w:cs="宋体"/>
          <w:sz w:val="24"/>
          <w:szCs w:val="24"/>
        </w:rPr>
        <w:t>0.4×动量</w:t>
      </w:r>
      <w:r>
        <w:rPr>
          <w:rStyle w:val="48"/>
          <w:rFonts w:hint="eastAsia" w:ascii="宋体" w:hAnsi="宋体" w:eastAsia="宋体" w:cs="宋体"/>
          <w:sz w:val="24"/>
          <w:szCs w:val="24"/>
        </w:rPr>
        <w:t xml:space="preserve"> + 0.3×ROE + 0.3×(-PE)</w:t>
      </w:r>
      <w:r>
        <w:rPr>
          <w:rFonts w:hint="eastAsia" w:ascii="宋体" w:hAnsi="宋体" w:eastAsia="宋体" w:cs="宋体"/>
          <w:sz w:val="24"/>
          <w:szCs w:val="24"/>
        </w:rPr>
        <w:t xml:space="preserve"> </w:t>
      </w:r>
      <w:r>
        <w:rPr>
          <w:rFonts w:hint="eastAsia" w:ascii="宋体" w:hAnsi="宋体" w:eastAsia="宋体" w:cs="宋体"/>
          <w:sz w:val="24"/>
          <w:szCs w:val="24"/>
        </w:rPr>
        <w:t>综合评分排序，选前5只等权建仓。</w:t>
      </w:r>
    </w:p>
    <w:p w14:paraId="6AC02B94">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构建组合净值</w:t>
      </w:r>
      <w:r>
        <w:rPr>
          <w:rFonts w:hint="eastAsia" w:ascii="宋体" w:hAnsi="宋体" w:eastAsia="宋体" w:cs="宋体"/>
          <w:sz w:val="24"/>
          <w:szCs w:val="24"/>
        </w:rPr>
        <w:t>：每日按持仓个股收益率加权更新组合净值，若回撤超过15%则全部转现金直至下月调仓日。</w:t>
      </w:r>
    </w:p>
    <w:p w14:paraId="3EA6CEFB">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计算风险指标</w:t>
      </w:r>
      <w:r>
        <w:rPr>
          <w:rFonts w:hint="eastAsia" w:ascii="宋体" w:hAnsi="宋体" w:eastAsia="宋体" w:cs="宋体"/>
          <w:sz w:val="24"/>
          <w:szCs w:val="24"/>
        </w:rPr>
        <w:t>：年化收益率、年化波动率、最大回撤、夏普比率、卡玛比率等。</w:t>
      </w:r>
    </w:p>
    <w:p w14:paraId="19FAE0B1">
      <w:pPr>
        <w:pStyle w:val="24"/>
        <w:numPr>
          <w:ilvl w:val="0"/>
          <w:numId w:val="2"/>
        </w:numPr>
        <w:rPr>
          <w:rFonts w:hint="eastAsia" w:ascii="宋体" w:hAnsi="宋体" w:eastAsia="宋体" w:cs="宋体"/>
          <w:sz w:val="24"/>
          <w:szCs w:val="24"/>
        </w:rPr>
      </w:pPr>
      <w:r>
        <w:rPr>
          <w:rFonts w:hint="eastAsia" w:ascii="宋体" w:hAnsi="宋体" w:eastAsia="宋体" w:cs="宋体"/>
          <w:b/>
          <w:bCs/>
          <w:sz w:val="24"/>
          <w:szCs w:val="24"/>
        </w:rPr>
        <w:t>生成图表</w:t>
      </w:r>
      <w:r>
        <w:rPr>
          <w:rFonts w:hint="eastAsia" w:ascii="宋体" w:hAnsi="宋体" w:eastAsia="宋体" w:cs="宋体"/>
          <w:sz w:val="24"/>
          <w:szCs w:val="24"/>
        </w:rPr>
        <w:t>：净值曲线、回撤曲线、月度收益热力图，并输出绩效统计表。</w:t>
      </w:r>
    </w:p>
    <w:bookmarkEnd w:id="14"/>
    <w:bookmarkEnd w:id="19"/>
    <w:p w14:paraId="04431822">
      <w:pPr>
        <w:pStyle w:val="2"/>
        <w:rPr>
          <w:rFonts w:hint="eastAsia" w:ascii="宋体" w:hAnsi="宋体" w:eastAsia="宋体" w:cs="宋体"/>
          <w:sz w:val="24"/>
          <w:szCs w:val="24"/>
        </w:rPr>
      </w:pPr>
      <w:bookmarkStart w:id="20" w:name="第4章-核心结果10只股票组合"/>
      <w:r>
        <w:rPr>
          <w:rFonts w:hint="eastAsia" w:ascii="宋体" w:hAnsi="宋体" w:eastAsia="宋体" w:cs="宋体"/>
          <w:sz w:val="24"/>
          <w:szCs w:val="24"/>
        </w:rPr>
        <w:t>第4章</w:t>
      </w:r>
      <w:r>
        <w:rPr>
          <w:rFonts w:hint="eastAsia" w:ascii="宋体" w:hAnsi="宋体" w:eastAsia="宋体" w:cs="宋体"/>
          <w:sz w:val="24"/>
          <w:szCs w:val="24"/>
        </w:rPr>
        <w:t xml:space="preserve"> </w:t>
      </w:r>
      <w:r>
        <w:rPr>
          <w:rFonts w:hint="eastAsia" w:ascii="宋体" w:hAnsi="宋体" w:eastAsia="宋体" w:cs="宋体"/>
          <w:sz w:val="24"/>
          <w:szCs w:val="24"/>
        </w:rPr>
        <w:t>核心结果（10只股票组合）</w:t>
      </w:r>
    </w:p>
    <w:p w14:paraId="4CF14553">
      <w:pPr>
        <w:pStyle w:val="4"/>
        <w:rPr>
          <w:rFonts w:hint="eastAsia" w:ascii="宋体" w:hAnsi="宋体" w:eastAsia="宋体" w:cs="宋体"/>
          <w:sz w:val="24"/>
          <w:szCs w:val="24"/>
        </w:rPr>
      </w:pPr>
      <w:bookmarkStart w:id="21" w:name="执行摘要"/>
      <w:r>
        <w:rPr>
          <w:rFonts w:hint="eastAsia" w:ascii="宋体" w:hAnsi="宋体" w:eastAsia="宋体" w:cs="宋体"/>
          <w:sz w:val="24"/>
          <w:szCs w:val="24"/>
        </w:rPr>
        <w:t xml:space="preserve">4.1 </w:t>
      </w:r>
      <w:r>
        <w:rPr>
          <w:rFonts w:hint="eastAsia" w:ascii="宋体" w:hAnsi="宋体" w:eastAsia="宋体" w:cs="宋体"/>
          <w:sz w:val="24"/>
          <w:szCs w:val="24"/>
        </w:rPr>
        <w:t>执行摘要</w:t>
      </w:r>
    </w:p>
    <w:p w14:paraId="292D5611">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组合总收益率</w:t>
      </w:r>
      <w:r>
        <w:rPr>
          <w:rFonts w:hint="eastAsia" w:ascii="宋体" w:hAnsi="宋体" w:eastAsia="宋体" w:cs="宋体"/>
          <w:sz w:val="24"/>
          <w:szCs w:val="24"/>
        </w:rPr>
        <w:t>：</w:t>
      </w:r>
      <w:r>
        <w:rPr>
          <w:rFonts w:hint="eastAsia" w:ascii="宋体" w:hAnsi="宋体" w:eastAsia="宋体" w:cs="宋体"/>
          <w:b/>
          <w:bCs/>
          <w:sz w:val="24"/>
          <w:szCs w:val="24"/>
        </w:rPr>
        <w:t>+210.8%</w:t>
      </w:r>
      <w:r>
        <w:rPr>
          <w:rFonts w:hint="eastAsia" w:ascii="宋体" w:hAnsi="宋体" w:eastAsia="宋体" w:cs="宋体"/>
          <w:sz w:val="24"/>
          <w:szCs w:val="24"/>
        </w:rPr>
        <w:t>（年化约</w:t>
      </w:r>
      <w:r>
        <w:rPr>
          <w:rFonts w:hint="eastAsia" w:ascii="宋体" w:hAnsi="宋体" w:eastAsia="宋体" w:cs="宋体"/>
          <w:sz w:val="24"/>
          <w:szCs w:val="24"/>
        </w:rPr>
        <w:t xml:space="preserve"> </w:t>
      </w:r>
      <w:r>
        <w:rPr>
          <w:rFonts w:hint="eastAsia" w:ascii="宋体" w:hAnsi="宋体" w:eastAsia="宋体" w:cs="宋体"/>
          <w:sz w:val="24"/>
          <w:szCs w:val="24"/>
        </w:rPr>
        <w:t>123.2%）</w:t>
      </w:r>
    </w:p>
    <w:p w14:paraId="76D307B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超额收益（vs</w:t>
      </w:r>
      <w:r>
        <w:rPr>
          <w:rFonts w:hint="eastAsia" w:ascii="宋体" w:hAnsi="宋体" w:eastAsia="宋体" w:cs="宋体"/>
          <w:b/>
          <w:bCs/>
          <w:sz w:val="24"/>
          <w:szCs w:val="24"/>
        </w:rPr>
        <w:t xml:space="preserve"> </w:t>
      </w:r>
      <w:r>
        <w:rPr>
          <w:rFonts w:hint="eastAsia" w:ascii="宋体" w:hAnsi="宋体" w:eastAsia="宋体" w:cs="宋体"/>
          <w:b/>
          <w:bCs/>
          <w:sz w:val="24"/>
          <w:szCs w:val="24"/>
        </w:rPr>
        <w:t>沪深300）</w:t>
      </w:r>
      <w:r>
        <w:rPr>
          <w:rFonts w:hint="eastAsia" w:ascii="宋体" w:hAnsi="宋体" w:eastAsia="宋体" w:cs="宋体"/>
          <w:sz w:val="24"/>
          <w:szCs w:val="24"/>
        </w:rPr>
        <w:t>：</w:t>
      </w:r>
      <w:r>
        <w:rPr>
          <w:rFonts w:hint="eastAsia" w:ascii="宋体" w:hAnsi="宋体" w:eastAsia="宋体" w:cs="宋体"/>
          <w:b/>
          <w:bCs/>
          <w:sz w:val="24"/>
          <w:szCs w:val="24"/>
        </w:rPr>
        <w:t>+186.7%</w:t>
      </w:r>
    </w:p>
    <w:p w14:paraId="472275A8">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最大回撤</w:t>
      </w:r>
      <w:r>
        <w:rPr>
          <w:rFonts w:hint="eastAsia" w:ascii="宋体" w:hAnsi="宋体" w:eastAsia="宋体" w:cs="宋体"/>
          <w:sz w:val="24"/>
          <w:szCs w:val="24"/>
        </w:rPr>
        <w:t>：</w:t>
      </w:r>
      <w:r>
        <w:rPr>
          <w:rFonts w:hint="eastAsia" w:ascii="宋体" w:hAnsi="宋体" w:eastAsia="宋体" w:cs="宋体"/>
          <w:b/>
          <w:bCs/>
          <w:sz w:val="24"/>
          <w:szCs w:val="24"/>
        </w:rPr>
        <w:t>-14.7%</w:t>
      </w:r>
      <w:r>
        <w:rPr>
          <w:rFonts w:hint="eastAsia" w:ascii="宋体" w:hAnsi="宋体" w:eastAsia="宋体" w:cs="宋体"/>
          <w:sz w:val="24"/>
          <w:szCs w:val="24"/>
        </w:rPr>
        <w:t>（发生在</w:t>
      </w:r>
      <w:r>
        <w:rPr>
          <w:rFonts w:hint="eastAsia" w:ascii="宋体" w:hAnsi="宋体" w:eastAsia="宋体" w:cs="宋体"/>
          <w:sz w:val="24"/>
          <w:szCs w:val="24"/>
        </w:rPr>
        <w:t xml:space="preserve"> 2025-12 </w:t>
      </w:r>
      <w:r>
        <w:rPr>
          <w:rFonts w:hint="eastAsia" w:ascii="宋体" w:hAnsi="宋体" w:eastAsia="宋体" w:cs="宋体"/>
          <w:sz w:val="24"/>
          <w:szCs w:val="24"/>
        </w:rPr>
        <w:t>附近）</w:t>
      </w:r>
    </w:p>
    <w:p w14:paraId="5CE9E93D">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夏普比率</w:t>
      </w:r>
      <w:r>
        <w:rPr>
          <w:rFonts w:hint="eastAsia" w:ascii="宋体" w:hAnsi="宋体" w:eastAsia="宋体" w:cs="宋体"/>
          <w:sz w:val="24"/>
          <w:szCs w:val="24"/>
        </w:rPr>
        <w:t>：</w:t>
      </w:r>
      <w:r>
        <w:rPr>
          <w:rFonts w:hint="eastAsia" w:ascii="宋体" w:hAnsi="宋体" w:eastAsia="宋体" w:cs="宋体"/>
          <w:b/>
          <w:bCs/>
          <w:sz w:val="24"/>
          <w:szCs w:val="24"/>
        </w:rPr>
        <w:t>2.32</w:t>
      </w:r>
      <w:r>
        <w:rPr>
          <w:rFonts w:hint="eastAsia" w:ascii="宋体" w:hAnsi="宋体" w:eastAsia="宋体" w:cs="宋体"/>
          <w:sz w:val="24"/>
          <w:szCs w:val="24"/>
        </w:rPr>
        <w:t>（高于基准的</w:t>
      </w:r>
      <w:r>
        <w:rPr>
          <w:rFonts w:hint="eastAsia" w:ascii="宋体" w:hAnsi="宋体" w:eastAsia="宋体" w:cs="宋体"/>
          <w:sz w:val="24"/>
          <w:szCs w:val="24"/>
        </w:rPr>
        <w:t xml:space="preserve"> </w:t>
      </w:r>
      <w:r>
        <w:rPr>
          <w:rFonts w:hint="eastAsia" w:ascii="宋体" w:hAnsi="宋体" w:eastAsia="宋体" w:cs="宋体"/>
          <w:sz w:val="24"/>
          <w:szCs w:val="24"/>
        </w:rPr>
        <w:t>0.87）</w:t>
      </w:r>
    </w:p>
    <w:p w14:paraId="2F6BE456">
      <w:pPr>
        <w:pStyle w:val="23"/>
        <w:rPr>
          <w:rFonts w:hint="eastAsia" w:ascii="宋体" w:hAnsi="宋体" w:eastAsia="宋体" w:cs="宋体"/>
          <w:sz w:val="24"/>
          <w:szCs w:val="24"/>
        </w:rPr>
      </w:pPr>
      <w:r>
        <w:rPr>
          <w:rFonts w:hint="eastAsia" w:ascii="宋体" w:hAnsi="宋体" w:eastAsia="宋体" w:cs="宋体"/>
          <w:b/>
          <w:bCs/>
          <w:sz w:val="24"/>
          <w:szCs w:val="24"/>
        </w:rPr>
        <w:t>核心结论</w:t>
      </w:r>
      <w:r>
        <w:rPr>
          <w:rFonts w:hint="eastAsia" w:ascii="宋体" w:hAnsi="宋体" w:eastAsia="宋体" w:cs="宋体"/>
          <w:sz w:val="24"/>
          <w:szCs w:val="24"/>
        </w:rPr>
        <w:t>：VQM三因子策略在考察期内大幅跑赢沪深300，年化超额收益超100个百分点，且回撤控制在预设目标（15%）以内，收益风险比优秀。</w:t>
      </w:r>
    </w:p>
    <w:p w14:paraId="19E6866A">
      <w:pPr>
        <w:pStyle w:val="3"/>
        <w:rPr>
          <w:rFonts w:hint="eastAsia" w:ascii="宋体" w:hAnsi="宋体" w:eastAsia="宋体" w:cs="宋体"/>
          <w:sz w:val="24"/>
          <w:szCs w:val="24"/>
        </w:rPr>
      </w:pPr>
      <w:r>
        <w:rPr>
          <w:rFonts w:hint="eastAsia" w:ascii="宋体" w:hAnsi="宋体" w:eastAsia="宋体" w:cs="宋体"/>
          <w:b/>
          <w:bCs/>
          <w:sz w:val="24"/>
          <w:szCs w:val="24"/>
        </w:rPr>
        <w:t>成功标准检查</w:t>
      </w:r>
      <w:r>
        <w:rPr>
          <w:rFonts w:hint="eastAsia" w:ascii="宋体" w:hAnsi="宋体" w:eastAsia="宋体" w:cs="宋体"/>
          <w:sz w:val="24"/>
          <w:szCs w:val="24"/>
        </w:rPr>
        <w:t>：</w:t>
      </w:r>
    </w:p>
    <w:tbl>
      <w:tblPr>
        <w:tblStyle w:val="41"/>
        <w:tblW w:w="0" w:type="auto"/>
        <w:tblInd w:w="0" w:type="dxa"/>
        <w:tblLayout w:type="autofit"/>
        <w:tblCellMar>
          <w:top w:w="0" w:type="dxa"/>
          <w:left w:w="108" w:type="dxa"/>
          <w:bottom w:w="0" w:type="dxa"/>
          <w:right w:w="108" w:type="dxa"/>
        </w:tblCellMar>
      </w:tblPr>
      <w:tblGrid>
        <w:gridCol w:w="2496"/>
        <w:gridCol w:w="936"/>
        <w:gridCol w:w="1056"/>
        <w:gridCol w:w="998"/>
      </w:tblGrid>
      <w:tr w14:paraId="56597F41">
        <w:trPr>
          <w:tblHeader/>
        </w:trPr>
        <w:tc>
          <w:p w14:paraId="0B9CDC62">
            <w:pPr>
              <w:pStyle w:val="24"/>
              <w:jc w:val="left"/>
              <w:rPr>
                <w:rFonts w:hint="eastAsia" w:ascii="宋体" w:hAnsi="宋体" w:eastAsia="宋体" w:cs="宋体"/>
                <w:sz w:val="24"/>
                <w:szCs w:val="24"/>
              </w:rPr>
            </w:pPr>
            <w:r>
              <w:rPr>
                <w:rFonts w:hint="eastAsia" w:ascii="宋体" w:hAnsi="宋体" w:eastAsia="宋体" w:cs="宋体"/>
                <w:sz w:val="24"/>
                <w:szCs w:val="24"/>
              </w:rPr>
              <w:t>标准</w:t>
            </w:r>
          </w:p>
        </w:tc>
        <w:tc>
          <w:p w14:paraId="16C4726A">
            <w:pPr>
              <w:pStyle w:val="24"/>
              <w:jc w:val="left"/>
              <w:rPr>
                <w:rFonts w:hint="eastAsia" w:ascii="宋体" w:hAnsi="宋体" w:eastAsia="宋体" w:cs="宋体"/>
                <w:sz w:val="24"/>
                <w:szCs w:val="24"/>
              </w:rPr>
            </w:pPr>
            <w:r>
              <w:rPr>
                <w:rFonts w:hint="eastAsia" w:ascii="宋体" w:hAnsi="宋体" w:eastAsia="宋体" w:cs="宋体"/>
                <w:sz w:val="24"/>
                <w:szCs w:val="24"/>
              </w:rPr>
              <w:t>目标</w:t>
            </w:r>
          </w:p>
        </w:tc>
        <w:tc>
          <w:p w14:paraId="54648A8D">
            <w:pPr>
              <w:pStyle w:val="24"/>
              <w:jc w:val="left"/>
              <w:rPr>
                <w:rFonts w:hint="eastAsia" w:ascii="宋体" w:hAnsi="宋体" w:eastAsia="宋体" w:cs="宋体"/>
                <w:sz w:val="24"/>
                <w:szCs w:val="24"/>
              </w:rPr>
            </w:pPr>
            <w:r>
              <w:rPr>
                <w:rFonts w:hint="eastAsia" w:ascii="宋体" w:hAnsi="宋体" w:eastAsia="宋体" w:cs="宋体"/>
                <w:sz w:val="24"/>
                <w:szCs w:val="24"/>
              </w:rPr>
              <w:t>实际</w:t>
            </w:r>
          </w:p>
        </w:tc>
        <w:tc>
          <w:p w14:paraId="76A0176C">
            <w:pPr>
              <w:pStyle w:val="24"/>
              <w:jc w:val="center"/>
              <w:rPr>
                <w:rFonts w:hint="eastAsia" w:ascii="宋体" w:hAnsi="宋体" w:eastAsia="宋体" w:cs="宋体"/>
                <w:sz w:val="24"/>
                <w:szCs w:val="24"/>
              </w:rPr>
            </w:pPr>
            <w:r>
              <w:rPr>
                <w:rFonts w:hint="eastAsia" w:ascii="宋体" w:hAnsi="宋体" w:eastAsia="宋体" w:cs="宋体"/>
                <w:sz w:val="24"/>
                <w:szCs w:val="24"/>
              </w:rPr>
              <w:t>结果</w:t>
            </w:r>
          </w:p>
        </w:tc>
      </w:tr>
      <w:tr w14:paraId="2C5C08F3">
        <w:tc>
          <w:p w14:paraId="5534A85B">
            <w:pPr>
              <w:pStyle w:val="24"/>
              <w:jc w:val="left"/>
              <w:rPr>
                <w:rFonts w:hint="eastAsia" w:ascii="宋体" w:hAnsi="宋体" w:eastAsia="宋体" w:cs="宋体"/>
                <w:sz w:val="24"/>
                <w:szCs w:val="24"/>
              </w:rPr>
            </w:pPr>
            <w:r>
              <w:rPr>
                <w:rFonts w:hint="eastAsia" w:ascii="宋体" w:hAnsi="宋体" w:eastAsia="宋体" w:cs="宋体"/>
                <w:sz w:val="24"/>
                <w:szCs w:val="24"/>
              </w:rPr>
              <w:t>区间累计收益率</w:t>
            </w:r>
            <w:r>
              <w:rPr>
                <w:rFonts w:hint="eastAsia" w:ascii="宋体" w:hAnsi="宋体" w:eastAsia="宋体" w:cs="宋体"/>
                <w:sz w:val="24"/>
                <w:szCs w:val="24"/>
              </w:rPr>
              <w:t xml:space="preserve"> ≥ 0</w:t>
            </w:r>
          </w:p>
        </w:tc>
        <w:tc>
          <w:p w14:paraId="408CCA04">
            <w:pPr>
              <w:pStyle w:val="24"/>
              <w:jc w:val="left"/>
              <w:rPr>
                <w:rFonts w:hint="eastAsia" w:ascii="宋体" w:hAnsi="宋体" w:eastAsia="宋体" w:cs="宋体"/>
                <w:sz w:val="24"/>
                <w:szCs w:val="24"/>
              </w:rPr>
            </w:pPr>
            <w:r>
              <w:rPr>
                <w:rFonts w:hint="eastAsia" w:ascii="宋体" w:hAnsi="宋体" w:eastAsia="宋体" w:cs="宋体"/>
                <w:sz w:val="24"/>
                <w:szCs w:val="24"/>
              </w:rPr>
              <w:t>≥ 0%</w:t>
            </w:r>
          </w:p>
        </w:tc>
        <w:tc>
          <w:p w14:paraId="44D27563">
            <w:pPr>
              <w:pStyle w:val="24"/>
              <w:jc w:val="left"/>
              <w:rPr>
                <w:rFonts w:hint="eastAsia" w:ascii="宋体" w:hAnsi="宋体" w:eastAsia="宋体" w:cs="宋体"/>
                <w:sz w:val="24"/>
                <w:szCs w:val="24"/>
              </w:rPr>
            </w:pPr>
            <w:r>
              <w:rPr>
                <w:rFonts w:hint="eastAsia" w:ascii="宋体" w:hAnsi="宋体" w:eastAsia="宋体" w:cs="宋体"/>
                <w:sz w:val="24"/>
                <w:szCs w:val="24"/>
              </w:rPr>
              <w:t>210.8%</w:t>
            </w:r>
          </w:p>
        </w:tc>
        <w:tc>
          <w:p w14:paraId="2C9800A4">
            <w:pPr>
              <w:pStyle w:val="24"/>
              <w:jc w:val="cente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通过</w:t>
            </w:r>
          </w:p>
        </w:tc>
      </w:tr>
      <w:tr w14:paraId="0937CF3B">
        <w:tc>
          <w:p w14:paraId="6DA67C13">
            <w:pPr>
              <w:pStyle w:val="24"/>
              <w:jc w:val="left"/>
              <w:rPr>
                <w:rFonts w:hint="eastAsia" w:ascii="宋体" w:hAnsi="宋体" w:eastAsia="宋体" w:cs="宋体"/>
                <w:sz w:val="24"/>
                <w:szCs w:val="24"/>
              </w:rPr>
            </w:pPr>
            <w:r>
              <w:rPr>
                <w:rFonts w:hint="eastAsia" w:ascii="宋体" w:hAnsi="宋体" w:eastAsia="宋体" w:cs="宋体"/>
                <w:sz w:val="24"/>
                <w:szCs w:val="24"/>
              </w:rPr>
              <w:t>超额收益率</w:t>
            </w:r>
            <w:r>
              <w:rPr>
                <w:rFonts w:hint="eastAsia" w:ascii="宋体" w:hAnsi="宋体" w:eastAsia="宋体" w:cs="宋体"/>
                <w:sz w:val="24"/>
                <w:szCs w:val="24"/>
              </w:rPr>
              <w:t xml:space="preserve"> ≥ 0</w:t>
            </w:r>
          </w:p>
        </w:tc>
        <w:tc>
          <w:p w14:paraId="2F6828A4">
            <w:pPr>
              <w:pStyle w:val="24"/>
              <w:jc w:val="left"/>
              <w:rPr>
                <w:rFonts w:hint="eastAsia" w:ascii="宋体" w:hAnsi="宋体" w:eastAsia="宋体" w:cs="宋体"/>
                <w:sz w:val="24"/>
                <w:szCs w:val="24"/>
              </w:rPr>
            </w:pPr>
            <w:r>
              <w:rPr>
                <w:rFonts w:hint="eastAsia" w:ascii="宋体" w:hAnsi="宋体" w:eastAsia="宋体" w:cs="宋体"/>
                <w:sz w:val="24"/>
                <w:szCs w:val="24"/>
              </w:rPr>
              <w:t>≥ 0%</w:t>
            </w:r>
          </w:p>
        </w:tc>
        <w:tc>
          <w:p w14:paraId="0501EB60">
            <w:pPr>
              <w:pStyle w:val="24"/>
              <w:jc w:val="left"/>
              <w:rPr>
                <w:rFonts w:hint="eastAsia" w:ascii="宋体" w:hAnsi="宋体" w:eastAsia="宋体" w:cs="宋体"/>
                <w:sz w:val="24"/>
                <w:szCs w:val="24"/>
              </w:rPr>
            </w:pPr>
            <w:r>
              <w:rPr>
                <w:rFonts w:hint="eastAsia" w:ascii="宋体" w:hAnsi="宋体" w:eastAsia="宋体" w:cs="宋体"/>
                <w:sz w:val="24"/>
                <w:szCs w:val="24"/>
              </w:rPr>
              <w:t>+186.7%</w:t>
            </w:r>
          </w:p>
        </w:tc>
        <w:tc>
          <w:p w14:paraId="1D070C70">
            <w:pPr>
              <w:pStyle w:val="24"/>
              <w:jc w:val="cente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通过</w:t>
            </w:r>
          </w:p>
        </w:tc>
      </w:tr>
      <w:tr w14:paraId="75904D22">
        <w:tc>
          <w:p w14:paraId="274D1E58">
            <w:pPr>
              <w:pStyle w:val="24"/>
              <w:jc w:val="left"/>
              <w:rPr>
                <w:rFonts w:hint="eastAsia" w:ascii="宋体" w:hAnsi="宋体" w:eastAsia="宋体" w:cs="宋体"/>
                <w:sz w:val="24"/>
                <w:szCs w:val="24"/>
              </w:rPr>
            </w:pPr>
            <w:r>
              <w:rPr>
                <w:rFonts w:hint="eastAsia" w:ascii="宋体" w:hAnsi="宋体" w:eastAsia="宋体" w:cs="宋体"/>
                <w:sz w:val="24"/>
                <w:szCs w:val="24"/>
              </w:rPr>
              <w:t>最大回撤</w:t>
            </w:r>
            <w:r>
              <w:rPr>
                <w:rFonts w:hint="eastAsia" w:ascii="宋体" w:hAnsi="宋体" w:eastAsia="宋体" w:cs="宋体"/>
                <w:sz w:val="24"/>
                <w:szCs w:val="24"/>
              </w:rPr>
              <w:t xml:space="preserve"> ≤ 15%</w:t>
            </w:r>
          </w:p>
        </w:tc>
        <w:tc>
          <w:p w14:paraId="52423B6B">
            <w:pPr>
              <w:pStyle w:val="24"/>
              <w:jc w:val="left"/>
              <w:rPr>
                <w:rFonts w:hint="eastAsia" w:ascii="宋体" w:hAnsi="宋体" w:eastAsia="宋体" w:cs="宋体"/>
                <w:sz w:val="24"/>
                <w:szCs w:val="24"/>
              </w:rPr>
            </w:pPr>
            <w:r>
              <w:rPr>
                <w:rFonts w:hint="eastAsia" w:ascii="宋体" w:hAnsi="宋体" w:eastAsia="宋体" w:cs="宋体"/>
                <w:sz w:val="24"/>
                <w:szCs w:val="24"/>
              </w:rPr>
              <w:t>≤ 15%</w:t>
            </w:r>
          </w:p>
        </w:tc>
        <w:tc>
          <w:p w14:paraId="1C32564B">
            <w:pPr>
              <w:pStyle w:val="24"/>
              <w:jc w:val="left"/>
              <w:rPr>
                <w:rFonts w:hint="eastAsia" w:ascii="宋体" w:hAnsi="宋体" w:eastAsia="宋体" w:cs="宋体"/>
                <w:sz w:val="24"/>
                <w:szCs w:val="24"/>
              </w:rPr>
            </w:pPr>
            <w:r>
              <w:rPr>
                <w:rFonts w:hint="eastAsia" w:ascii="宋体" w:hAnsi="宋体" w:eastAsia="宋体" w:cs="宋体"/>
                <w:sz w:val="24"/>
                <w:szCs w:val="24"/>
              </w:rPr>
              <w:t>-14.7%</w:t>
            </w:r>
          </w:p>
        </w:tc>
        <w:tc>
          <w:p w14:paraId="3866CCAE">
            <w:pPr>
              <w:pStyle w:val="24"/>
              <w:jc w:val="cente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通过</w:t>
            </w:r>
          </w:p>
        </w:tc>
      </w:tr>
    </w:tbl>
    <w:p w14:paraId="355DFFF1">
      <w:pPr>
        <w:pStyle w:val="3"/>
        <w:rPr>
          <w:rFonts w:hint="eastAsia" w:ascii="宋体" w:hAnsi="宋体" w:eastAsia="宋体" w:cs="宋体"/>
          <w:sz w:val="24"/>
          <w:szCs w:val="24"/>
        </w:rPr>
      </w:pPr>
      <w:r>
        <w:rPr>
          <w:rFonts w:hint="eastAsia" w:ascii="宋体" w:hAnsi="宋体" w:eastAsia="宋体" w:cs="宋体"/>
          <w:sz w:val="24"/>
          <w:szCs w:val="24"/>
        </w:rPr>
        <w:t>三项成功标准全部通过。</w:t>
      </w:r>
    </w:p>
    <w:bookmarkEnd w:id="21"/>
    <w:p w14:paraId="56B35446">
      <w:pPr>
        <w:pStyle w:val="4"/>
        <w:rPr>
          <w:rFonts w:hint="eastAsia" w:ascii="宋体" w:hAnsi="宋体" w:eastAsia="宋体" w:cs="宋体"/>
          <w:sz w:val="24"/>
          <w:szCs w:val="24"/>
        </w:rPr>
      </w:pPr>
      <w:bookmarkStart w:id="22" w:name="绩效总表"/>
      <w:r>
        <w:rPr>
          <w:rFonts w:hint="eastAsia" w:ascii="宋体" w:hAnsi="宋体" w:eastAsia="宋体" w:cs="宋体"/>
          <w:sz w:val="24"/>
          <w:szCs w:val="24"/>
        </w:rPr>
        <w:t xml:space="preserve">4.2 </w:t>
      </w:r>
      <w:r>
        <w:rPr>
          <w:rFonts w:hint="eastAsia" w:ascii="宋体" w:hAnsi="宋体" w:eastAsia="宋体" w:cs="宋体"/>
          <w:sz w:val="24"/>
          <w:szCs w:val="24"/>
        </w:rPr>
        <w:t>绩效总表</w:t>
      </w:r>
    </w:p>
    <w:tbl>
      <w:tblPr>
        <w:tblStyle w:val="41"/>
        <w:tblW w:w="0" w:type="auto"/>
        <w:tblInd w:w="0" w:type="dxa"/>
        <w:tblLayout w:type="autofit"/>
        <w:tblCellMar>
          <w:top w:w="0" w:type="dxa"/>
          <w:left w:w="108" w:type="dxa"/>
          <w:bottom w:w="0" w:type="dxa"/>
          <w:right w:w="108" w:type="dxa"/>
        </w:tblCellMar>
      </w:tblPr>
      <w:tblGrid>
        <w:gridCol w:w="1416"/>
        <w:gridCol w:w="1116"/>
        <w:gridCol w:w="1116"/>
        <w:gridCol w:w="1056"/>
      </w:tblGrid>
      <w:tr w14:paraId="390943E3">
        <w:trPr>
          <w:tblHeader/>
        </w:trPr>
        <w:tc>
          <w:p w14:paraId="10FB55B0">
            <w:pPr>
              <w:pStyle w:val="24"/>
              <w:jc w:val="left"/>
              <w:rPr>
                <w:rFonts w:hint="eastAsia" w:ascii="宋体" w:hAnsi="宋体" w:eastAsia="宋体" w:cs="宋体"/>
                <w:sz w:val="24"/>
                <w:szCs w:val="24"/>
              </w:rPr>
            </w:pPr>
            <w:r>
              <w:rPr>
                <w:rFonts w:hint="eastAsia" w:ascii="宋体" w:hAnsi="宋体" w:eastAsia="宋体" w:cs="宋体"/>
                <w:sz w:val="24"/>
                <w:szCs w:val="24"/>
              </w:rPr>
              <w:t>指标</w:t>
            </w:r>
          </w:p>
        </w:tc>
        <w:tc>
          <w:p w14:paraId="07D318D8">
            <w:pPr>
              <w:pStyle w:val="24"/>
              <w:jc w:val="right"/>
              <w:rPr>
                <w:rFonts w:hint="eastAsia" w:ascii="宋体" w:hAnsi="宋体" w:eastAsia="宋体" w:cs="宋体"/>
                <w:sz w:val="24"/>
                <w:szCs w:val="24"/>
              </w:rPr>
            </w:pPr>
            <w:r>
              <w:rPr>
                <w:rFonts w:hint="eastAsia" w:ascii="宋体" w:hAnsi="宋体" w:eastAsia="宋体" w:cs="宋体"/>
                <w:sz w:val="24"/>
                <w:szCs w:val="24"/>
              </w:rPr>
              <w:t>VQM策略</w:t>
            </w:r>
          </w:p>
        </w:tc>
        <w:tc>
          <w:p w14:paraId="71428215">
            <w:pPr>
              <w:pStyle w:val="24"/>
              <w:jc w:val="right"/>
              <w:rPr>
                <w:rFonts w:hint="eastAsia" w:ascii="宋体" w:hAnsi="宋体" w:eastAsia="宋体" w:cs="宋体"/>
                <w:sz w:val="24"/>
                <w:szCs w:val="24"/>
              </w:rPr>
            </w:pPr>
            <w:r>
              <w:rPr>
                <w:rFonts w:hint="eastAsia" w:ascii="宋体" w:hAnsi="宋体" w:eastAsia="宋体" w:cs="宋体"/>
                <w:sz w:val="24"/>
                <w:szCs w:val="24"/>
              </w:rPr>
              <w:t>沪深300</w:t>
            </w:r>
          </w:p>
        </w:tc>
        <w:tc>
          <w:p w14:paraId="055E3080">
            <w:pPr>
              <w:pStyle w:val="24"/>
              <w:jc w:val="right"/>
              <w:rPr>
                <w:rFonts w:hint="eastAsia" w:ascii="宋体" w:hAnsi="宋体" w:eastAsia="宋体" w:cs="宋体"/>
                <w:sz w:val="24"/>
                <w:szCs w:val="24"/>
              </w:rPr>
            </w:pPr>
            <w:r>
              <w:rPr>
                <w:rFonts w:hint="eastAsia" w:ascii="宋体" w:hAnsi="宋体" w:eastAsia="宋体" w:cs="宋体"/>
                <w:sz w:val="24"/>
                <w:szCs w:val="24"/>
              </w:rPr>
              <w:t>差额</w:t>
            </w:r>
          </w:p>
        </w:tc>
      </w:tr>
      <w:tr w14:paraId="3C705096">
        <w:tc>
          <w:p w14:paraId="021964F1">
            <w:pPr>
              <w:pStyle w:val="24"/>
              <w:jc w:val="left"/>
              <w:rPr>
                <w:rFonts w:hint="eastAsia" w:ascii="宋体" w:hAnsi="宋体" w:eastAsia="宋体" w:cs="宋体"/>
                <w:sz w:val="24"/>
                <w:szCs w:val="24"/>
              </w:rPr>
            </w:pPr>
            <w:r>
              <w:rPr>
                <w:rFonts w:hint="eastAsia" w:ascii="宋体" w:hAnsi="宋体" w:eastAsia="宋体" w:cs="宋体"/>
                <w:sz w:val="24"/>
                <w:szCs w:val="24"/>
              </w:rPr>
              <w:t>总收益率</w:t>
            </w:r>
          </w:p>
        </w:tc>
        <w:tc>
          <w:p w14:paraId="1913A2E4">
            <w:pPr>
              <w:pStyle w:val="24"/>
              <w:jc w:val="right"/>
              <w:rPr>
                <w:rFonts w:hint="eastAsia" w:ascii="宋体" w:hAnsi="宋体" w:eastAsia="宋体" w:cs="宋体"/>
                <w:sz w:val="24"/>
                <w:szCs w:val="24"/>
              </w:rPr>
            </w:pPr>
            <w:r>
              <w:rPr>
                <w:rFonts w:hint="eastAsia" w:ascii="宋体" w:hAnsi="宋体" w:eastAsia="宋体" w:cs="宋体"/>
                <w:sz w:val="24"/>
                <w:szCs w:val="24"/>
              </w:rPr>
              <w:t>210.8%</w:t>
            </w:r>
          </w:p>
        </w:tc>
        <w:tc>
          <w:p w14:paraId="7CF660F8">
            <w:pPr>
              <w:pStyle w:val="24"/>
              <w:jc w:val="right"/>
              <w:rPr>
                <w:rFonts w:hint="eastAsia" w:ascii="宋体" w:hAnsi="宋体" w:eastAsia="宋体" w:cs="宋体"/>
                <w:sz w:val="24"/>
                <w:szCs w:val="24"/>
              </w:rPr>
            </w:pPr>
            <w:r>
              <w:rPr>
                <w:rFonts w:hint="eastAsia" w:ascii="宋体" w:hAnsi="宋体" w:eastAsia="宋体" w:cs="宋体"/>
                <w:sz w:val="24"/>
                <w:szCs w:val="24"/>
              </w:rPr>
              <w:t>24.2%</w:t>
            </w:r>
          </w:p>
        </w:tc>
        <w:tc>
          <w:p w14:paraId="6515B0CE">
            <w:pPr>
              <w:pStyle w:val="24"/>
              <w:jc w:val="right"/>
              <w:rPr>
                <w:rFonts w:hint="eastAsia" w:ascii="宋体" w:hAnsi="宋体" w:eastAsia="宋体" w:cs="宋体"/>
                <w:sz w:val="24"/>
                <w:szCs w:val="24"/>
              </w:rPr>
            </w:pPr>
            <w:r>
              <w:rPr>
                <w:rFonts w:hint="eastAsia" w:ascii="宋体" w:hAnsi="宋体" w:eastAsia="宋体" w:cs="宋体"/>
                <w:sz w:val="24"/>
                <w:szCs w:val="24"/>
              </w:rPr>
              <w:t>+186.7%</w:t>
            </w:r>
          </w:p>
        </w:tc>
      </w:tr>
      <w:tr w14:paraId="7AE1133E">
        <w:tc>
          <w:p w14:paraId="767C53A4">
            <w:pPr>
              <w:pStyle w:val="24"/>
              <w:jc w:val="left"/>
              <w:rPr>
                <w:rFonts w:hint="eastAsia" w:ascii="宋体" w:hAnsi="宋体" w:eastAsia="宋体" w:cs="宋体"/>
                <w:sz w:val="24"/>
                <w:szCs w:val="24"/>
              </w:rPr>
            </w:pPr>
            <w:r>
              <w:rPr>
                <w:rFonts w:hint="eastAsia" w:ascii="宋体" w:hAnsi="宋体" w:eastAsia="宋体" w:cs="宋体"/>
                <w:sz w:val="24"/>
                <w:szCs w:val="24"/>
              </w:rPr>
              <w:t>年化收益率</w:t>
            </w:r>
          </w:p>
        </w:tc>
        <w:tc>
          <w:p w14:paraId="32E10F30">
            <w:pPr>
              <w:pStyle w:val="24"/>
              <w:jc w:val="right"/>
              <w:rPr>
                <w:rFonts w:hint="eastAsia" w:ascii="宋体" w:hAnsi="宋体" w:eastAsia="宋体" w:cs="宋体"/>
                <w:sz w:val="24"/>
                <w:szCs w:val="24"/>
              </w:rPr>
            </w:pPr>
            <w:r>
              <w:rPr>
                <w:rFonts w:hint="eastAsia" w:ascii="宋体" w:hAnsi="宋体" w:eastAsia="宋体" w:cs="宋体"/>
                <w:sz w:val="24"/>
                <w:szCs w:val="24"/>
              </w:rPr>
              <w:t>123.2%</w:t>
            </w:r>
          </w:p>
        </w:tc>
        <w:tc>
          <w:p w14:paraId="1226DE61">
            <w:pPr>
              <w:pStyle w:val="24"/>
              <w:jc w:val="right"/>
              <w:rPr>
                <w:rFonts w:hint="eastAsia" w:ascii="宋体" w:hAnsi="宋体" w:eastAsia="宋体" w:cs="宋体"/>
                <w:sz w:val="24"/>
                <w:szCs w:val="24"/>
              </w:rPr>
            </w:pPr>
            <w:r>
              <w:rPr>
                <w:rFonts w:hint="eastAsia" w:ascii="宋体" w:hAnsi="宋体" w:eastAsia="宋体" w:cs="宋体"/>
                <w:sz w:val="24"/>
                <w:szCs w:val="24"/>
              </w:rPr>
              <w:t>16.6%</w:t>
            </w:r>
          </w:p>
        </w:tc>
        <w:tc>
          <w:p w14:paraId="2DEE52C4">
            <w:pPr>
              <w:pStyle w:val="24"/>
              <w:jc w:val="right"/>
              <w:rPr>
                <w:rFonts w:hint="eastAsia" w:ascii="宋体" w:hAnsi="宋体" w:eastAsia="宋体" w:cs="宋体"/>
                <w:sz w:val="24"/>
                <w:szCs w:val="24"/>
              </w:rPr>
            </w:pPr>
            <w:r>
              <w:rPr>
                <w:rFonts w:hint="eastAsia" w:ascii="宋体" w:hAnsi="宋体" w:eastAsia="宋体" w:cs="宋体"/>
                <w:sz w:val="24"/>
                <w:szCs w:val="24"/>
              </w:rPr>
              <w:t>+106.6%</w:t>
            </w:r>
          </w:p>
        </w:tc>
      </w:tr>
      <w:tr w14:paraId="4F674D3C">
        <w:tc>
          <w:p w14:paraId="755768A0">
            <w:pPr>
              <w:pStyle w:val="24"/>
              <w:jc w:val="left"/>
              <w:rPr>
                <w:rFonts w:hint="eastAsia" w:ascii="宋体" w:hAnsi="宋体" w:eastAsia="宋体" w:cs="宋体"/>
                <w:sz w:val="24"/>
                <w:szCs w:val="24"/>
              </w:rPr>
            </w:pPr>
            <w:r>
              <w:rPr>
                <w:rFonts w:hint="eastAsia" w:ascii="宋体" w:hAnsi="宋体" w:eastAsia="宋体" w:cs="宋体"/>
                <w:sz w:val="24"/>
                <w:szCs w:val="24"/>
              </w:rPr>
              <w:t>年化波动率</w:t>
            </w:r>
          </w:p>
        </w:tc>
        <w:tc>
          <w:p w14:paraId="19B870BA">
            <w:pPr>
              <w:pStyle w:val="24"/>
              <w:jc w:val="right"/>
              <w:rPr>
                <w:rFonts w:hint="eastAsia" w:ascii="宋体" w:hAnsi="宋体" w:eastAsia="宋体" w:cs="宋体"/>
                <w:sz w:val="24"/>
                <w:szCs w:val="24"/>
              </w:rPr>
            </w:pPr>
            <w:r>
              <w:rPr>
                <w:rFonts w:hint="eastAsia" w:ascii="宋体" w:hAnsi="宋体" w:eastAsia="宋体" w:cs="宋体"/>
                <w:sz w:val="24"/>
                <w:szCs w:val="24"/>
              </w:rPr>
              <w:t>36.6%</w:t>
            </w:r>
          </w:p>
        </w:tc>
        <w:tc>
          <w:p w14:paraId="3FF6DF16">
            <w:pPr>
              <w:pStyle w:val="24"/>
              <w:jc w:val="right"/>
              <w:rPr>
                <w:rFonts w:hint="eastAsia" w:ascii="宋体" w:hAnsi="宋体" w:eastAsia="宋体" w:cs="宋体"/>
                <w:sz w:val="24"/>
                <w:szCs w:val="24"/>
              </w:rPr>
            </w:pPr>
            <w:r>
              <w:rPr>
                <w:rFonts w:hint="eastAsia" w:ascii="宋体" w:hAnsi="宋体" w:eastAsia="宋体" w:cs="宋体"/>
                <w:sz w:val="24"/>
                <w:szCs w:val="24"/>
              </w:rPr>
              <w:t>17.0%</w:t>
            </w:r>
          </w:p>
        </w:tc>
        <w:tc>
          <w:p w14:paraId="7EB7B7ED">
            <w:pPr>
              <w:pStyle w:val="24"/>
              <w:jc w:val="right"/>
              <w:rPr>
                <w:rFonts w:hint="eastAsia" w:ascii="宋体" w:hAnsi="宋体" w:eastAsia="宋体" w:cs="宋体"/>
                <w:sz w:val="24"/>
                <w:szCs w:val="24"/>
              </w:rPr>
            </w:pPr>
            <w:r>
              <w:rPr>
                <w:rFonts w:hint="eastAsia" w:ascii="宋体" w:hAnsi="宋体" w:eastAsia="宋体" w:cs="宋体"/>
                <w:sz w:val="24"/>
                <w:szCs w:val="24"/>
              </w:rPr>
              <w:t>+19.6%</w:t>
            </w:r>
          </w:p>
        </w:tc>
      </w:tr>
      <w:tr w14:paraId="37E1BDAC">
        <w:tc>
          <w:p w14:paraId="428AC8BC">
            <w:pPr>
              <w:pStyle w:val="24"/>
              <w:jc w:val="left"/>
              <w:rPr>
                <w:rFonts w:hint="eastAsia" w:ascii="宋体" w:hAnsi="宋体" w:eastAsia="宋体" w:cs="宋体"/>
                <w:sz w:val="24"/>
                <w:szCs w:val="24"/>
              </w:rPr>
            </w:pPr>
            <w:r>
              <w:rPr>
                <w:rFonts w:hint="eastAsia" w:ascii="宋体" w:hAnsi="宋体" w:eastAsia="宋体" w:cs="宋体"/>
                <w:sz w:val="24"/>
                <w:szCs w:val="24"/>
              </w:rPr>
              <w:t>最大回撤</w:t>
            </w:r>
          </w:p>
        </w:tc>
        <w:tc>
          <w:p w14:paraId="737220E3">
            <w:pPr>
              <w:pStyle w:val="24"/>
              <w:jc w:val="right"/>
              <w:rPr>
                <w:rFonts w:hint="eastAsia" w:ascii="宋体" w:hAnsi="宋体" w:eastAsia="宋体" w:cs="宋体"/>
                <w:sz w:val="24"/>
                <w:szCs w:val="24"/>
              </w:rPr>
            </w:pPr>
            <w:r>
              <w:rPr>
                <w:rFonts w:hint="eastAsia" w:ascii="宋体" w:hAnsi="宋体" w:eastAsia="宋体" w:cs="宋体"/>
                <w:sz w:val="24"/>
                <w:szCs w:val="24"/>
              </w:rPr>
              <w:t>-14.7%</w:t>
            </w:r>
          </w:p>
        </w:tc>
        <w:tc>
          <w:p w14:paraId="33AD335A">
            <w:pPr>
              <w:pStyle w:val="24"/>
              <w:jc w:val="right"/>
              <w:rPr>
                <w:rFonts w:hint="eastAsia" w:ascii="宋体" w:hAnsi="宋体" w:eastAsia="宋体" w:cs="宋体"/>
                <w:sz w:val="24"/>
                <w:szCs w:val="24"/>
              </w:rPr>
            </w:pPr>
            <w:r>
              <w:rPr>
                <w:rFonts w:hint="eastAsia" w:ascii="宋体" w:hAnsi="宋体" w:eastAsia="宋体" w:cs="宋体"/>
                <w:sz w:val="24"/>
                <w:szCs w:val="24"/>
              </w:rPr>
              <w:t>-10.5%</w:t>
            </w:r>
          </w:p>
        </w:tc>
        <w:tc>
          <w:p w14:paraId="235823E4">
            <w:pPr>
              <w:pStyle w:val="24"/>
              <w:jc w:val="right"/>
              <w:rPr>
                <w:rFonts w:hint="eastAsia" w:ascii="宋体" w:hAnsi="宋体" w:eastAsia="宋体" w:cs="宋体"/>
                <w:sz w:val="24"/>
                <w:szCs w:val="24"/>
              </w:rPr>
            </w:pPr>
            <w:r>
              <w:rPr>
                <w:rFonts w:hint="eastAsia" w:ascii="宋体" w:hAnsi="宋体" w:eastAsia="宋体" w:cs="宋体"/>
                <w:sz w:val="24"/>
                <w:szCs w:val="24"/>
              </w:rPr>
              <w:t>-4.2%</w:t>
            </w:r>
          </w:p>
        </w:tc>
      </w:tr>
      <w:tr w14:paraId="22EB75CE">
        <w:tc>
          <w:p w14:paraId="344867F9">
            <w:pPr>
              <w:pStyle w:val="24"/>
              <w:jc w:val="left"/>
              <w:rPr>
                <w:rFonts w:hint="eastAsia" w:ascii="宋体" w:hAnsi="宋体" w:eastAsia="宋体" w:cs="宋体"/>
                <w:sz w:val="24"/>
                <w:szCs w:val="24"/>
              </w:rPr>
            </w:pPr>
            <w:r>
              <w:rPr>
                <w:rFonts w:hint="eastAsia" w:ascii="宋体" w:hAnsi="宋体" w:eastAsia="宋体" w:cs="宋体"/>
                <w:sz w:val="24"/>
                <w:szCs w:val="24"/>
              </w:rPr>
              <w:t>夏普比率</w:t>
            </w:r>
          </w:p>
        </w:tc>
        <w:tc>
          <w:p w14:paraId="655A2C90">
            <w:pPr>
              <w:pStyle w:val="24"/>
              <w:jc w:val="right"/>
              <w:rPr>
                <w:rFonts w:hint="eastAsia" w:ascii="宋体" w:hAnsi="宋体" w:eastAsia="宋体" w:cs="宋体"/>
                <w:sz w:val="24"/>
                <w:szCs w:val="24"/>
              </w:rPr>
            </w:pPr>
            <w:r>
              <w:rPr>
                <w:rFonts w:hint="eastAsia" w:ascii="宋体" w:hAnsi="宋体" w:eastAsia="宋体" w:cs="宋体"/>
                <w:sz w:val="24"/>
                <w:szCs w:val="24"/>
              </w:rPr>
              <w:t>2.32</w:t>
            </w:r>
          </w:p>
        </w:tc>
        <w:tc>
          <w:p w14:paraId="5DCEE562">
            <w:pPr>
              <w:pStyle w:val="24"/>
              <w:jc w:val="right"/>
              <w:rPr>
                <w:rFonts w:hint="eastAsia" w:ascii="宋体" w:hAnsi="宋体" w:eastAsia="宋体" w:cs="宋体"/>
                <w:sz w:val="24"/>
                <w:szCs w:val="24"/>
              </w:rPr>
            </w:pPr>
            <w:r>
              <w:rPr>
                <w:rFonts w:hint="eastAsia" w:ascii="宋体" w:hAnsi="宋体" w:eastAsia="宋体" w:cs="宋体"/>
                <w:sz w:val="24"/>
                <w:szCs w:val="24"/>
              </w:rPr>
              <w:t>0.87</w:t>
            </w:r>
          </w:p>
        </w:tc>
        <w:tc>
          <w:p w14:paraId="7AC3A104">
            <w:pPr>
              <w:pStyle w:val="24"/>
              <w:jc w:val="right"/>
              <w:rPr>
                <w:rFonts w:hint="eastAsia" w:ascii="宋体" w:hAnsi="宋体" w:eastAsia="宋体" w:cs="宋体"/>
                <w:sz w:val="24"/>
                <w:szCs w:val="24"/>
              </w:rPr>
            </w:pPr>
            <w:r>
              <w:rPr>
                <w:rFonts w:hint="eastAsia" w:ascii="宋体" w:hAnsi="宋体" w:eastAsia="宋体" w:cs="宋体"/>
                <w:sz w:val="24"/>
                <w:szCs w:val="24"/>
              </w:rPr>
              <w:t>+1.45</w:t>
            </w:r>
          </w:p>
        </w:tc>
      </w:tr>
      <w:tr w14:paraId="114676D9">
        <w:tc>
          <w:p w14:paraId="333C7F96">
            <w:pPr>
              <w:pStyle w:val="24"/>
              <w:jc w:val="left"/>
              <w:rPr>
                <w:rFonts w:hint="eastAsia" w:ascii="宋体" w:hAnsi="宋体" w:eastAsia="宋体" w:cs="宋体"/>
                <w:sz w:val="24"/>
                <w:szCs w:val="24"/>
              </w:rPr>
            </w:pPr>
            <w:r>
              <w:rPr>
                <w:rFonts w:hint="eastAsia" w:ascii="宋体" w:hAnsi="宋体" w:eastAsia="宋体" w:cs="宋体"/>
                <w:sz w:val="24"/>
                <w:szCs w:val="24"/>
              </w:rPr>
              <w:t>卡玛比率</w:t>
            </w:r>
          </w:p>
        </w:tc>
        <w:tc>
          <w:p w14:paraId="1794491D">
            <w:pPr>
              <w:pStyle w:val="24"/>
              <w:jc w:val="right"/>
              <w:rPr>
                <w:rFonts w:hint="eastAsia" w:ascii="宋体" w:hAnsi="宋体" w:eastAsia="宋体" w:cs="宋体"/>
                <w:sz w:val="24"/>
                <w:szCs w:val="24"/>
              </w:rPr>
            </w:pPr>
            <w:r>
              <w:rPr>
                <w:rFonts w:hint="eastAsia" w:ascii="宋体" w:hAnsi="宋体" w:eastAsia="宋体" w:cs="宋体"/>
                <w:sz w:val="24"/>
                <w:szCs w:val="24"/>
              </w:rPr>
              <w:t>8.37</w:t>
            </w:r>
          </w:p>
        </w:tc>
        <w:tc>
          <w:p w14:paraId="7AF89F9E">
            <w:pPr>
              <w:pStyle w:val="24"/>
              <w:jc w:val="right"/>
              <w:rPr>
                <w:rFonts w:hint="eastAsia" w:ascii="宋体" w:hAnsi="宋体" w:eastAsia="宋体" w:cs="宋体"/>
                <w:sz w:val="24"/>
                <w:szCs w:val="24"/>
              </w:rPr>
            </w:pPr>
            <w:r>
              <w:rPr>
                <w:rFonts w:hint="eastAsia" w:ascii="宋体" w:hAnsi="宋体" w:eastAsia="宋体" w:cs="宋体"/>
                <w:sz w:val="24"/>
                <w:szCs w:val="24"/>
              </w:rPr>
              <w:t>1.58</w:t>
            </w:r>
          </w:p>
        </w:tc>
        <w:tc>
          <w:p w14:paraId="4D6C7DAF">
            <w:pPr>
              <w:pStyle w:val="24"/>
              <w:jc w:val="right"/>
              <w:rPr>
                <w:rFonts w:hint="eastAsia" w:ascii="宋体" w:hAnsi="宋体" w:eastAsia="宋体" w:cs="宋体"/>
                <w:sz w:val="24"/>
                <w:szCs w:val="24"/>
              </w:rPr>
            </w:pPr>
            <w:r>
              <w:rPr>
                <w:rFonts w:hint="eastAsia" w:ascii="宋体" w:hAnsi="宋体" w:eastAsia="宋体" w:cs="宋体"/>
                <w:sz w:val="24"/>
                <w:szCs w:val="24"/>
              </w:rPr>
              <w:t>+6.79</w:t>
            </w:r>
          </w:p>
        </w:tc>
      </w:tr>
      <w:bookmarkEnd w:id="22"/>
    </w:tbl>
    <w:p w14:paraId="170A0703">
      <w:pPr>
        <w:pStyle w:val="4"/>
        <w:rPr>
          <w:rFonts w:hint="eastAsia" w:ascii="宋体" w:hAnsi="宋体" w:eastAsia="宋体" w:cs="宋体"/>
          <w:sz w:val="24"/>
          <w:szCs w:val="24"/>
        </w:rPr>
      </w:pPr>
      <w:bookmarkStart w:id="23" w:name="必做三图"/>
      <w:r>
        <w:rPr>
          <w:rFonts w:hint="eastAsia" w:ascii="宋体" w:hAnsi="宋体" w:eastAsia="宋体" w:cs="宋体"/>
          <w:sz w:val="24"/>
          <w:szCs w:val="24"/>
        </w:rPr>
        <w:t xml:space="preserve">4.3 </w:t>
      </w:r>
      <w:r>
        <w:rPr>
          <w:rFonts w:hint="eastAsia" w:ascii="宋体" w:hAnsi="宋体" w:eastAsia="宋体" w:cs="宋体"/>
          <w:sz w:val="24"/>
          <w:szCs w:val="24"/>
        </w:rPr>
        <w:t>必做三图</w:t>
      </w:r>
    </w:p>
    <w:p w14:paraId="19F10286">
      <w:pPr>
        <w:pStyle w:val="5"/>
        <w:jc w:val="center"/>
        <w:rPr>
          <w:rFonts w:hint="eastAsia" w:ascii="宋体" w:hAnsi="宋体" w:eastAsia="宋体" w:cs="宋体"/>
          <w:sz w:val="24"/>
          <w:szCs w:val="24"/>
        </w:rPr>
      </w:pPr>
      <w:bookmarkStart w:id="24" w:name="图1净值曲线与动态回撤"/>
      <w:r>
        <w:rPr>
          <w:rFonts w:hint="eastAsia" w:ascii="宋体" w:hAnsi="宋体" w:eastAsia="宋体" w:cs="宋体"/>
          <w:sz w:val="24"/>
          <w:szCs w:val="24"/>
        </w:rPr>
        <w:t>图1：净值曲线与动态回撤</w:t>
      </w:r>
    </w:p>
    <w:p w14:paraId="4829D01D">
      <w:pPr>
        <w:pStyle w:val="47"/>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34000" cy="4599305"/>
            <wp:effectExtent l="0" t="0" r="0" b="0"/>
            <wp:docPr id="35" name="Picture" descr="图1：净值曲线与动态回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图1：净值曲线与动态回撤"/>
                    <pic:cNvPicPr>
                      <a:picLocks noChangeAspect="1" noChangeArrowheads="1"/>
                    </pic:cNvPicPr>
                  </pic:nvPicPr>
                  <pic:blipFill>
                    <a:blip r:embed="rId6"/>
                    <a:stretch>
                      <a:fillRect/>
                    </a:stretch>
                  </pic:blipFill>
                  <pic:spPr>
                    <a:xfrm>
                      <a:off x="0" y="0"/>
                      <a:ext cx="5334000" cy="4599608"/>
                    </a:xfrm>
                    <a:prstGeom prst="rect">
                      <a:avLst/>
                    </a:prstGeom>
                    <a:noFill/>
                    <a:ln w="9525">
                      <a:noFill/>
                    </a:ln>
                  </pic:spPr>
                </pic:pic>
              </a:graphicData>
            </a:graphic>
          </wp:inline>
        </w:drawing>
      </w:r>
    </w:p>
    <w:p w14:paraId="02FCB5B0">
      <w:pPr>
        <w:pStyle w:val="45"/>
        <w:rPr>
          <w:rFonts w:hint="eastAsia" w:ascii="宋体" w:hAnsi="宋体" w:eastAsia="宋体" w:cs="宋体"/>
          <w:sz w:val="24"/>
          <w:szCs w:val="24"/>
        </w:rPr>
      </w:pPr>
      <w:r>
        <w:rPr>
          <w:rFonts w:hint="eastAsia" w:ascii="宋体" w:hAnsi="宋体" w:eastAsia="宋体" w:cs="宋体"/>
          <w:sz w:val="24"/>
          <w:szCs w:val="24"/>
        </w:rPr>
        <w:t>图1：净值曲线与动态回撤</w:t>
      </w:r>
    </w:p>
    <w:p w14:paraId="4DA69F44">
      <w:pPr>
        <w:pStyle w:val="3"/>
        <w:rPr>
          <w:rFonts w:hint="eastAsia" w:ascii="宋体" w:hAnsi="宋体" w:eastAsia="宋体" w:cs="宋体"/>
          <w:sz w:val="24"/>
          <w:szCs w:val="24"/>
        </w:rPr>
      </w:pPr>
      <w:r>
        <w:rPr>
          <w:rFonts w:hint="eastAsia" w:ascii="宋体" w:hAnsi="宋体" w:eastAsia="宋体" w:cs="宋体"/>
          <w:b/>
          <w:bCs/>
          <w:sz w:val="24"/>
          <w:szCs w:val="24"/>
        </w:rPr>
        <w:t>现象</w:t>
      </w:r>
      <w:r>
        <w:rPr>
          <w:rFonts w:hint="eastAsia" w:ascii="宋体" w:hAnsi="宋体" w:eastAsia="宋体" w:cs="宋体"/>
          <w:sz w:val="24"/>
          <w:szCs w:val="24"/>
        </w:rPr>
        <w:t>：净值曲线方面，三条曲线</w:t>
      </w:r>
      <w:r>
        <w:rPr>
          <w:rFonts w:hint="eastAsia" w:ascii="宋体" w:hAnsi="宋体" w:eastAsia="宋体" w:cs="宋体"/>
          <w:sz w:val="24"/>
          <w:szCs w:val="24"/>
        </w:rPr>
        <w:t xml:space="preserve"> 2025 </w:t>
      </w:r>
      <w:r>
        <w:rPr>
          <w:rFonts w:hint="eastAsia" w:ascii="宋体" w:hAnsi="宋体" w:eastAsia="宋体" w:cs="宋体"/>
          <w:sz w:val="24"/>
          <w:szCs w:val="24"/>
        </w:rPr>
        <w:t>年上半年走势接近，2025</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7 </w:t>
      </w:r>
      <w:r>
        <w:rPr>
          <w:rFonts w:hint="eastAsia" w:ascii="宋体" w:hAnsi="宋体" w:eastAsia="宋体" w:cs="宋体"/>
          <w:sz w:val="24"/>
          <w:szCs w:val="24"/>
        </w:rPr>
        <w:t>月起</w:t>
      </w:r>
      <w:r>
        <w:rPr>
          <w:rFonts w:hint="eastAsia" w:ascii="宋体" w:hAnsi="宋体" w:eastAsia="宋体" w:cs="宋体"/>
          <w:sz w:val="24"/>
          <w:szCs w:val="24"/>
        </w:rPr>
        <w:t xml:space="preserve"> VQM </w:t>
      </w:r>
      <w:r>
        <w:rPr>
          <w:rFonts w:hint="eastAsia" w:ascii="宋体" w:hAnsi="宋体" w:eastAsia="宋体" w:cs="宋体"/>
          <w:sz w:val="24"/>
          <w:szCs w:val="24"/>
        </w:rPr>
        <w:t>策略净值加速上扬，2025</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9 </w:t>
      </w:r>
      <w:r>
        <w:rPr>
          <w:rFonts w:hint="eastAsia" w:ascii="宋体" w:hAnsi="宋体" w:eastAsia="宋体" w:cs="宋体"/>
          <w:sz w:val="24"/>
          <w:szCs w:val="24"/>
        </w:rPr>
        <w:t>月出现陡峭拉升。无回撤控制版本峰值约</w:t>
      </w:r>
      <w:r>
        <w:rPr>
          <w:rFonts w:hint="eastAsia" w:ascii="宋体" w:hAnsi="宋体" w:eastAsia="宋体" w:cs="宋体"/>
          <w:sz w:val="24"/>
          <w:szCs w:val="24"/>
        </w:rPr>
        <w:t xml:space="preserve"> 4.9 </w:t>
      </w:r>
      <w:r>
        <w:rPr>
          <w:rFonts w:hint="eastAsia" w:ascii="宋体" w:hAnsi="宋体" w:eastAsia="宋体" w:cs="宋体"/>
          <w:sz w:val="24"/>
          <w:szCs w:val="24"/>
        </w:rPr>
        <w:t>倍但随后大幅回落至</w:t>
      </w:r>
      <w:r>
        <w:rPr>
          <w:rFonts w:hint="eastAsia" w:ascii="宋体" w:hAnsi="宋体" w:eastAsia="宋体" w:cs="宋体"/>
          <w:sz w:val="24"/>
          <w:szCs w:val="24"/>
        </w:rPr>
        <w:t xml:space="preserve"> 2.7 </w:t>
      </w:r>
      <w:r>
        <w:rPr>
          <w:rFonts w:hint="eastAsia" w:ascii="宋体" w:hAnsi="宋体" w:eastAsia="宋体" w:cs="宋体"/>
          <w:sz w:val="24"/>
          <w:szCs w:val="24"/>
        </w:rPr>
        <w:t>倍，15%</w:t>
      </w:r>
      <w:r>
        <w:rPr>
          <w:rFonts w:hint="eastAsia" w:ascii="宋体" w:hAnsi="宋体" w:eastAsia="宋体" w:cs="宋体"/>
          <w:sz w:val="24"/>
          <w:szCs w:val="24"/>
        </w:rPr>
        <w:t xml:space="preserve"> </w:t>
      </w:r>
      <w:r>
        <w:rPr>
          <w:rFonts w:hint="eastAsia" w:ascii="宋体" w:hAnsi="宋体" w:eastAsia="宋体" w:cs="宋体"/>
          <w:sz w:val="24"/>
          <w:szCs w:val="24"/>
        </w:rPr>
        <w:t>回撤控制版本峰值约</w:t>
      </w:r>
      <w:r>
        <w:rPr>
          <w:rFonts w:hint="eastAsia" w:ascii="宋体" w:hAnsi="宋体" w:eastAsia="宋体" w:cs="宋体"/>
          <w:sz w:val="24"/>
          <w:szCs w:val="24"/>
        </w:rPr>
        <w:t xml:space="preserve"> 3.4 </w:t>
      </w:r>
      <w:r>
        <w:rPr>
          <w:rFonts w:hint="eastAsia" w:ascii="宋体" w:hAnsi="宋体" w:eastAsia="宋体" w:cs="宋体"/>
          <w:sz w:val="24"/>
          <w:szCs w:val="24"/>
        </w:rPr>
        <w:t>倍、最终净值约</w:t>
      </w:r>
      <w:r>
        <w:rPr>
          <w:rFonts w:hint="eastAsia" w:ascii="宋体" w:hAnsi="宋体" w:eastAsia="宋体" w:cs="宋体"/>
          <w:sz w:val="24"/>
          <w:szCs w:val="24"/>
        </w:rPr>
        <w:t xml:space="preserve"> 3.1 </w:t>
      </w:r>
      <w:r>
        <w:rPr>
          <w:rFonts w:hint="eastAsia" w:ascii="宋体" w:hAnsi="宋体" w:eastAsia="宋体" w:cs="宋体"/>
          <w:sz w:val="24"/>
          <w:szCs w:val="24"/>
        </w:rPr>
        <w:t>倍，沪深</w:t>
      </w:r>
      <w:r>
        <w:rPr>
          <w:rFonts w:hint="eastAsia" w:ascii="宋体" w:hAnsi="宋体" w:eastAsia="宋体" w:cs="宋体"/>
          <w:sz w:val="24"/>
          <w:szCs w:val="24"/>
        </w:rPr>
        <w:t xml:space="preserve"> 300 </w:t>
      </w:r>
      <w:r>
        <w:rPr>
          <w:rFonts w:hint="eastAsia" w:ascii="宋体" w:hAnsi="宋体" w:eastAsia="宋体" w:cs="宋体"/>
          <w:sz w:val="24"/>
          <w:szCs w:val="24"/>
        </w:rPr>
        <w:t>仅约</w:t>
      </w:r>
      <w:r>
        <w:rPr>
          <w:rFonts w:hint="eastAsia" w:ascii="宋体" w:hAnsi="宋体" w:eastAsia="宋体" w:cs="宋体"/>
          <w:sz w:val="24"/>
          <w:szCs w:val="24"/>
        </w:rPr>
        <w:t xml:space="preserve"> 1.2 </w:t>
      </w:r>
      <w:r>
        <w:rPr>
          <w:rFonts w:hint="eastAsia" w:ascii="宋体" w:hAnsi="宋体" w:eastAsia="宋体" w:cs="宋体"/>
          <w:sz w:val="24"/>
          <w:szCs w:val="24"/>
        </w:rPr>
        <w:t>倍。持仓状态方面，2024</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7 </w:t>
      </w:r>
      <w:r>
        <w:rPr>
          <w:rFonts w:hint="eastAsia" w:ascii="宋体" w:hAnsi="宋体" w:eastAsia="宋体" w:cs="宋体"/>
          <w:sz w:val="24"/>
          <w:szCs w:val="24"/>
        </w:rPr>
        <w:t>月至</w:t>
      </w:r>
      <w:r>
        <w:rPr>
          <w:rFonts w:hint="eastAsia" w:ascii="宋体" w:hAnsi="宋体" w:eastAsia="宋体" w:cs="宋体"/>
          <w:sz w:val="24"/>
          <w:szCs w:val="24"/>
        </w:rPr>
        <w:t xml:space="preserve"> 2025 </w:t>
      </w:r>
      <w:r>
        <w:rPr>
          <w:rFonts w:hint="eastAsia" w:ascii="宋体" w:hAnsi="宋体" w:eastAsia="宋体" w:cs="宋体"/>
          <w:sz w:val="24"/>
          <w:szCs w:val="24"/>
        </w:rPr>
        <w:t>年</w:t>
      </w:r>
      <w:r>
        <w:rPr>
          <w:rFonts w:hint="eastAsia" w:ascii="宋体" w:hAnsi="宋体" w:eastAsia="宋体" w:cs="宋体"/>
          <w:sz w:val="24"/>
          <w:szCs w:val="24"/>
        </w:rPr>
        <w:t xml:space="preserve"> 1 </w:t>
      </w:r>
      <w:r>
        <w:rPr>
          <w:rFonts w:hint="eastAsia" w:ascii="宋体" w:hAnsi="宋体" w:eastAsia="宋体" w:cs="宋体"/>
          <w:sz w:val="24"/>
          <w:szCs w:val="24"/>
        </w:rPr>
        <w:t>月为指标预热期（灰色），策略运行期间有</w:t>
      </w:r>
      <w:r>
        <w:rPr>
          <w:rFonts w:hint="eastAsia" w:ascii="宋体" w:hAnsi="宋体" w:eastAsia="宋体" w:cs="宋体"/>
          <w:sz w:val="24"/>
          <w:szCs w:val="24"/>
        </w:rPr>
        <w:t xml:space="preserve"> 6 </w:t>
      </w:r>
      <w:r>
        <w:rPr>
          <w:rFonts w:hint="eastAsia" w:ascii="宋体" w:hAnsi="宋体" w:eastAsia="宋体" w:cs="宋体"/>
          <w:sz w:val="24"/>
          <w:szCs w:val="24"/>
        </w:rPr>
        <w:t>段空仓（累计</w:t>
      </w:r>
      <w:r>
        <w:rPr>
          <w:rFonts w:hint="eastAsia" w:ascii="宋体" w:hAnsi="宋体" w:eastAsia="宋体" w:cs="宋体"/>
          <w:sz w:val="24"/>
          <w:szCs w:val="24"/>
        </w:rPr>
        <w:t xml:space="preserve"> 119 </w:t>
      </w:r>
      <w:r>
        <w:rPr>
          <w:rFonts w:hint="eastAsia" w:ascii="宋体" w:hAnsi="宋体" w:eastAsia="宋体" w:cs="宋体"/>
          <w:sz w:val="24"/>
          <w:szCs w:val="24"/>
        </w:rPr>
        <w:t>个交易日，占策略期</w:t>
      </w:r>
      <w:r>
        <w:rPr>
          <w:rFonts w:hint="eastAsia" w:ascii="宋体" w:hAnsi="宋体" w:eastAsia="宋体" w:cs="宋体"/>
          <w:sz w:val="24"/>
          <w:szCs w:val="24"/>
        </w:rPr>
        <w:t xml:space="preserve"> </w:t>
      </w:r>
      <w:r>
        <w:rPr>
          <w:rFonts w:hint="eastAsia" w:ascii="宋体" w:hAnsi="宋体" w:eastAsia="宋体" w:cs="宋体"/>
          <w:sz w:val="24"/>
          <w:szCs w:val="24"/>
        </w:rPr>
        <w:t>32%），最长一段为</w:t>
      </w:r>
      <w:r>
        <w:rPr>
          <w:rFonts w:hint="eastAsia" w:ascii="宋体" w:hAnsi="宋体" w:eastAsia="宋体" w:cs="宋体"/>
          <w:sz w:val="24"/>
          <w:szCs w:val="24"/>
        </w:rPr>
        <w:t xml:space="preserve"> 2026 </w:t>
      </w:r>
      <w:r>
        <w:rPr>
          <w:rFonts w:hint="eastAsia" w:ascii="宋体" w:hAnsi="宋体" w:eastAsia="宋体" w:cs="宋体"/>
          <w:sz w:val="24"/>
          <w:szCs w:val="24"/>
        </w:rPr>
        <w:t>年</w:t>
      </w:r>
      <w:r>
        <w:rPr>
          <w:rFonts w:hint="eastAsia" w:ascii="宋体" w:hAnsi="宋体" w:eastAsia="宋体" w:cs="宋体"/>
          <w:sz w:val="24"/>
          <w:szCs w:val="24"/>
        </w:rPr>
        <w:t xml:space="preserve"> 3-4 </w:t>
      </w:r>
      <w:r>
        <w:rPr>
          <w:rFonts w:hint="eastAsia" w:ascii="宋体" w:hAnsi="宋体" w:eastAsia="宋体" w:cs="宋体"/>
          <w:sz w:val="24"/>
          <w:szCs w:val="24"/>
        </w:rPr>
        <w:t>月（42</w:t>
      </w:r>
      <w:r>
        <w:rPr>
          <w:rFonts w:hint="eastAsia" w:ascii="宋体" w:hAnsi="宋体" w:eastAsia="宋体" w:cs="宋体"/>
          <w:sz w:val="24"/>
          <w:szCs w:val="24"/>
        </w:rPr>
        <w:t xml:space="preserve"> </w:t>
      </w:r>
      <w:r>
        <w:rPr>
          <w:rFonts w:hint="eastAsia" w:ascii="宋体" w:hAnsi="宋体" w:eastAsia="宋体" w:cs="宋体"/>
          <w:sz w:val="24"/>
          <w:szCs w:val="24"/>
        </w:rPr>
        <w:t>个交易日）。回撤方面，无回撤控制版本最大回撤达</w:t>
      </w:r>
      <w:r>
        <w:rPr>
          <w:rFonts w:hint="eastAsia" w:ascii="宋体" w:hAnsi="宋体" w:eastAsia="宋体" w:cs="宋体"/>
          <w:sz w:val="24"/>
          <w:szCs w:val="24"/>
        </w:rPr>
        <w:t xml:space="preserve"> </w:t>
      </w:r>
      <w:r>
        <w:rPr>
          <w:rFonts w:hint="eastAsia" w:ascii="宋体" w:hAnsi="宋体" w:eastAsia="宋体" w:cs="宋体"/>
          <w:sz w:val="24"/>
          <w:szCs w:val="24"/>
        </w:rPr>
        <w:t>-48.4%（2026</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7 </w:t>
      </w:r>
      <w:r>
        <w:rPr>
          <w:rFonts w:hint="eastAsia" w:ascii="宋体" w:hAnsi="宋体" w:eastAsia="宋体" w:cs="宋体"/>
          <w:sz w:val="24"/>
          <w:szCs w:val="24"/>
        </w:rPr>
        <w:t>月），15%</w:t>
      </w:r>
      <w:r>
        <w:rPr>
          <w:rFonts w:hint="eastAsia" w:ascii="宋体" w:hAnsi="宋体" w:eastAsia="宋体" w:cs="宋体"/>
          <w:sz w:val="24"/>
          <w:szCs w:val="24"/>
        </w:rPr>
        <w:t xml:space="preserve"> </w:t>
      </w:r>
      <w:r>
        <w:rPr>
          <w:rFonts w:hint="eastAsia" w:ascii="宋体" w:hAnsi="宋体" w:eastAsia="宋体" w:cs="宋体"/>
          <w:sz w:val="24"/>
          <w:szCs w:val="24"/>
        </w:rPr>
        <w:t>回撤控制版本最大回撤</w:t>
      </w:r>
      <w:r>
        <w:rPr>
          <w:rFonts w:hint="eastAsia" w:ascii="宋体" w:hAnsi="宋体" w:eastAsia="宋体" w:cs="宋体"/>
          <w:sz w:val="24"/>
          <w:szCs w:val="24"/>
        </w:rPr>
        <w:t xml:space="preserve"> </w:t>
      </w:r>
      <w:r>
        <w:rPr>
          <w:rFonts w:hint="eastAsia" w:ascii="宋体" w:hAnsi="宋体" w:eastAsia="宋体" w:cs="宋体"/>
          <w:sz w:val="24"/>
          <w:szCs w:val="24"/>
        </w:rPr>
        <w:t>-14.72%（2025</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12 </w:t>
      </w:r>
      <w:r>
        <w:rPr>
          <w:rFonts w:hint="eastAsia" w:ascii="宋体" w:hAnsi="宋体" w:eastAsia="宋体" w:cs="宋体"/>
          <w:sz w:val="24"/>
          <w:szCs w:val="24"/>
        </w:rPr>
        <w:t>月</w:t>
      </w:r>
      <w:r>
        <w:rPr>
          <w:rFonts w:hint="eastAsia" w:ascii="宋体" w:hAnsi="宋体" w:eastAsia="宋体" w:cs="宋体"/>
          <w:sz w:val="24"/>
          <w:szCs w:val="24"/>
        </w:rPr>
        <w:t xml:space="preserve"> 5 </w:t>
      </w:r>
      <w:r>
        <w:rPr>
          <w:rFonts w:hint="eastAsia" w:ascii="宋体" w:hAnsi="宋体" w:eastAsia="宋体" w:cs="宋体"/>
          <w:sz w:val="24"/>
          <w:szCs w:val="24"/>
        </w:rPr>
        <w:t>日），沪深</w:t>
      </w:r>
      <w:r>
        <w:rPr>
          <w:rFonts w:hint="eastAsia" w:ascii="宋体" w:hAnsi="宋体" w:eastAsia="宋体" w:cs="宋体"/>
          <w:sz w:val="24"/>
          <w:szCs w:val="24"/>
        </w:rPr>
        <w:t xml:space="preserve"> 300 </w:t>
      </w:r>
      <w:r>
        <w:rPr>
          <w:rFonts w:hint="eastAsia" w:ascii="宋体" w:hAnsi="宋体" w:eastAsia="宋体" w:cs="宋体"/>
          <w:sz w:val="24"/>
          <w:szCs w:val="24"/>
        </w:rPr>
        <w:t>最大回撤</w:t>
      </w:r>
      <w:r>
        <w:rPr>
          <w:rFonts w:hint="eastAsia" w:ascii="宋体" w:hAnsi="宋体" w:eastAsia="宋体" w:cs="宋体"/>
          <w:sz w:val="24"/>
          <w:szCs w:val="24"/>
        </w:rPr>
        <w:t xml:space="preserve"> </w:t>
      </w:r>
      <w:r>
        <w:rPr>
          <w:rFonts w:hint="eastAsia" w:ascii="宋体" w:hAnsi="宋体" w:eastAsia="宋体" w:cs="宋体"/>
          <w:sz w:val="24"/>
          <w:szCs w:val="24"/>
        </w:rPr>
        <w:t>-10.49%（2025</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4 </w:t>
      </w:r>
      <w:r>
        <w:rPr>
          <w:rFonts w:hint="eastAsia" w:ascii="宋体" w:hAnsi="宋体" w:eastAsia="宋体" w:cs="宋体"/>
          <w:sz w:val="24"/>
          <w:szCs w:val="24"/>
        </w:rPr>
        <w:t>月</w:t>
      </w:r>
      <w:r>
        <w:rPr>
          <w:rFonts w:hint="eastAsia" w:ascii="宋体" w:hAnsi="宋体" w:eastAsia="宋体" w:cs="宋体"/>
          <w:sz w:val="24"/>
          <w:szCs w:val="24"/>
        </w:rPr>
        <w:t xml:space="preserve"> 7 </w:t>
      </w:r>
      <w:r>
        <w:rPr>
          <w:rFonts w:hint="eastAsia" w:ascii="宋体" w:hAnsi="宋体" w:eastAsia="宋体" w:cs="宋体"/>
          <w:sz w:val="24"/>
          <w:szCs w:val="24"/>
        </w:rPr>
        <w:t>日）。</w:t>
      </w:r>
    </w:p>
    <w:p w14:paraId="588FF004">
      <w:pPr>
        <w:pStyle w:val="3"/>
        <w:rPr>
          <w:rFonts w:hint="eastAsia" w:ascii="宋体" w:hAnsi="宋体" w:eastAsia="宋体" w:cs="宋体"/>
          <w:sz w:val="24"/>
          <w:szCs w:val="24"/>
        </w:rPr>
      </w:pPr>
      <w:r>
        <w:rPr>
          <w:rFonts w:hint="eastAsia" w:ascii="宋体" w:hAnsi="宋体" w:eastAsia="宋体" w:cs="宋体"/>
          <w:b/>
          <w:bCs/>
          <w:sz w:val="24"/>
          <w:szCs w:val="24"/>
        </w:rPr>
        <w:t>解释</w:t>
      </w:r>
      <w:r>
        <w:rPr>
          <w:rFonts w:hint="eastAsia" w:ascii="宋体" w:hAnsi="宋体" w:eastAsia="宋体" w:cs="宋体"/>
          <w:sz w:val="24"/>
          <w:szCs w:val="24"/>
        </w:rPr>
        <w:t>：2025</w:t>
      </w:r>
      <w:r>
        <w:rPr>
          <w:rFonts w:hint="eastAsia" w:ascii="宋体" w:hAnsi="宋体" w:eastAsia="宋体" w:cs="宋体"/>
          <w:sz w:val="24"/>
          <w:szCs w:val="24"/>
        </w:rPr>
        <w:t xml:space="preserve"> </w:t>
      </w:r>
      <w:r>
        <w:rPr>
          <w:rFonts w:hint="eastAsia" w:ascii="宋体" w:hAnsi="宋体" w:eastAsia="宋体" w:cs="宋体"/>
          <w:sz w:val="24"/>
          <w:szCs w:val="24"/>
        </w:rPr>
        <w:t>年</w:t>
      </w:r>
      <w:r>
        <w:rPr>
          <w:rFonts w:hint="eastAsia" w:ascii="宋体" w:hAnsi="宋体" w:eastAsia="宋体" w:cs="宋体"/>
          <w:sz w:val="24"/>
          <w:szCs w:val="24"/>
        </w:rPr>
        <w:t xml:space="preserve"> Q3 </w:t>
      </w:r>
      <w:r>
        <w:rPr>
          <w:rFonts w:hint="eastAsia" w:ascii="宋体" w:hAnsi="宋体" w:eastAsia="宋体" w:cs="宋体"/>
          <w:sz w:val="24"/>
          <w:szCs w:val="24"/>
        </w:rPr>
        <w:t>存储芯片板块进入主升浪，策略重仓德明利、江波龙、佰维存储等个股，动量因子持续加码强势股放大了收益</w:t>
      </w:r>
      <w:r>
        <w:rPr>
          <w:rFonts w:hint="eastAsia" w:ascii="宋体" w:hAnsi="宋体" w:eastAsia="宋体" w:cs="宋体"/>
          <w:sz w:val="24"/>
          <w:szCs w:val="24"/>
        </w:rPr>
        <w:t xml:space="preserve"> (Jegadeesh &amp; Titman, 1993)。2025 </w:t>
      </w:r>
      <w:r>
        <w:rPr>
          <w:rFonts w:hint="eastAsia" w:ascii="宋体" w:hAnsi="宋体" w:eastAsia="宋体" w:cs="宋体"/>
          <w:sz w:val="24"/>
          <w:szCs w:val="24"/>
        </w:rPr>
        <w:t>年</w:t>
      </w:r>
      <w:r>
        <w:rPr>
          <w:rFonts w:hint="eastAsia" w:ascii="宋体" w:hAnsi="宋体" w:eastAsia="宋体" w:cs="宋体"/>
          <w:sz w:val="24"/>
          <w:szCs w:val="24"/>
        </w:rPr>
        <w:t xml:space="preserve"> Q4 </w:t>
      </w:r>
      <w:r>
        <w:rPr>
          <w:rFonts w:hint="eastAsia" w:ascii="宋体" w:hAnsi="宋体" w:eastAsia="宋体" w:cs="宋体"/>
          <w:sz w:val="24"/>
          <w:szCs w:val="24"/>
        </w:rPr>
        <w:t>板块集体回调时，无控制版本回撤急速扩大至</w:t>
      </w:r>
      <w:r>
        <w:rPr>
          <w:rFonts w:hint="eastAsia" w:ascii="宋体" w:hAnsi="宋体" w:eastAsia="宋体" w:cs="宋体"/>
          <w:sz w:val="24"/>
          <w:szCs w:val="24"/>
        </w:rPr>
        <w:t xml:space="preserve"> </w:t>
      </w:r>
      <w:r>
        <w:rPr>
          <w:rFonts w:hint="eastAsia" w:ascii="宋体" w:hAnsi="宋体" w:eastAsia="宋体" w:cs="宋体"/>
          <w:sz w:val="24"/>
          <w:szCs w:val="24"/>
        </w:rPr>
        <w:t>-48%，而</w:t>
      </w:r>
      <w:r>
        <w:rPr>
          <w:rFonts w:hint="eastAsia" w:ascii="宋体" w:hAnsi="宋体" w:eastAsia="宋体" w:cs="宋体"/>
          <w:sz w:val="24"/>
          <w:szCs w:val="24"/>
        </w:rPr>
        <w:t xml:space="preserve"> 15% </w:t>
      </w:r>
      <w:r>
        <w:rPr>
          <w:rFonts w:hint="eastAsia" w:ascii="宋体" w:hAnsi="宋体" w:eastAsia="宋体" w:cs="宋体"/>
          <w:sz w:val="24"/>
          <w:szCs w:val="24"/>
        </w:rPr>
        <w:t>阈值触发后自动减仓，将回撤截断在</w:t>
      </w:r>
      <w:r>
        <w:rPr>
          <w:rFonts w:hint="eastAsia" w:ascii="宋体" w:hAnsi="宋体" w:eastAsia="宋体" w:cs="宋体"/>
          <w:sz w:val="24"/>
          <w:szCs w:val="24"/>
        </w:rPr>
        <w:t xml:space="preserve"> -14.7%。2026 </w:t>
      </w:r>
      <w:r>
        <w:rPr>
          <w:rFonts w:hint="eastAsia" w:ascii="宋体" w:hAnsi="宋体" w:eastAsia="宋体" w:cs="宋体"/>
          <w:sz w:val="24"/>
          <w:szCs w:val="24"/>
        </w:rPr>
        <w:t>年</w:t>
      </w:r>
      <w:r>
        <w:rPr>
          <w:rFonts w:hint="eastAsia" w:ascii="宋体" w:hAnsi="宋体" w:eastAsia="宋体" w:cs="宋体"/>
          <w:sz w:val="24"/>
          <w:szCs w:val="24"/>
        </w:rPr>
        <w:t xml:space="preserve"> 3-4 </w:t>
      </w:r>
      <w:r>
        <w:rPr>
          <w:rFonts w:hint="eastAsia" w:ascii="宋体" w:hAnsi="宋体" w:eastAsia="宋体" w:cs="宋体"/>
          <w:sz w:val="24"/>
          <w:szCs w:val="24"/>
        </w:rPr>
        <w:t>月和</w:t>
      </w:r>
      <w:r>
        <w:rPr>
          <w:rFonts w:hint="eastAsia" w:ascii="宋体" w:hAnsi="宋体" w:eastAsia="宋体" w:cs="宋体"/>
          <w:sz w:val="24"/>
          <w:szCs w:val="24"/>
        </w:rPr>
        <w:t xml:space="preserve"> 7 </w:t>
      </w:r>
      <w:r>
        <w:rPr>
          <w:rFonts w:hint="eastAsia" w:ascii="宋体" w:hAnsi="宋体" w:eastAsia="宋体" w:cs="宋体"/>
          <w:sz w:val="24"/>
          <w:szCs w:val="24"/>
        </w:rPr>
        <w:t>月的科技股高位回调再次触发空仓，说明回撤控制在板块系统性下跌期间频繁介入。</w:t>
      </w:r>
    </w:p>
    <w:p w14:paraId="3DEAB553">
      <w:pPr>
        <w:pStyle w:val="3"/>
        <w:rPr>
          <w:rFonts w:hint="eastAsia" w:ascii="宋体" w:hAnsi="宋体" w:eastAsia="宋体" w:cs="宋体"/>
          <w:sz w:val="24"/>
          <w:szCs w:val="24"/>
        </w:rPr>
      </w:pPr>
      <w:r>
        <w:rPr>
          <w:rFonts w:hint="eastAsia" w:ascii="宋体" w:hAnsi="宋体" w:eastAsia="宋体" w:cs="宋体"/>
          <w:b/>
          <w:bCs/>
          <w:sz w:val="24"/>
          <w:szCs w:val="24"/>
        </w:rPr>
        <w:t>含义</w:t>
      </w:r>
      <w:r>
        <w:rPr>
          <w:rFonts w:hint="eastAsia" w:ascii="宋体" w:hAnsi="宋体" w:eastAsia="宋体" w:cs="宋体"/>
          <w:sz w:val="24"/>
          <w:szCs w:val="24"/>
        </w:rPr>
        <w:t>：回撤控制机制使最大回撤从</w:t>
      </w:r>
      <w:r>
        <w:rPr>
          <w:rFonts w:hint="eastAsia" w:ascii="宋体" w:hAnsi="宋体" w:eastAsia="宋体" w:cs="宋体"/>
          <w:sz w:val="24"/>
          <w:szCs w:val="24"/>
        </w:rPr>
        <w:t xml:space="preserve"> -48% </w:t>
      </w:r>
      <w:r>
        <w:rPr>
          <w:rFonts w:hint="eastAsia" w:ascii="宋体" w:hAnsi="宋体" w:eastAsia="宋体" w:cs="宋体"/>
          <w:sz w:val="24"/>
          <w:szCs w:val="24"/>
        </w:rPr>
        <w:t>收窄至</w:t>
      </w:r>
      <w:r>
        <w:rPr>
          <w:rFonts w:hint="eastAsia" w:ascii="宋体" w:hAnsi="宋体" w:eastAsia="宋体" w:cs="宋体"/>
          <w:sz w:val="24"/>
          <w:szCs w:val="24"/>
        </w:rPr>
        <w:t xml:space="preserve"> </w:t>
      </w:r>
      <w:r>
        <w:rPr>
          <w:rFonts w:hint="eastAsia" w:ascii="宋体" w:hAnsi="宋体" w:eastAsia="宋体" w:cs="宋体"/>
          <w:sz w:val="24"/>
          <w:szCs w:val="24"/>
        </w:rPr>
        <w:t>-14.7%，低于</w:t>
      </w:r>
      <w:r>
        <w:rPr>
          <w:rFonts w:hint="eastAsia" w:ascii="宋体" w:hAnsi="宋体" w:eastAsia="宋体" w:cs="宋体"/>
          <w:sz w:val="24"/>
          <w:szCs w:val="24"/>
        </w:rPr>
        <w:t xml:space="preserve"> 15% </w:t>
      </w:r>
      <w:r>
        <w:rPr>
          <w:rFonts w:hint="eastAsia" w:ascii="宋体" w:hAnsi="宋体" w:eastAsia="宋体" w:cs="宋体"/>
          <w:sz w:val="24"/>
          <w:szCs w:val="24"/>
        </w:rPr>
        <w:t>风控线，验证了风控规则的实用性。但</w:t>
      </w:r>
      <w:r>
        <w:rPr>
          <w:rFonts w:hint="eastAsia" w:ascii="宋体" w:hAnsi="宋体" w:eastAsia="宋体" w:cs="宋体"/>
          <w:sz w:val="24"/>
          <w:szCs w:val="24"/>
        </w:rPr>
        <w:t xml:space="preserve"> 32% </w:t>
      </w:r>
      <w:r>
        <w:rPr>
          <w:rFonts w:hint="eastAsia" w:ascii="宋体" w:hAnsi="宋体" w:eastAsia="宋体" w:cs="宋体"/>
          <w:sz w:val="24"/>
          <w:szCs w:val="24"/>
        </w:rPr>
        <w:t>的空仓占比意味着策略在震荡期会错过部分反弹机会，且”一刀切”式全仓转现金缺乏渐进过渡——在板块短期回调后快速反弹时（如</w:t>
      </w:r>
      <w:r>
        <w:rPr>
          <w:rFonts w:hint="eastAsia" w:ascii="宋体" w:hAnsi="宋体" w:eastAsia="宋体" w:cs="宋体"/>
          <w:sz w:val="24"/>
          <w:szCs w:val="24"/>
        </w:rPr>
        <w:t xml:space="preserve"> 2025 </w:t>
      </w:r>
      <w:r>
        <w:rPr>
          <w:rFonts w:hint="eastAsia" w:ascii="宋体" w:hAnsi="宋体" w:eastAsia="宋体" w:cs="宋体"/>
          <w:sz w:val="24"/>
          <w:szCs w:val="24"/>
        </w:rPr>
        <w:t>年</w:t>
      </w:r>
      <w:r>
        <w:rPr>
          <w:rFonts w:hint="eastAsia" w:ascii="宋体" w:hAnsi="宋体" w:eastAsia="宋体" w:cs="宋体"/>
          <w:sz w:val="24"/>
          <w:szCs w:val="24"/>
        </w:rPr>
        <w:t xml:space="preserve"> 4 </w:t>
      </w:r>
      <w:r>
        <w:rPr>
          <w:rFonts w:hint="eastAsia" w:ascii="宋体" w:hAnsi="宋体" w:eastAsia="宋体" w:cs="宋体"/>
          <w:sz w:val="24"/>
          <w:szCs w:val="24"/>
        </w:rPr>
        <w:t>月仅空仓</w:t>
      </w:r>
      <w:r>
        <w:rPr>
          <w:rFonts w:hint="eastAsia" w:ascii="宋体" w:hAnsi="宋体" w:eastAsia="宋体" w:cs="宋体"/>
          <w:sz w:val="24"/>
          <w:szCs w:val="24"/>
        </w:rPr>
        <w:t xml:space="preserve"> 17 </w:t>
      </w:r>
      <w:r>
        <w:rPr>
          <w:rFonts w:hint="eastAsia" w:ascii="宋体" w:hAnsi="宋体" w:eastAsia="宋体" w:cs="宋体"/>
          <w:sz w:val="24"/>
          <w:szCs w:val="24"/>
        </w:rPr>
        <w:t>天即恢复），可能产生不必要的切换成本。</w:t>
      </w:r>
    </w:p>
    <w:bookmarkEnd w:id="24"/>
    <w:p w14:paraId="4EC052EB">
      <w:pPr>
        <w:pStyle w:val="47"/>
        <w:rPr>
          <w:rFonts w:hint="eastAsia" w:ascii="宋体" w:hAnsi="宋体" w:eastAsia="宋体" w:cs="宋体"/>
          <w:sz w:val="24"/>
          <w:szCs w:val="24"/>
        </w:rPr>
      </w:pPr>
      <w:bookmarkStart w:id="25" w:name="图2月度收益热力图"/>
      <w:r>
        <w:rPr>
          <w:rFonts w:hint="eastAsia" w:ascii="宋体" w:hAnsi="宋体" w:eastAsia="宋体" w:cs="宋体"/>
          <w:sz w:val="24"/>
          <w:szCs w:val="24"/>
        </w:rPr>
        <w:drawing>
          <wp:inline distT="0" distB="0" distL="114300" distR="114300">
            <wp:extent cx="5334000" cy="2790190"/>
            <wp:effectExtent l="0" t="0" r="0" b="0"/>
            <wp:docPr id="39" name="Picture" descr="图2：月度收益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图2：月度收益热力图"/>
                    <pic:cNvPicPr>
                      <a:picLocks noChangeAspect="1" noChangeArrowheads="1"/>
                    </pic:cNvPicPr>
                  </pic:nvPicPr>
                  <pic:blipFill>
                    <a:blip r:embed="rId7"/>
                    <a:stretch>
                      <a:fillRect/>
                    </a:stretch>
                  </pic:blipFill>
                  <pic:spPr>
                    <a:xfrm>
                      <a:off x="0" y="0"/>
                      <a:ext cx="5334000" cy="2790384"/>
                    </a:xfrm>
                    <a:prstGeom prst="rect">
                      <a:avLst/>
                    </a:prstGeom>
                    <a:noFill/>
                    <a:ln w="9525">
                      <a:noFill/>
                    </a:ln>
                  </pic:spPr>
                </pic:pic>
              </a:graphicData>
            </a:graphic>
          </wp:inline>
        </w:drawing>
      </w:r>
    </w:p>
    <w:p w14:paraId="572D94A5">
      <w:pPr>
        <w:pStyle w:val="45"/>
        <w:jc w:val="center"/>
        <w:rPr>
          <w:rFonts w:hint="eastAsia" w:ascii="宋体" w:hAnsi="宋体" w:eastAsia="宋体" w:cs="宋体"/>
          <w:sz w:val="24"/>
          <w:szCs w:val="24"/>
        </w:rPr>
      </w:pPr>
      <w:r>
        <w:rPr>
          <w:rFonts w:hint="eastAsia" w:ascii="宋体" w:hAnsi="宋体" w:eastAsia="宋体" w:cs="宋体"/>
          <w:sz w:val="24"/>
          <w:szCs w:val="24"/>
        </w:rPr>
        <w:t>图2：月度收益热力图</w:t>
      </w:r>
    </w:p>
    <w:p w14:paraId="2618AAA0">
      <w:pPr>
        <w:pStyle w:val="3"/>
        <w:rPr>
          <w:rFonts w:hint="eastAsia" w:ascii="宋体" w:hAnsi="宋体" w:eastAsia="宋体" w:cs="宋体"/>
          <w:sz w:val="24"/>
          <w:szCs w:val="24"/>
        </w:rPr>
      </w:pPr>
      <w:r>
        <w:rPr>
          <w:rFonts w:hint="eastAsia" w:ascii="宋体" w:hAnsi="宋体" w:eastAsia="宋体" w:cs="宋体"/>
          <w:b/>
          <w:bCs/>
          <w:sz w:val="24"/>
          <w:szCs w:val="24"/>
        </w:rPr>
        <w:t>现象</w:t>
      </w:r>
      <w:r>
        <w:rPr>
          <w:rFonts w:hint="eastAsia" w:ascii="宋体" w:hAnsi="宋体" w:eastAsia="宋体" w:cs="宋体"/>
          <w:sz w:val="24"/>
          <w:szCs w:val="24"/>
        </w:rPr>
        <w:t>：2024年7-12月（预热期）月度收益均为0.0%，因60日动量和120日均线指标尚未就绪，策略空仓等待。2025年1月起策略开始运作，2025年9月（+46.0%）和2025年6月（+28.7%）为正收益高峰；2025年3月（-7.3%）和2026年7月（-7.3%）为负收益低谷。2025年8-10月连续三个月大幅正收益。</w:t>
      </w:r>
    </w:p>
    <w:p w14:paraId="2FBE57F1">
      <w:pPr>
        <w:pStyle w:val="3"/>
        <w:rPr>
          <w:rFonts w:hint="eastAsia" w:ascii="宋体" w:hAnsi="宋体" w:eastAsia="宋体" w:cs="宋体"/>
          <w:sz w:val="24"/>
          <w:szCs w:val="24"/>
        </w:rPr>
      </w:pPr>
      <w:r>
        <w:rPr>
          <w:rFonts w:hint="eastAsia" w:ascii="宋体" w:hAnsi="宋体" w:eastAsia="宋体" w:cs="宋体"/>
          <w:b/>
          <w:bCs/>
          <w:sz w:val="24"/>
          <w:szCs w:val="24"/>
        </w:rPr>
        <w:t>解释</w:t>
      </w:r>
      <w:r>
        <w:rPr>
          <w:rFonts w:hint="eastAsia" w:ascii="宋体" w:hAnsi="宋体" w:eastAsia="宋体" w:cs="宋体"/>
          <w:sz w:val="24"/>
          <w:szCs w:val="24"/>
        </w:rPr>
        <w:t>：2025年Q3存储芯片和半导体板块进入主升浪，策略重仓相关个股获取了极高的月度收益。2026年7月的回撤同样源于科技股高位回调。</w:t>
      </w:r>
    </w:p>
    <w:p w14:paraId="3C229D1B">
      <w:pPr>
        <w:pStyle w:val="3"/>
        <w:rPr>
          <w:rFonts w:hint="eastAsia" w:ascii="宋体" w:hAnsi="宋体" w:eastAsia="宋体" w:cs="宋体"/>
          <w:sz w:val="24"/>
          <w:szCs w:val="24"/>
        </w:rPr>
      </w:pPr>
      <w:r>
        <w:rPr>
          <w:rFonts w:hint="eastAsia" w:ascii="宋体" w:hAnsi="宋体" w:eastAsia="宋体" w:cs="宋体"/>
          <w:b/>
          <w:bCs/>
          <w:sz w:val="24"/>
          <w:szCs w:val="24"/>
        </w:rPr>
        <w:t>含义</w:t>
      </w:r>
      <w:r>
        <w:rPr>
          <w:rFonts w:hint="eastAsia" w:ascii="宋体" w:hAnsi="宋体" w:eastAsia="宋体" w:cs="宋体"/>
          <w:sz w:val="24"/>
          <w:szCs w:val="24"/>
        </w:rPr>
        <w:t>：策略收益高度集中于少数月份和少数板块，存在风格暴露集中的风险。</w:t>
      </w:r>
    </w:p>
    <w:bookmarkEnd w:id="20"/>
    <w:bookmarkEnd w:id="23"/>
    <w:bookmarkEnd w:id="25"/>
    <w:p w14:paraId="74339537">
      <w:pPr>
        <w:pStyle w:val="2"/>
        <w:rPr>
          <w:rFonts w:hint="eastAsia" w:ascii="宋体" w:hAnsi="宋体" w:eastAsia="宋体" w:cs="宋体"/>
          <w:sz w:val="24"/>
          <w:szCs w:val="24"/>
        </w:rPr>
      </w:pPr>
      <w:bookmarkStart w:id="26" w:name="第5章-细分分析"/>
      <w:r>
        <w:rPr>
          <w:rFonts w:hint="eastAsia" w:ascii="宋体" w:hAnsi="宋体" w:eastAsia="宋体" w:cs="宋体"/>
          <w:sz w:val="24"/>
          <w:szCs w:val="24"/>
        </w:rPr>
        <w:t>第5章</w:t>
      </w:r>
      <w:r>
        <w:rPr>
          <w:rFonts w:hint="eastAsia" w:ascii="宋体" w:hAnsi="宋体" w:eastAsia="宋体" w:cs="宋体"/>
          <w:sz w:val="24"/>
          <w:szCs w:val="24"/>
        </w:rPr>
        <w:t xml:space="preserve"> </w:t>
      </w:r>
      <w:r>
        <w:rPr>
          <w:rFonts w:hint="eastAsia" w:ascii="宋体" w:hAnsi="宋体" w:eastAsia="宋体" w:cs="宋体"/>
          <w:sz w:val="24"/>
          <w:szCs w:val="24"/>
        </w:rPr>
        <w:t>细分分析</w:t>
      </w:r>
    </w:p>
    <w:p w14:paraId="4928C1C1">
      <w:pPr>
        <w:pStyle w:val="4"/>
        <w:rPr>
          <w:rFonts w:hint="eastAsia" w:ascii="宋体" w:hAnsi="宋体" w:eastAsia="宋体" w:cs="宋体"/>
          <w:sz w:val="24"/>
          <w:szCs w:val="24"/>
        </w:rPr>
      </w:pPr>
      <w:bookmarkStart w:id="27" w:name="聚焦10只个股表现表"/>
      <w:r>
        <w:rPr>
          <w:rFonts w:hint="eastAsia" w:ascii="宋体" w:hAnsi="宋体" w:eastAsia="宋体" w:cs="宋体"/>
          <w:sz w:val="24"/>
          <w:szCs w:val="24"/>
        </w:rPr>
        <w:t xml:space="preserve">5.1 </w:t>
      </w:r>
      <w:r>
        <w:rPr>
          <w:rFonts w:hint="eastAsia" w:ascii="宋体" w:hAnsi="宋体" w:eastAsia="宋体" w:cs="宋体"/>
          <w:sz w:val="24"/>
          <w:szCs w:val="24"/>
        </w:rPr>
        <w:t>聚焦10只个股表现表</w:t>
      </w:r>
    </w:p>
    <w:p w14:paraId="0DECBF67">
      <w:pPr>
        <w:pStyle w:val="23"/>
        <w:rPr>
          <w:rFonts w:hint="eastAsia" w:ascii="宋体" w:hAnsi="宋体" w:eastAsia="宋体" w:cs="宋体"/>
          <w:sz w:val="24"/>
          <w:szCs w:val="24"/>
        </w:rPr>
      </w:pPr>
      <w:r>
        <w:rPr>
          <w:rFonts w:hint="eastAsia" w:ascii="宋体" w:hAnsi="宋体" w:eastAsia="宋体" w:cs="宋体"/>
          <w:sz w:val="24"/>
          <w:szCs w:val="24"/>
        </w:rPr>
        <w:t>以下为策略期间（2025-01-27</w:t>
      </w:r>
      <w:r>
        <w:rPr>
          <w:rFonts w:hint="eastAsia" w:ascii="宋体" w:hAnsi="宋体" w:eastAsia="宋体" w:cs="宋体"/>
          <w:sz w:val="24"/>
          <w:szCs w:val="24"/>
        </w:rPr>
        <w:t xml:space="preserve"> ~ </w:t>
      </w:r>
      <w:r>
        <w:rPr>
          <w:rFonts w:hint="eastAsia" w:ascii="宋体" w:hAnsi="宋体" w:eastAsia="宋体" w:cs="宋体"/>
          <w:sz w:val="24"/>
          <w:szCs w:val="24"/>
        </w:rPr>
        <w:t>2026-07-21）入选次数排名前10的个股表现，按区间收益排序：</w:t>
      </w:r>
    </w:p>
    <w:tbl>
      <w:tblPr>
        <w:tblStyle w:val="41"/>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35C38E07">
        <w:trPr>
          <w:tblHeader/>
        </w:trPr>
        <w:tc>
          <w:p w14:paraId="37B13C97">
            <w:pPr>
              <w:pStyle w:val="24"/>
              <w:jc w:val="left"/>
              <w:rPr>
                <w:rFonts w:hint="eastAsia" w:ascii="宋体" w:hAnsi="宋体" w:eastAsia="宋体" w:cs="宋体"/>
                <w:sz w:val="24"/>
                <w:szCs w:val="24"/>
              </w:rPr>
            </w:pPr>
            <w:r>
              <w:rPr>
                <w:rFonts w:hint="eastAsia" w:ascii="宋体" w:hAnsi="宋体" w:eastAsia="宋体" w:cs="宋体"/>
                <w:sz w:val="24"/>
                <w:szCs w:val="24"/>
              </w:rPr>
              <w:t>代码</w:t>
            </w:r>
          </w:p>
        </w:tc>
        <w:tc>
          <w:p w14:paraId="43D50BD1">
            <w:pPr>
              <w:pStyle w:val="24"/>
              <w:jc w:val="left"/>
              <w:rPr>
                <w:rFonts w:hint="eastAsia" w:ascii="宋体" w:hAnsi="宋体" w:eastAsia="宋体" w:cs="宋体"/>
                <w:sz w:val="24"/>
                <w:szCs w:val="24"/>
              </w:rPr>
            </w:pPr>
            <w:r>
              <w:rPr>
                <w:rFonts w:hint="eastAsia" w:ascii="宋体" w:hAnsi="宋体" w:eastAsia="宋体" w:cs="宋体"/>
                <w:sz w:val="24"/>
                <w:szCs w:val="24"/>
              </w:rPr>
              <w:t>名称</w:t>
            </w:r>
          </w:p>
        </w:tc>
        <w:tc>
          <w:p w14:paraId="2C9AA88A">
            <w:pPr>
              <w:pStyle w:val="24"/>
              <w:jc w:val="left"/>
              <w:rPr>
                <w:rFonts w:hint="eastAsia" w:ascii="宋体" w:hAnsi="宋体" w:eastAsia="宋体" w:cs="宋体"/>
                <w:sz w:val="24"/>
                <w:szCs w:val="24"/>
              </w:rPr>
            </w:pPr>
            <w:r>
              <w:rPr>
                <w:rFonts w:hint="eastAsia" w:ascii="宋体" w:hAnsi="宋体" w:eastAsia="宋体" w:cs="宋体"/>
                <w:sz w:val="24"/>
                <w:szCs w:val="24"/>
              </w:rPr>
              <w:t>行业</w:t>
            </w:r>
          </w:p>
        </w:tc>
        <w:tc>
          <w:p w14:paraId="299E44E3">
            <w:pPr>
              <w:pStyle w:val="24"/>
              <w:jc w:val="right"/>
              <w:rPr>
                <w:rFonts w:hint="eastAsia" w:ascii="宋体" w:hAnsi="宋体" w:eastAsia="宋体" w:cs="宋体"/>
                <w:sz w:val="24"/>
                <w:szCs w:val="24"/>
              </w:rPr>
            </w:pPr>
            <w:r>
              <w:rPr>
                <w:rFonts w:hint="eastAsia" w:ascii="宋体" w:hAnsi="宋体" w:eastAsia="宋体" w:cs="宋体"/>
                <w:sz w:val="24"/>
                <w:szCs w:val="24"/>
              </w:rPr>
              <w:t>区间收益</w:t>
            </w:r>
          </w:p>
        </w:tc>
        <w:tc>
          <w:p w14:paraId="1DDD0399">
            <w:pPr>
              <w:pStyle w:val="24"/>
              <w:jc w:val="right"/>
              <w:rPr>
                <w:rFonts w:hint="eastAsia" w:ascii="宋体" w:hAnsi="宋体" w:eastAsia="宋体" w:cs="宋体"/>
                <w:sz w:val="24"/>
                <w:szCs w:val="24"/>
              </w:rPr>
            </w:pPr>
            <w:r>
              <w:rPr>
                <w:rFonts w:hint="eastAsia" w:ascii="宋体" w:hAnsi="宋体" w:eastAsia="宋体" w:cs="宋体"/>
                <w:sz w:val="24"/>
                <w:szCs w:val="24"/>
              </w:rPr>
              <w:t>最大回撤</w:t>
            </w:r>
          </w:p>
        </w:tc>
        <w:tc>
          <w:p w14:paraId="46A0C871">
            <w:pPr>
              <w:pStyle w:val="24"/>
              <w:jc w:val="right"/>
              <w:rPr>
                <w:rFonts w:hint="eastAsia" w:ascii="宋体" w:hAnsi="宋体" w:eastAsia="宋体" w:cs="宋体"/>
                <w:sz w:val="24"/>
                <w:szCs w:val="24"/>
              </w:rPr>
            </w:pPr>
            <w:r>
              <w:rPr>
                <w:rFonts w:hint="eastAsia" w:ascii="宋体" w:hAnsi="宋体" w:eastAsia="宋体" w:cs="宋体"/>
                <w:sz w:val="24"/>
                <w:szCs w:val="24"/>
              </w:rPr>
              <w:t>夏普比率</w:t>
            </w:r>
          </w:p>
        </w:tc>
        <w:tc>
          <w:p w14:paraId="0BEC3FE7">
            <w:pPr>
              <w:pStyle w:val="24"/>
              <w:jc w:val="right"/>
              <w:rPr>
                <w:rFonts w:hint="eastAsia" w:ascii="宋体" w:hAnsi="宋体" w:eastAsia="宋体" w:cs="宋体"/>
                <w:sz w:val="24"/>
                <w:szCs w:val="24"/>
              </w:rPr>
            </w:pPr>
            <w:r>
              <w:rPr>
                <w:rFonts w:hint="eastAsia" w:ascii="宋体" w:hAnsi="宋体" w:eastAsia="宋体" w:cs="宋体"/>
                <w:sz w:val="24"/>
                <w:szCs w:val="24"/>
              </w:rPr>
              <w:t>入选次数</w:t>
            </w:r>
          </w:p>
        </w:tc>
        <w:tc>
          <w:p w14:paraId="38377ED9">
            <w:pPr>
              <w:pStyle w:val="24"/>
              <w:jc w:val="left"/>
              <w:rPr>
                <w:rFonts w:hint="eastAsia" w:ascii="宋体" w:hAnsi="宋体" w:eastAsia="宋体" w:cs="宋体"/>
                <w:sz w:val="24"/>
                <w:szCs w:val="24"/>
              </w:rPr>
            </w:pPr>
            <w:r>
              <w:rPr>
                <w:rFonts w:hint="eastAsia" w:ascii="宋体" w:hAnsi="宋体" w:eastAsia="宋体" w:cs="宋体"/>
                <w:sz w:val="24"/>
                <w:szCs w:val="24"/>
              </w:rPr>
              <w:t>简要评价</w:t>
            </w:r>
          </w:p>
        </w:tc>
      </w:tr>
      <w:tr w14:paraId="5DB14832">
        <w:tc>
          <w:p w14:paraId="2644ED26">
            <w:pPr>
              <w:pStyle w:val="24"/>
              <w:jc w:val="left"/>
              <w:rPr>
                <w:rFonts w:hint="eastAsia" w:ascii="宋体" w:hAnsi="宋体" w:eastAsia="宋体" w:cs="宋体"/>
                <w:sz w:val="24"/>
                <w:szCs w:val="24"/>
              </w:rPr>
            </w:pPr>
            <w:r>
              <w:rPr>
                <w:rFonts w:hint="eastAsia" w:ascii="宋体" w:hAnsi="宋体" w:eastAsia="宋体" w:cs="宋体"/>
                <w:sz w:val="24"/>
                <w:szCs w:val="24"/>
              </w:rPr>
              <w:t>001309.SZ</w:t>
            </w:r>
          </w:p>
        </w:tc>
        <w:tc>
          <w:p w14:paraId="77AF0A38">
            <w:pPr>
              <w:pStyle w:val="24"/>
              <w:jc w:val="left"/>
              <w:rPr>
                <w:rFonts w:hint="eastAsia" w:ascii="宋体" w:hAnsi="宋体" w:eastAsia="宋体" w:cs="宋体"/>
                <w:sz w:val="24"/>
                <w:szCs w:val="24"/>
              </w:rPr>
            </w:pPr>
            <w:r>
              <w:rPr>
                <w:rFonts w:hint="eastAsia" w:ascii="宋体" w:hAnsi="宋体" w:eastAsia="宋体" w:cs="宋体"/>
                <w:sz w:val="24"/>
                <w:szCs w:val="24"/>
              </w:rPr>
              <w:t>德明利</w:t>
            </w:r>
          </w:p>
        </w:tc>
        <w:tc>
          <w:p w14:paraId="03F40575">
            <w:pPr>
              <w:pStyle w:val="24"/>
              <w:jc w:val="left"/>
              <w:rPr>
                <w:rFonts w:hint="eastAsia" w:ascii="宋体" w:hAnsi="宋体" w:eastAsia="宋体" w:cs="宋体"/>
                <w:sz w:val="24"/>
                <w:szCs w:val="24"/>
              </w:rPr>
            </w:pPr>
            <w:r>
              <w:rPr>
                <w:rFonts w:hint="eastAsia" w:ascii="宋体" w:hAnsi="宋体" w:eastAsia="宋体" w:cs="宋体"/>
                <w:sz w:val="24"/>
                <w:szCs w:val="24"/>
              </w:rPr>
              <w:t>半导体</w:t>
            </w:r>
          </w:p>
        </w:tc>
        <w:tc>
          <w:p w14:paraId="4F9369C1">
            <w:pPr>
              <w:pStyle w:val="24"/>
              <w:jc w:val="right"/>
              <w:rPr>
                <w:rFonts w:hint="eastAsia" w:ascii="宋体" w:hAnsi="宋体" w:eastAsia="宋体" w:cs="宋体"/>
                <w:sz w:val="24"/>
                <w:szCs w:val="24"/>
              </w:rPr>
            </w:pPr>
            <w:r>
              <w:rPr>
                <w:rFonts w:hint="eastAsia" w:ascii="宋体" w:hAnsi="宋体" w:eastAsia="宋体" w:cs="宋体"/>
                <w:sz w:val="24"/>
                <w:szCs w:val="24"/>
              </w:rPr>
              <w:t>+718.5%</w:t>
            </w:r>
          </w:p>
        </w:tc>
        <w:tc>
          <w:p w14:paraId="654052DF">
            <w:pPr>
              <w:pStyle w:val="24"/>
              <w:jc w:val="right"/>
              <w:rPr>
                <w:rFonts w:hint="eastAsia" w:ascii="宋体" w:hAnsi="宋体" w:eastAsia="宋体" w:cs="宋体"/>
                <w:sz w:val="24"/>
                <w:szCs w:val="24"/>
              </w:rPr>
            </w:pPr>
            <w:r>
              <w:rPr>
                <w:rFonts w:hint="eastAsia" w:ascii="宋体" w:hAnsi="宋体" w:eastAsia="宋体" w:cs="宋体"/>
                <w:sz w:val="24"/>
                <w:szCs w:val="24"/>
              </w:rPr>
              <w:t>-50.2%</w:t>
            </w:r>
          </w:p>
        </w:tc>
        <w:tc>
          <w:p w14:paraId="623AC1CE">
            <w:pPr>
              <w:pStyle w:val="24"/>
              <w:jc w:val="right"/>
              <w:rPr>
                <w:rFonts w:hint="eastAsia" w:ascii="宋体" w:hAnsi="宋体" w:eastAsia="宋体" w:cs="宋体"/>
                <w:sz w:val="24"/>
                <w:szCs w:val="24"/>
              </w:rPr>
            </w:pPr>
            <w:r>
              <w:rPr>
                <w:rFonts w:hint="eastAsia" w:ascii="宋体" w:hAnsi="宋体" w:eastAsia="宋体" w:cs="宋体"/>
                <w:sz w:val="24"/>
                <w:szCs w:val="24"/>
              </w:rPr>
              <w:t>1.90</w:t>
            </w:r>
          </w:p>
        </w:tc>
        <w:tc>
          <w:p w14:paraId="46EE4FE7">
            <w:pPr>
              <w:pStyle w:val="24"/>
              <w:jc w:val="right"/>
              <w:rPr>
                <w:rFonts w:hint="eastAsia" w:ascii="宋体" w:hAnsi="宋体" w:eastAsia="宋体" w:cs="宋体"/>
                <w:sz w:val="24"/>
                <w:szCs w:val="24"/>
              </w:rPr>
            </w:pPr>
            <w:r>
              <w:rPr>
                <w:rFonts w:hint="eastAsia" w:ascii="宋体" w:hAnsi="宋体" w:eastAsia="宋体" w:cs="宋体"/>
                <w:sz w:val="24"/>
                <w:szCs w:val="24"/>
              </w:rPr>
              <w:t>16</w:t>
            </w:r>
          </w:p>
        </w:tc>
        <w:tc>
          <w:p w14:paraId="2D2152AE">
            <w:pPr>
              <w:pStyle w:val="24"/>
              <w:jc w:val="left"/>
              <w:rPr>
                <w:rFonts w:hint="eastAsia" w:ascii="宋体" w:hAnsi="宋体" w:eastAsia="宋体" w:cs="宋体"/>
                <w:sz w:val="24"/>
                <w:szCs w:val="24"/>
              </w:rPr>
            </w:pPr>
            <w:r>
              <w:rPr>
                <w:rFonts w:hint="eastAsia" w:ascii="宋体" w:hAnsi="宋体" w:eastAsia="宋体" w:cs="宋体"/>
                <w:sz w:val="24"/>
                <w:szCs w:val="24"/>
              </w:rPr>
              <w:t>存储芯片龙头，策略核心持仓，收益最强</w:t>
            </w:r>
          </w:p>
        </w:tc>
      </w:tr>
      <w:tr w14:paraId="0297AE5C">
        <w:tc>
          <w:p w14:paraId="565B86EE">
            <w:pPr>
              <w:pStyle w:val="24"/>
              <w:jc w:val="left"/>
              <w:rPr>
                <w:rFonts w:hint="eastAsia" w:ascii="宋体" w:hAnsi="宋体" w:eastAsia="宋体" w:cs="宋体"/>
                <w:sz w:val="24"/>
                <w:szCs w:val="24"/>
              </w:rPr>
            </w:pPr>
            <w:r>
              <w:rPr>
                <w:rFonts w:hint="eastAsia" w:ascii="宋体" w:hAnsi="宋体" w:eastAsia="宋体" w:cs="宋体"/>
                <w:sz w:val="24"/>
                <w:szCs w:val="24"/>
              </w:rPr>
              <w:t>688766.SH</w:t>
            </w:r>
          </w:p>
        </w:tc>
        <w:tc>
          <w:p w14:paraId="4CDA8BE6">
            <w:pPr>
              <w:pStyle w:val="24"/>
              <w:jc w:val="left"/>
              <w:rPr>
                <w:rFonts w:hint="eastAsia" w:ascii="宋体" w:hAnsi="宋体" w:eastAsia="宋体" w:cs="宋体"/>
                <w:sz w:val="24"/>
                <w:szCs w:val="24"/>
              </w:rPr>
            </w:pPr>
            <w:r>
              <w:rPr>
                <w:rFonts w:hint="eastAsia" w:ascii="宋体" w:hAnsi="宋体" w:eastAsia="宋体" w:cs="宋体"/>
                <w:sz w:val="24"/>
                <w:szCs w:val="24"/>
              </w:rPr>
              <w:t>普冉股份</w:t>
            </w:r>
          </w:p>
        </w:tc>
        <w:tc>
          <w:p w14:paraId="645F20F4">
            <w:pPr>
              <w:pStyle w:val="24"/>
              <w:jc w:val="left"/>
              <w:rPr>
                <w:rFonts w:hint="eastAsia" w:ascii="宋体" w:hAnsi="宋体" w:eastAsia="宋体" w:cs="宋体"/>
                <w:sz w:val="24"/>
                <w:szCs w:val="24"/>
              </w:rPr>
            </w:pPr>
            <w:r>
              <w:rPr>
                <w:rFonts w:hint="eastAsia" w:ascii="宋体" w:hAnsi="宋体" w:eastAsia="宋体" w:cs="宋体"/>
                <w:sz w:val="24"/>
                <w:szCs w:val="24"/>
              </w:rPr>
              <w:t>半导体</w:t>
            </w:r>
          </w:p>
        </w:tc>
        <w:tc>
          <w:p w14:paraId="7D4FB6BB">
            <w:pPr>
              <w:pStyle w:val="24"/>
              <w:jc w:val="right"/>
              <w:rPr>
                <w:rFonts w:hint="eastAsia" w:ascii="宋体" w:hAnsi="宋体" w:eastAsia="宋体" w:cs="宋体"/>
                <w:sz w:val="24"/>
                <w:szCs w:val="24"/>
              </w:rPr>
            </w:pPr>
            <w:r>
              <w:rPr>
                <w:rFonts w:hint="eastAsia" w:ascii="宋体" w:hAnsi="宋体" w:eastAsia="宋体" w:cs="宋体"/>
                <w:sz w:val="24"/>
                <w:szCs w:val="24"/>
              </w:rPr>
              <w:t>+662.1%</w:t>
            </w:r>
          </w:p>
        </w:tc>
        <w:tc>
          <w:p w14:paraId="251C0701">
            <w:pPr>
              <w:pStyle w:val="24"/>
              <w:jc w:val="right"/>
              <w:rPr>
                <w:rFonts w:hint="eastAsia" w:ascii="宋体" w:hAnsi="宋体" w:eastAsia="宋体" w:cs="宋体"/>
                <w:sz w:val="24"/>
                <w:szCs w:val="24"/>
              </w:rPr>
            </w:pPr>
            <w:r>
              <w:rPr>
                <w:rFonts w:hint="eastAsia" w:ascii="宋体" w:hAnsi="宋体" w:eastAsia="宋体" w:cs="宋体"/>
                <w:sz w:val="24"/>
                <w:szCs w:val="24"/>
              </w:rPr>
              <w:t>-54.0%</w:t>
            </w:r>
          </w:p>
        </w:tc>
        <w:tc>
          <w:p w14:paraId="0F1B73EF">
            <w:pPr>
              <w:pStyle w:val="24"/>
              <w:jc w:val="right"/>
              <w:rPr>
                <w:rFonts w:hint="eastAsia" w:ascii="宋体" w:hAnsi="宋体" w:eastAsia="宋体" w:cs="宋体"/>
                <w:sz w:val="24"/>
                <w:szCs w:val="24"/>
              </w:rPr>
            </w:pPr>
            <w:r>
              <w:rPr>
                <w:rFonts w:hint="eastAsia" w:ascii="宋体" w:hAnsi="宋体" w:eastAsia="宋体" w:cs="宋体"/>
                <w:sz w:val="24"/>
                <w:szCs w:val="24"/>
              </w:rPr>
              <w:t>1.65</w:t>
            </w:r>
          </w:p>
        </w:tc>
        <w:tc>
          <w:p w14:paraId="1CF75DDB">
            <w:pPr>
              <w:pStyle w:val="24"/>
              <w:jc w:val="right"/>
              <w:rPr>
                <w:rFonts w:hint="eastAsia" w:ascii="宋体" w:hAnsi="宋体" w:eastAsia="宋体" w:cs="宋体"/>
                <w:sz w:val="24"/>
                <w:szCs w:val="24"/>
              </w:rPr>
            </w:pPr>
            <w:r>
              <w:rPr>
                <w:rFonts w:hint="eastAsia" w:ascii="宋体" w:hAnsi="宋体" w:eastAsia="宋体" w:cs="宋体"/>
                <w:sz w:val="24"/>
                <w:szCs w:val="24"/>
              </w:rPr>
              <w:t>5</w:t>
            </w:r>
          </w:p>
        </w:tc>
        <w:tc>
          <w:p w14:paraId="05BC7CCF">
            <w:pPr>
              <w:pStyle w:val="24"/>
              <w:jc w:val="left"/>
              <w:rPr>
                <w:rFonts w:hint="eastAsia" w:ascii="宋体" w:hAnsi="宋体" w:eastAsia="宋体" w:cs="宋体"/>
                <w:sz w:val="24"/>
                <w:szCs w:val="24"/>
              </w:rPr>
            </w:pPr>
            <w:r>
              <w:rPr>
                <w:rFonts w:hint="eastAsia" w:ascii="宋体" w:hAnsi="宋体" w:eastAsia="宋体" w:cs="宋体"/>
                <w:sz w:val="24"/>
                <w:szCs w:val="24"/>
              </w:rPr>
              <w:t>存储芯片高弹性，波动大</w:t>
            </w:r>
          </w:p>
        </w:tc>
      </w:tr>
      <w:tr w14:paraId="64AAA122">
        <w:tc>
          <w:p w14:paraId="3144CD5D">
            <w:pPr>
              <w:pStyle w:val="24"/>
              <w:jc w:val="left"/>
              <w:rPr>
                <w:rFonts w:hint="eastAsia" w:ascii="宋体" w:hAnsi="宋体" w:eastAsia="宋体" w:cs="宋体"/>
                <w:sz w:val="24"/>
                <w:szCs w:val="24"/>
              </w:rPr>
            </w:pPr>
            <w:r>
              <w:rPr>
                <w:rFonts w:hint="eastAsia" w:ascii="宋体" w:hAnsi="宋体" w:eastAsia="宋体" w:cs="宋体"/>
                <w:sz w:val="24"/>
                <w:szCs w:val="24"/>
              </w:rPr>
              <w:t>603986.SH</w:t>
            </w:r>
          </w:p>
        </w:tc>
        <w:tc>
          <w:p w14:paraId="00B5AF65">
            <w:pPr>
              <w:pStyle w:val="24"/>
              <w:jc w:val="left"/>
              <w:rPr>
                <w:rFonts w:hint="eastAsia" w:ascii="宋体" w:hAnsi="宋体" w:eastAsia="宋体" w:cs="宋体"/>
                <w:sz w:val="24"/>
                <w:szCs w:val="24"/>
              </w:rPr>
            </w:pPr>
            <w:r>
              <w:rPr>
                <w:rFonts w:hint="eastAsia" w:ascii="宋体" w:hAnsi="宋体" w:eastAsia="宋体" w:cs="宋体"/>
                <w:sz w:val="24"/>
                <w:szCs w:val="24"/>
              </w:rPr>
              <w:t>兆易创新</w:t>
            </w:r>
          </w:p>
        </w:tc>
        <w:tc>
          <w:p w14:paraId="0FE558F1">
            <w:pPr>
              <w:pStyle w:val="24"/>
              <w:jc w:val="left"/>
              <w:rPr>
                <w:rFonts w:hint="eastAsia" w:ascii="宋体" w:hAnsi="宋体" w:eastAsia="宋体" w:cs="宋体"/>
                <w:sz w:val="24"/>
                <w:szCs w:val="24"/>
              </w:rPr>
            </w:pPr>
            <w:r>
              <w:rPr>
                <w:rFonts w:hint="eastAsia" w:ascii="宋体" w:hAnsi="宋体" w:eastAsia="宋体" w:cs="宋体"/>
                <w:sz w:val="24"/>
                <w:szCs w:val="24"/>
              </w:rPr>
              <w:t>半导体</w:t>
            </w:r>
          </w:p>
        </w:tc>
        <w:tc>
          <w:p w14:paraId="4C08B86F">
            <w:pPr>
              <w:pStyle w:val="24"/>
              <w:jc w:val="right"/>
              <w:rPr>
                <w:rFonts w:hint="eastAsia" w:ascii="宋体" w:hAnsi="宋体" w:eastAsia="宋体" w:cs="宋体"/>
                <w:sz w:val="24"/>
                <w:szCs w:val="24"/>
              </w:rPr>
            </w:pPr>
            <w:r>
              <w:rPr>
                <w:rFonts w:hint="eastAsia" w:ascii="宋体" w:hAnsi="宋体" w:eastAsia="宋体" w:cs="宋体"/>
                <w:sz w:val="24"/>
                <w:szCs w:val="24"/>
              </w:rPr>
              <w:t>+397.5%</w:t>
            </w:r>
          </w:p>
        </w:tc>
        <w:tc>
          <w:p w14:paraId="530E9FD1">
            <w:pPr>
              <w:pStyle w:val="24"/>
              <w:jc w:val="right"/>
              <w:rPr>
                <w:rFonts w:hint="eastAsia" w:ascii="宋体" w:hAnsi="宋体" w:eastAsia="宋体" w:cs="宋体"/>
                <w:sz w:val="24"/>
                <w:szCs w:val="24"/>
              </w:rPr>
            </w:pPr>
            <w:r>
              <w:rPr>
                <w:rFonts w:hint="eastAsia" w:ascii="宋体" w:hAnsi="宋体" w:eastAsia="宋体" w:cs="宋体"/>
                <w:sz w:val="24"/>
                <w:szCs w:val="24"/>
              </w:rPr>
              <w:t>-48.5%</w:t>
            </w:r>
          </w:p>
        </w:tc>
        <w:tc>
          <w:p w14:paraId="3BE7E5EB">
            <w:pPr>
              <w:pStyle w:val="24"/>
              <w:jc w:val="right"/>
              <w:rPr>
                <w:rFonts w:hint="eastAsia" w:ascii="宋体" w:hAnsi="宋体" w:eastAsia="宋体" w:cs="宋体"/>
                <w:sz w:val="24"/>
                <w:szCs w:val="24"/>
              </w:rPr>
            </w:pPr>
            <w:r>
              <w:rPr>
                <w:rFonts w:hint="eastAsia" w:ascii="宋体" w:hAnsi="宋体" w:eastAsia="宋体" w:cs="宋体"/>
                <w:sz w:val="24"/>
                <w:szCs w:val="24"/>
              </w:rPr>
              <w:t>1.60</w:t>
            </w:r>
          </w:p>
        </w:tc>
        <w:tc>
          <w:p w14:paraId="3A1009E5">
            <w:pPr>
              <w:pStyle w:val="24"/>
              <w:jc w:val="right"/>
              <w:rPr>
                <w:rFonts w:hint="eastAsia" w:ascii="宋体" w:hAnsi="宋体" w:eastAsia="宋体" w:cs="宋体"/>
                <w:sz w:val="24"/>
                <w:szCs w:val="24"/>
              </w:rPr>
            </w:pPr>
            <w:r>
              <w:rPr>
                <w:rFonts w:hint="eastAsia" w:ascii="宋体" w:hAnsi="宋体" w:eastAsia="宋体" w:cs="宋体"/>
                <w:sz w:val="24"/>
                <w:szCs w:val="24"/>
              </w:rPr>
              <w:t>5</w:t>
            </w:r>
          </w:p>
        </w:tc>
        <w:tc>
          <w:p w14:paraId="50F50FF6">
            <w:pPr>
              <w:pStyle w:val="24"/>
              <w:jc w:val="left"/>
              <w:rPr>
                <w:rFonts w:hint="eastAsia" w:ascii="宋体" w:hAnsi="宋体" w:eastAsia="宋体" w:cs="宋体"/>
                <w:sz w:val="24"/>
                <w:szCs w:val="24"/>
              </w:rPr>
            </w:pPr>
            <w:r>
              <w:rPr>
                <w:rFonts w:hint="eastAsia" w:ascii="宋体" w:hAnsi="宋体" w:eastAsia="宋体" w:cs="宋体"/>
                <w:sz w:val="24"/>
                <w:szCs w:val="24"/>
              </w:rPr>
              <w:t>芯片设计，动量驱动入选</w:t>
            </w:r>
          </w:p>
        </w:tc>
      </w:tr>
      <w:tr w14:paraId="319CDA7D">
        <w:tc>
          <w:p w14:paraId="6325568C">
            <w:pPr>
              <w:pStyle w:val="24"/>
              <w:jc w:val="left"/>
              <w:rPr>
                <w:rFonts w:hint="eastAsia" w:ascii="宋体" w:hAnsi="宋体" w:eastAsia="宋体" w:cs="宋体"/>
                <w:sz w:val="24"/>
                <w:szCs w:val="24"/>
              </w:rPr>
            </w:pPr>
            <w:r>
              <w:rPr>
                <w:rFonts w:hint="eastAsia" w:ascii="宋体" w:hAnsi="宋体" w:eastAsia="宋体" w:cs="宋体"/>
                <w:sz w:val="24"/>
                <w:szCs w:val="24"/>
              </w:rPr>
              <w:t>688525.SH</w:t>
            </w:r>
          </w:p>
        </w:tc>
        <w:tc>
          <w:p w14:paraId="3886EB64">
            <w:pPr>
              <w:pStyle w:val="24"/>
              <w:jc w:val="left"/>
              <w:rPr>
                <w:rFonts w:hint="eastAsia" w:ascii="宋体" w:hAnsi="宋体" w:eastAsia="宋体" w:cs="宋体"/>
                <w:sz w:val="24"/>
                <w:szCs w:val="24"/>
              </w:rPr>
            </w:pPr>
            <w:r>
              <w:rPr>
                <w:rFonts w:hint="eastAsia" w:ascii="宋体" w:hAnsi="宋体" w:eastAsia="宋体" w:cs="宋体"/>
                <w:sz w:val="24"/>
                <w:szCs w:val="24"/>
              </w:rPr>
              <w:t>佰维存储</w:t>
            </w:r>
          </w:p>
        </w:tc>
        <w:tc>
          <w:p w14:paraId="6279F1D4">
            <w:pPr>
              <w:pStyle w:val="24"/>
              <w:jc w:val="left"/>
              <w:rPr>
                <w:rFonts w:hint="eastAsia" w:ascii="宋体" w:hAnsi="宋体" w:eastAsia="宋体" w:cs="宋体"/>
                <w:sz w:val="24"/>
                <w:szCs w:val="24"/>
              </w:rPr>
            </w:pPr>
            <w:r>
              <w:rPr>
                <w:rFonts w:hint="eastAsia" w:ascii="宋体" w:hAnsi="宋体" w:eastAsia="宋体" w:cs="宋体"/>
                <w:sz w:val="24"/>
                <w:szCs w:val="24"/>
              </w:rPr>
              <w:t>半导体</w:t>
            </w:r>
          </w:p>
        </w:tc>
        <w:tc>
          <w:p w14:paraId="028301E0">
            <w:pPr>
              <w:pStyle w:val="24"/>
              <w:jc w:val="right"/>
              <w:rPr>
                <w:rFonts w:hint="eastAsia" w:ascii="宋体" w:hAnsi="宋体" w:eastAsia="宋体" w:cs="宋体"/>
                <w:sz w:val="24"/>
                <w:szCs w:val="24"/>
              </w:rPr>
            </w:pPr>
            <w:r>
              <w:rPr>
                <w:rFonts w:hint="eastAsia" w:ascii="宋体" w:hAnsi="宋体" w:eastAsia="宋体" w:cs="宋体"/>
                <w:sz w:val="24"/>
                <w:szCs w:val="24"/>
              </w:rPr>
              <w:t>+365.3%</w:t>
            </w:r>
          </w:p>
        </w:tc>
        <w:tc>
          <w:p w14:paraId="37C79389">
            <w:pPr>
              <w:pStyle w:val="24"/>
              <w:jc w:val="right"/>
              <w:rPr>
                <w:rFonts w:hint="eastAsia" w:ascii="宋体" w:hAnsi="宋体" w:eastAsia="宋体" w:cs="宋体"/>
                <w:sz w:val="24"/>
                <w:szCs w:val="24"/>
              </w:rPr>
            </w:pPr>
            <w:r>
              <w:rPr>
                <w:rFonts w:hint="eastAsia" w:ascii="宋体" w:hAnsi="宋体" w:eastAsia="宋体" w:cs="宋体"/>
                <w:sz w:val="24"/>
                <w:szCs w:val="24"/>
              </w:rPr>
              <w:t>-51.9%</w:t>
            </w:r>
          </w:p>
        </w:tc>
        <w:tc>
          <w:p w14:paraId="71616FE4">
            <w:pPr>
              <w:pStyle w:val="24"/>
              <w:jc w:val="right"/>
              <w:rPr>
                <w:rFonts w:hint="eastAsia" w:ascii="宋体" w:hAnsi="宋体" w:eastAsia="宋体" w:cs="宋体"/>
                <w:sz w:val="24"/>
                <w:szCs w:val="24"/>
              </w:rPr>
            </w:pPr>
            <w:r>
              <w:rPr>
                <w:rFonts w:hint="eastAsia" w:ascii="宋体" w:hAnsi="宋体" w:eastAsia="宋体" w:cs="宋体"/>
                <w:sz w:val="24"/>
                <w:szCs w:val="24"/>
              </w:rPr>
              <w:t>1.42</w:t>
            </w:r>
          </w:p>
        </w:tc>
        <w:tc>
          <w:p w14:paraId="08A4252E">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3FB6189C">
            <w:pPr>
              <w:pStyle w:val="24"/>
              <w:jc w:val="left"/>
              <w:rPr>
                <w:rFonts w:hint="eastAsia" w:ascii="宋体" w:hAnsi="宋体" w:eastAsia="宋体" w:cs="宋体"/>
                <w:sz w:val="24"/>
                <w:szCs w:val="24"/>
              </w:rPr>
            </w:pPr>
            <w:r>
              <w:rPr>
                <w:rFonts w:hint="eastAsia" w:ascii="宋体" w:hAnsi="宋体" w:eastAsia="宋体" w:cs="宋体"/>
                <w:sz w:val="24"/>
                <w:szCs w:val="24"/>
              </w:rPr>
              <w:t>存储芯片，与德明利、江波龙构成核心三角</w:t>
            </w:r>
          </w:p>
        </w:tc>
      </w:tr>
      <w:tr w14:paraId="330C1061">
        <w:tc>
          <w:p w14:paraId="70F51A90">
            <w:pPr>
              <w:pStyle w:val="24"/>
              <w:jc w:val="left"/>
              <w:rPr>
                <w:rFonts w:hint="eastAsia" w:ascii="宋体" w:hAnsi="宋体" w:eastAsia="宋体" w:cs="宋体"/>
                <w:sz w:val="24"/>
                <w:szCs w:val="24"/>
              </w:rPr>
            </w:pPr>
            <w:r>
              <w:rPr>
                <w:rFonts w:hint="eastAsia" w:ascii="宋体" w:hAnsi="宋体" w:eastAsia="宋体" w:cs="宋体"/>
                <w:sz w:val="24"/>
                <w:szCs w:val="24"/>
              </w:rPr>
              <w:t>301308.SZ</w:t>
            </w:r>
          </w:p>
        </w:tc>
        <w:tc>
          <w:p w14:paraId="3A5BA6C7">
            <w:pPr>
              <w:pStyle w:val="24"/>
              <w:jc w:val="left"/>
              <w:rPr>
                <w:rFonts w:hint="eastAsia" w:ascii="宋体" w:hAnsi="宋体" w:eastAsia="宋体" w:cs="宋体"/>
                <w:sz w:val="24"/>
                <w:szCs w:val="24"/>
              </w:rPr>
            </w:pPr>
            <w:r>
              <w:rPr>
                <w:rFonts w:hint="eastAsia" w:ascii="宋体" w:hAnsi="宋体" w:eastAsia="宋体" w:cs="宋体"/>
                <w:sz w:val="24"/>
                <w:szCs w:val="24"/>
              </w:rPr>
              <w:t>江波龙</w:t>
            </w:r>
          </w:p>
        </w:tc>
        <w:tc>
          <w:p w14:paraId="04A40A50">
            <w:pPr>
              <w:pStyle w:val="24"/>
              <w:jc w:val="left"/>
              <w:rPr>
                <w:rFonts w:hint="eastAsia" w:ascii="宋体" w:hAnsi="宋体" w:eastAsia="宋体" w:cs="宋体"/>
                <w:sz w:val="24"/>
                <w:szCs w:val="24"/>
              </w:rPr>
            </w:pPr>
            <w:r>
              <w:rPr>
                <w:rFonts w:hint="eastAsia" w:ascii="宋体" w:hAnsi="宋体" w:eastAsia="宋体" w:cs="宋体"/>
                <w:sz w:val="24"/>
                <w:szCs w:val="24"/>
              </w:rPr>
              <w:t>半导体</w:t>
            </w:r>
          </w:p>
        </w:tc>
        <w:tc>
          <w:p w14:paraId="3B849D1C">
            <w:pPr>
              <w:pStyle w:val="24"/>
              <w:jc w:val="right"/>
              <w:rPr>
                <w:rFonts w:hint="eastAsia" w:ascii="宋体" w:hAnsi="宋体" w:eastAsia="宋体" w:cs="宋体"/>
                <w:sz w:val="24"/>
                <w:szCs w:val="24"/>
              </w:rPr>
            </w:pPr>
            <w:r>
              <w:rPr>
                <w:rFonts w:hint="eastAsia" w:ascii="宋体" w:hAnsi="宋体" w:eastAsia="宋体" w:cs="宋体"/>
                <w:sz w:val="24"/>
                <w:szCs w:val="24"/>
              </w:rPr>
              <w:t>+354.3%</w:t>
            </w:r>
          </w:p>
        </w:tc>
        <w:tc>
          <w:p w14:paraId="081AE666">
            <w:pPr>
              <w:pStyle w:val="24"/>
              <w:jc w:val="right"/>
              <w:rPr>
                <w:rFonts w:hint="eastAsia" w:ascii="宋体" w:hAnsi="宋体" w:eastAsia="宋体" w:cs="宋体"/>
                <w:sz w:val="24"/>
                <w:szCs w:val="24"/>
              </w:rPr>
            </w:pPr>
            <w:r>
              <w:rPr>
                <w:rFonts w:hint="eastAsia" w:ascii="宋体" w:hAnsi="宋体" w:eastAsia="宋体" w:cs="宋体"/>
                <w:sz w:val="24"/>
                <w:szCs w:val="24"/>
              </w:rPr>
              <w:t>-47.9%</w:t>
            </w:r>
          </w:p>
        </w:tc>
        <w:tc>
          <w:p w14:paraId="545EFE31">
            <w:pPr>
              <w:pStyle w:val="24"/>
              <w:jc w:val="right"/>
              <w:rPr>
                <w:rFonts w:hint="eastAsia" w:ascii="宋体" w:hAnsi="宋体" w:eastAsia="宋体" w:cs="宋体"/>
                <w:sz w:val="24"/>
                <w:szCs w:val="24"/>
              </w:rPr>
            </w:pPr>
            <w:r>
              <w:rPr>
                <w:rFonts w:hint="eastAsia" w:ascii="宋体" w:hAnsi="宋体" w:eastAsia="宋体" w:cs="宋体"/>
                <w:sz w:val="24"/>
                <w:szCs w:val="24"/>
              </w:rPr>
              <w:t>1.40</w:t>
            </w:r>
          </w:p>
        </w:tc>
        <w:tc>
          <w:p w14:paraId="52F7DF51">
            <w:pPr>
              <w:pStyle w:val="24"/>
              <w:jc w:val="right"/>
              <w:rPr>
                <w:rFonts w:hint="eastAsia" w:ascii="宋体" w:hAnsi="宋体" w:eastAsia="宋体" w:cs="宋体"/>
                <w:sz w:val="24"/>
                <w:szCs w:val="24"/>
              </w:rPr>
            </w:pPr>
            <w:r>
              <w:rPr>
                <w:rFonts w:hint="eastAsia" w:ascii="宋体" w:hAnsi="宋体" w:eastAsia="宋体" w:cs="宋体"/>
                <w:sz w:val="24"/>
                <w:szCs w:val="24"/>
              </w:rPr>
              <w:t>16</w:t>
            </w:r>
          </w:p>
        </w:tc>
        <w:tc>
          <w:p w14:paraId="3AFC4BB6">
            <w:pPr>
              <w:pStyle w:val="24"/>
              <w:jc w:val="left"/>
              <w:rPr>
                <w:rFonts w:hint="eastAsia" w:ascii="宋体" w:hAnsi="宋体" w:eastAsia="宋体" w:cs="宋体"/>
                <w:sz w:val="24"/>
                <w:szCs w:val="24"/>
              </w:rPr>
            </w:pPr>
            <w:r>
              <w:rPr>
                <w:rFonts w:hint="eastAsia" w:ascii="宋体" w:hAnsi="宋体" w:eastAsia="宋体" w:cs="宋体"/>
                <w:sz w:val="24"/>
                <w:szCs w:val="24"/>
              </w:rPr>
              <w:t>存储模组，入选次数最多，贡献稳定</w:t>
            </w:r>
          </w:p>
        </w:tc>
      </w:tr>
      <w:tr w14:paraId="07DB0A4A">
        <w:tc>
          <w:p w14:paraId="7F5B6562">
            <w:pPr>
              <w:pStyle w:val="24"/>
              <w:jc w:val="left"/>
              <w:rPr>
                <w:rFonts w:hint="eastAsia" w:ascii="宋体" w:hAnsi="宋体" w:eastAsia="宋体" w:cs="宋体"/>
                <w:sz w:val="24"/>
                <w:szCs w:val="24"/>
              </w:rPr>
            </w:pPr>
            <w:r>
              <w:rPr>
                <w:rFonts w:hint="eastAsia" w:ascii="宋体" w:hAnsi="宋体" w:eastAsia="宋体" w:cs="宋体"/>
                <w:sz w:val="24"/>
                <w:szCs w:val="24"/>
              </w:rPr>
              <w:t>09992.HK</w:t>
            </w:r>
          </w:p>
        </w:tc>
        <w:tc>
          <w:p w14:paraId="79054A3F">
            <w:pPr>
              <w:pStyle w:val="24"/>
              <w:jc w:val="left"/>
              <w:rPr>
                <w:rFonts w:hint="eastAsia" w:ascii="宋体" w:hAnsi="宋体" w:eastAsia="宋体" w:cs="宋体"/>
                <w:sz w:val="24"/>
                <w:szCs w:val="24"/>
              </w:rPr>
            </w:pPr>
            <w:r>
              <w:rPr>
                <w:rFonts w:hint="eastAsia" w:ascii="宋体" w:hAnsi="宋体" w:eastAsia="宋体" w:cs="宋体"/>
                <w:sz w:val="24"/>
                <w:szCs w:val="24"/>
              </w:rPr>
              <w:t>泡泡玛特</w:t>
            </w:r>
          </w:p>
        </w:tc>
        <w:tc>
          <w:p w14:paraId="44FA0A01">
            <w:pPr>
              <w:pStyle w:val="24"/>
              <w:jc w:val="left"/>
              <w:rPr>
                <w:rFonts w:hint="eastAsia" w:ascii="宋体" w:hAnsi="宋体" w:eastAsia="宋体" w:cs="宋体"/>
                <w:sz w:val="24"/>
                <w:szCs w:val="24"/>
              </w:rPr>
            </w:pPr>
            <w:r>
              <w:rPr>
                <w:rFonts w:hint="eastAsia" w:ascii="宋体" w:hAnsi="宋体" w:eastAsia="宋体" w:cs="宋体"/>
                <w:sz w:val="24"/>
                <w:szCs w:val="24"/>
              </w:rPr>
              <w:t>消费</w:t>
            </w:r>
          </w:p>
        </w:tc>
        <w:tc>
          <w:p w14:paraId="2C9A50AD">
            <w:pPr>
              <w:pStyle w:val="24"/>
              <w:jc w:val="right"/>
              <w:rPr>
                <w:rFonts w:hint="eastAsia" w:ascii="宋体" w:hAnsi="宋体" w:eastAsia="宋体" w:cs="宋体"/>
                <w:sz w:val="24"/>
                <w:szCs w:val="24"/>
              </w:rPr>
            </w:pPr>
            <w:r>
              <w:rPr>
                <w:rFonts w:hint="eastAsia" w:ascii="宋体" w:hAnsi="宋体" w:eastAsia="宋体" w:cs="宋体"/>
                <w:sz w:val="24"/>
                <w:szCs w:val="24"/>
              </w:rPr>
              <w:t>+300.9%</w:t>
            </w:r>
          </w:p>
        </w:tc>
        <w:tc>
          <w:p w14:paraId="26658DB0">
            <w:pPr>
              <w:pStyle w:val="24"/>
              <w:jc w:val="right"/>
              <w:rPr>
                <w:rFonts w:hint="eastAsia" w:ascii="宋体" w:hAnsi="宋体" w:eastAsia="宋体" w:cs="宋体"/>
                <w:sz w:val="24"/>
                <w:szCs w:val="24"/>
              </w:rPr>
            </w:pPr>
            <w:r>
              <w:rPr>
                <w:rFonts w:hint="eastAsia" w:ascii="宋体" w:hAnsi="宋体" w:eastAsia="宋体" w:cs="宋体"/>
                <w:sz w:val="24"/>
                <w:szCs w:val="24"/>
              </w:rPr>
              <w:t>-57.7%</w:t>
            </w:r>
          </w:p>
        </w:tc>
        <w:tc>
          <w:p w14:paraId="6D34B327">
            <w:pPr>
              <w:pStyle w:val="24"/>
              <w:jc w:val="right"/>
              <w:rPr>
                <w:rFonts w:hint="eastAsia" w:ascii="宋体" w:hAnsi="宋体" w:eastAsia="宋体" w:cs="宋体"/>
                <w:sz w:val="24"/>
                <w:szCs w:val="24"/>
              </w:rPr>
            </w:pPr>
            <w:r>
              <w:rPr>
                <w:rFonts w:hint="eastAsia" w:ascii="宋体" w:hAnsi="宋体" w:eastAsia="宋体" w:cs="宋体"/>
                <w:sz w:val="24"/>
                <w:szCs w:val="24"/>
              </w:rPr>
              <w:t>1.48</w:t>
            </w:r>
          </w:p>
        </w:tc>
        <w:tc>
          <w:p w14:paraId="2E9BB7C0">
            <w:pPr>
              <w:pStyle w:val="24"/>
              <w:jc w:val="right"/>
              <w:rPr>
                <w:rFonts w:hint="eastAsia" w:ascii="宋体" w:hAnsi="宋体" w:eastAsia="宋体" w:cs="宋体"/>
                <w:sz w:val="24"/>
                <w:szCs w:val="24"/>
              </w:rPr>
            </w:pPr>
            <w:r>
              <w:rPr>
                <w:rFonts w:hint="eastAsia" w:ascii="宋体" w:hAnsi="宋体" w:eastAsia="宋体" w:cs="宋体"/>
                <w:sz w:val="24"/>
                <w:szCs w:val="24"/>
              </w:rPr>
              <w:t>6</w:t>
            </w:r>
          </w:p>
        </w:tc>
        <w:tc>
          <w:p w14:paraId="3526ED34">
            <w:pPr>
              <w:pStyle w:val="24"/>
              <w:jc w:val="left"/>
              <w:rPr>
                <w:rFonts w:hint="eastAsia" w:ascii="宋体" w:hAnsi="宋体" w:eastAsia="宋体" w:cs="宋体"/>
                <w:sz w:val="24"/>
                <w:szCs w:val="24"/>
              </w:rPr>
            </w:pPr>
            <w:r>
              <w:rPr>
                <w:rFonts w:hint="eastAsia" w:ascii="宋体" w:hAnsi="宋体" w:eastAsia="宋体" w:cs="宋体"/>
                <w:sz w:val="24"/>
                <w:szCs w:val="24"/>
              </w:rPr>
              <w:t>港股消费，高波动高收益</w:t>
            </w:r>
          </w:p>
        </w:tc>
      </w:tr>
      <w:tr w14:paraId="340B9F55">
        <w:tc>
          <w:p w14:paraId="128C071C">
            <w:pPr>
              <w:pStyle w:val="24"/>
              <w:jc w:val="left"/>
              <w:rPr>
                <w:rFonts w:hint="eastAsia" w:ascii="宋体" w:hAnsi="宋体" w:eastAsia="宋体" w:cs="宋体"/>
                <w:sz w:val="24"/>
                <w:szCs w:val="24"/>
              </w:rPr>
            </w:pPr>
            <w:r>
              <w:rPr>
                <w:rFonts w:hint="eastAsia" w:ascii="宋体" w:hAnsi="宋体" w:eastAsia="宋体" w:cs="宋体"/>
                <w:sz w:val="24"/>
                <w:szCs w:val="24"/>
              </w:rPr>
              <w:t>000333.SZ</w:t>
            </w:r>
          </w:p>
        </w:tc>
        <w:tc>
          <w:p w14:paraId="0A725113">
            <w:pPr>
              <w:pStyle w:val="24"/>
              <w:jc w:val="left"/>
              <w:rPr>
                <w:rFonts w:hint="eastAsia" w:ascii="宋体" w:hAnsi="宋体" w:eastAsia="宋体" w:cs="宋体"/>
                <w:sz w:val="24"/>
                <w:szCs w:val="24"/>
              </w:rPr>
            </w:pPr>
            <w:r>
              <w:rPr>
                <w:rFonts w:hint="eastAsia" w:ascii="宋体" w:hAnsi="宋体" w:eastAsia="宋体" w:cs="宋体"/>
                <w:sz w:val="24"/>
                <w:szCs w:val="24"/>
              </w:rPr>
              <w:t>美的集团</w:t>
            </w:r>
          </w:p>
        </w:tc>
        <w:tc>
          <w:p w14:paraId="426B36CE">
            <w:pPr>
              <w:pStyle w:val="24"/>
              <w:jc w:val="left"/>
              <w:rPr>
                <w:rFonts w:hint="eastAsia" w:ascii="宋体" w:hAnsi="宋体" w:eastAsia="宋体" w:cs="宋体"/>
                <w:sz w:val="24"/>
                <w:szCs w:val="24"/>
              </w:rPr>
            </w:pPr>
            <w:r>
              <w:rPr>
                <w:rFonts w:hint="eastAsia" w:ascii="宋体" w:hAnsi="宋体" w:eastAsia="宋体" w:cs="宋体"/>
                <w:sz w:val="24"/>
                <w:szCs w:val="24"/>
              </w:rPr>
              <w:t>消费</w:t>
            </w:r>
          </w:p>
        </w:tc>
        <w:tc>
          <w:p w14:paraId="4BA18578">
            <w:pPr>
              <w:pStyle w:val="24"/>
              <w:jc w:val="right"/>
              <w:rPr>
                <w:rFonts w:hint="eastAsia" w:ascii="宋体" w:hAnsi="宋体" w:eastAsia="宋体" w:cs="宋体"/>
                <w:sz w:val="24"/>
                <w:szCs w:val="24"/>
              </w:rPr>
            </w:pPr>
            <w:r>
              <w:rPr>
                <w:rFonts w:hint="eastAsia" w:ascii="宋体" w:hAnsi="宋体" w:eastAsia="宋体" w:cs="宋体"/>
                <w:sz w:val="24"/>
                <w:szCs w:val="24"/>
              </w:rPr>
              <w:t>+46.7%</w:t>
            </w:r>
          </w:p>
        </w:tc>
        <w:tc>
          <w:p w14:paraId="2CFB3140">
            <w:pPr>
              <w:pStyle w:val="24"/>
              <w:jc w:val="right"/>
              <w:rPr>
                <w:rFonts w:hint="eastAsia" w:ascii="宋体" w:hAnsi="宋体" w:eastAsia="宋体" w:cs="宋体"/>
                <w:sz w:val="24"/>
                <w:szCs w:val="24"/>
              </w:rPr>
            </w:pPr>
            <w:r>
              <w:rPr>
                <w:rFonts w:hint="eastAsia" w:ascii="宋体" w:hAnsi="宋体" w:eastAsia="宋体" w:cs="宋体"/>
                <w:sz w:val="24"/>
                <w:szCs w:val="24"/>
              </w:rPr>
              <w:t>-16.2%</w:t>
            </w:r>
          </w:p>
        </w:tc>
        <w:tc>
          <w:p w14:paraId="32CE247E">
            <w:pPr>
              <w:pStyle w:val="24"/>
              <w:jc w:val="right"/>
              <w:rPr>
                <w:rFonts w:hint="eastAsia" w:ascii="宋体" w:hAnsi="宋体" w:eastAsia="宋体" w:cs="宋体"/>
                <w:sz w:val="24"/>
                <w:szCs w:val="24"/>
              </w:rPr>
            </w:pPr>
            <w:r>
              <w:rPr>
                <w:rFonts w:hint="eastAsia" w:ascii="宋体" w:hAnsi="宋体" w:eastAsia="宋体" w:cs="宋体"/>
                <w:sz w:val="24"/>
                <w:szCs w:val="24"/>
              </w:rPr>
              <w:t>0.88</w:t>
            </w:r>
          </w:p>
        </w:tc>
        <w:tc>
          <w:p w14:paraId="63AA7CA9">
            <w:pPr>
              <w:pStyle w:val="24"/>
              <w:jc w:val="right"/>
              <w:rPr>
                <w:rFonts w:hint="eastAsia" w:ascii="宋体" w:hAnsi="宋体" w:eastAsia="宋体" w:cs="宋体"/>
                <w:sz w:val="24"/>
                <w:szCs w:val="24"/>
              </w:rPr>
            </w:pPr>
            <w:r>
              <w:rPr>
                <w:rFonts w:hint="eastAsia" w:ascii="宋体" w:hAnsi="宋体" w:eastAsia="宋体" w:cs="宋体"/>
                <w:sz w:val="24"/>
                <w:szCs w:val="24"/>
              </w:rPr>
              <w:t>4</w:t>
            </w:r>
          </w:p>
        </w:tc>
        <w:tc>
          <w:p w14:paraId="5919F758">
            <w:pPr>
              <w:pStyle w:val="24"/>
              <w:jc w:val="left"/>
              <w:rPr>
                <w:rFonts w:hint="eastAsia" w:ascii="宋体" w:hAnsi="宋体" w:eastAsia="宋体" w:cs="宋体"/>
                <w:sz w:val="24"/>
                <w:szCs w:val="24"/>
              </w:rPr>
            </w:pPr>
            <w:r>
              <w:rPr>
                <w:rFonts w:hint="eastAsia" w:ascii="宋体" w:hAnsi="宋体" w:eastAsia="宋体" w:cs="宋体"/>
                <w:sz w:val="24"/>
                <w:szCs w:val="24"/>
              </w:rPr>
              <w:t>家电龙头，低波动防御</w:t>
            </w:r>
          </w:p>
        </w:tc>
      </w:tr>
      <w:tr w14:paraId="4FBF8376">
        <w:tc>
          <w:p w14:paraId="5A962F2E">
            <w:pPr>
              <w:pStyle w:val="24"/>
              <w:jc w:val="left"/>
              <w:rPr>
                <w:rFonts w:hint="eastAsia" w:ascii="宋体" w:hAnsi="宋体" w:eastAsia="宋体" w:cs="宋体"/>
                <w:sz w:val="24"/>
                <w:szCs w:val="24"/>
              </w:rPr>
            </w:pPr>
            <w:r>
              <w:rPr>
                <w:rFonts w:hint="eastAsia" w:ascii="宋体" w:hAnsi="宋体" w:eastAsia="宋体" w:cs="宋体"/>
                <w:sz w:val="24"/>
                <w:szCs w:val="24"/>
              </w:rPr>
              <w:t>600329.SH</w:t>
            </w:r>
          </w:p>
        </w:tc>
        <w:tc>
          <w:p w14:paraId="0A6B2F31">
            <w:pPr>
              <w:pStyle w:val="24"/>
              <w:jc w:val="left"/>
              <w:rPr>
                <w:rFonts w:hint="eastAsia" w:ascii="宋体" w:hAnsi="宋体" w:eastAsia="宋体" w:cs="宋体"/>
                <w:sz w:val="24"/>
                <w:szCs w:val="24"/>
              </w:rPr>
            </w:pPr>
            <w:r>
              <w:rPr>
                <w:rFonts w:hint="eastAsia" w:ascii="宋体" w:hAnsi="宋体" w:eastAsia="宋体" w:cs="宋体"/>
                <w:sz w:val="24"/>
                <w:szCs w:val="24"/>
              </w:rPr>
              <w:t>达仁堂</w:t>
            </w:r>
          </w:p>
        </w:tc>
        <w:tc>
          <w:p w14:paraId="7EC60C17">
            <w:pPr>
              <w:pStyle w:val="24"/>
              <w:jc w:val="left"/>
              <w:rPr>
                <w:rFonts w:hint="eastAsia" w:ascii="宋体" w:hAnsi="宋体" w:eastAsia="宋体" w:cs="宋体"/>
                <w:sz w:val="24"/>
                <w:szCs w:val="24"/>
              </w:rPr>
            </w:pPr>
            <w:r>
              <w:rPr>
                <w:rFonts w:hint="eastAsia" w:ascii="宋体" w:hAnsi="宋体" w:eastAsia="宋体" w:cs="宋体"/>
                <w:sz w:val="24"/>
                <w:szCs w:val="24"/>
              </w:rPr>
              <w:t>医药</w:t>
            </w:r>
          </w:p>
        </w:tc>
        <w:tc>
          <w:p w14:paraId="6F8D22BE">
            <w:pPr>
              <w:pStyle w:val="24"/>
              <w:jc w:val="right"/>
              <w:rPr>
                <w:rFonts w:hint="eastAsia" w:ascii="宋体" w:hAnsi="宋体" w:eastAsia="宋体" w:cs="宋体"/>
                <w:sz w:val="24"/>
                <w:szCs w:val="24"/>
              </w:rPr>
            </w:pPr>
            <w:r>
              <w:rPr>
                <w:rFonts w:hint="eastAsia" w:ascii="宋体" w:hAnsi="宋体" w:eastAsia="宋体" w:cs="宋体"/>
                <w:sz w:val="24"/>
                <w:szCs w:val="24"/>
              </w:rPr>
              <w:t>+29.8%</w:t>
            </w:r>
          </w:p>
        </w:tc>
        <w:tc>
          <w:p w14:paraId="7F5E2D4F">
            <w:pPr>
              <w:pStyle w:val="24"/>
              <w:jc w:val="right"/>
              <w:rPr>
                <w:rFonts w:hint="eastAsia" w:ascii="宋体" w:hAnsi="宋体" w:eastAsia="宋体" w:cs="宋体"/>
                <w:sz w:val="24"/>
                <w:szCs w:val="24"/>
              </w:rPr>
            </w:pPr>
            <w:r>
              <w:rPr>
                <w:rFonts w:hint="eastAsia" w:ascii="宋体" w:hAnsi="宋体" w:eastAsia="宋体" w:cs="宋体"/>
                <w:sz w:val="24"/>
                <w:szCs w:val="24"/>
              </w:rPr>
              <w:t>-25.2%</w:t>
            </w:r>
          </w:p>
        </w:tc>
        <w:tc>
          <w:p w14:paraId="2C42FBB1">
            <w:pPr>
              <w:pStyle w:val="24"/>
              <w:jc w:val="right"/>
              <w:rPr>
                <w:rFonts w:hint="eastAsia" w:ascii="宋体" w:hAnsi="宋体" w:eastAsia="宋体" w:cs="宋体"/>
                <w:sz w:val="24"/>
                <w:szCs w:val="24"/>
              </w:rPr>
            </w:pPr>
            <w:r>
              <w:rPr>
                <w:rFonts w:hint="eastAsia" w:ascii="宋体" w:hAnsi="宋体" w:eastAsia="宋体" w:cs="宋体"/>
                <w:sz w:val="24"/>
                <w:szCs w:val="24"/>
              </w:rPr>
              <w:t>0.52</w:t>
            </w:r>
          </w:p>
        </w:tc>
        <w:tc>
          <w:p w14:paraId="45174DD6">
            <w:pPr>
              <w:pStyle w:val="24"/>
              <w:jc w:val="right"/>
              <w:rPr>
                <w:rFonts w:hint="eastAsia" w:ascii="宋体" w:hAnsi="宋体" w:eastAsia="宋体" w:cs="宋体"/>
                <w:sz w:val="24"/>
                <w:szCs w:val="24"/>
              </w:rPr>
            </w:pPr>
            <w:r>
              <w:rPr>
                <w:rFonts w:hint="eastAsia" w:ascii="宋体" w:hAnsi="宋体" w:eastAsia="宋体" w:cs="宋体"/>
                <w:sz w:val="24"/>
                <w:szCs w:val="24"/>
              </w:rPr>
              <w:t>6</w:t>
            </w:r>
          </w:p>
        </w:tc>
        <w:tc>
          <w:p w14:paraId="6E94393B">
            <w:pPr>
              <w:pStyle w:val="24"/>
              <w:jc w:val="left"/>
              <w:rPr>
                <w:rFonts w:hint="eastAsia" w:ascii="宋体" w:hAnsi="宋体" w:eastAsia="宋体" w:cs="宋体"/>
                <w:sz w:val="24"/>
                <w:szCs w:val="24"/>
              </w:rPr>
            </w:pPr>
            <w:r>
              <w:rPr>
                <w:rFonts w:hint="eastAsia" w:ascii="宋体" w:hAnsi="宋体" w:eastAsia="宋体" w:cs="宋体"/>
                <w:sz w:val="24"/>
                <w:szCs w:val="24"/>
              </w:rPr>
              <w:t>中药，稳健贡献</w:t>
            </w:r>
          </w:p>
        </w:tc>
      </w:tr>
      <w:tr w14:paraId="4B79CEF8">
        <w:tc>
          <w:p w14:paraId="087F8871">
            <w:pPr>
              <w:pStyle w:val="24"/>
              <w:jc w:val="left"/>
              <w:rPr>
                <w:rFonts w:hint="eastAsia" w:ascii="宋体" w:hAnsi="宋体" w:eastAsia="宋体" w:cs="宋体"/>
                <w:sz w:val="24"/>
                <w:szCs w:val="24"/>
              </w:rPr>
            </w:pPr>
            <w:r>
              <w:rPr>
                <w:rFonts w:hint="eastAsia" w:ascii="宋体" w:hAnsi="宋体" w:eastAsia="宋体" w:cs="宋体"/>
                <w:sz w:val="24"/>
                <w:szCs w:val="24"/>
              </w:rPr>
              <w:t>00700.HK</w:t>
            </w:r>
          </w:p>
        </w:tc>
        <w:tc>
          <w:p w14:paraId="30B9D315">
            <w:pPr>
              <w:pStyle w:val="24"/>
              <w:jc w:val="left"/>
              <w:rPr>
                <w:rFonts w:hint="eastAsia" w:ascii="宋体" w:hAnsi="宋体" w:eastAsia="宋体" w:cs="宋体"/>
                <w:sz w:val="24"/>
                <w:szCs w:val="24"/>
              </w:rPr>
            </w:pPr>
            <w:r>
              <w:rPr>
                <w:rFonts w:hint="eastAsia" w:ascii="宋体" w:hAnsi="宋体" w:eastAsia="宋体" w:cs="宋体"/>
                <w:sz w:val="24"/>
                <w:szCs w:val="24"/>
              </w:rPr>
              <w:t>腾讯控股</w:t>
            </w:r>
          </w:p>
        </w:tc>
        <w:tc>
          <w:p w14:paraId="5255B69D">
            <w:pPr>
              <w:pStyle w:val="24"/>
              <w:jc w:val="left"/>
              <w:rPr>
                <w:rFonts w:hint="eastAsia" w:ascii="宋体" w:hAnsi="宋体" w:eastAsia="宋体" w:cs="宋体"/>
                <w:sz w:val="24"/>
                <w:szCs w:val="24"/>
              </w:rPr>
            </w:pPr>
            <w:r>
              <w:rPr>
                <w:rFonts w:hint="eastAsia" w:ascii="宋体" w:hAnsi="宋体" w:eastAsia="宋体" w:cs="宋体"/>
                <w:sz w:val="24"/>
                <w:szCs w:val="24"/>
              </w:rPr>
              <w:t>互联网</w:t>
            </w:r>
          </w:p>
        </w:tc>
        <w:tc>
          <w:p w14:paraId="7CB0D4EF">
            <w:pPr>
              <w:pStyle w:val="24"/>
              <w:jc w:val="right"/>
              <w:rPr>
                <w:rFonts w:hint="eastAsia" w:ascii="宋体" w:hAnsi="宋体" w:eastAsia="宋体" w:cs="宋体"/>
                <w:sz w:val="24"/>
                <w:szCs w:val="24"/>
              </w:rPr>
            </w:pPr>
            <w:r>
              <w:rPr>
                <w:rFonts w:hint="eastAsia" w:ascii="宋体" w:hAnsi="宋体" w:eastAsia="宋体" w:cs="宋体"/>
                <w:sz w:val="24"/>
                <w:szCs w:val="24"/>
              </w:rPr>
              <w:t>+32.9%</w:t>
            </w:r>
          </w:p>
        </w:tc>
        <w:tc>
          <w:p w14:paraId="573C8A43">
            <w:pPr>
              <w:pStyle w:val="24"/>
              <w:jc w:val="right"/>
              <w:rPr>
                <w:rFonts w:hint="eastAsia" w:ascii="宋体" w:hAnsi="宋体" w:eastAsia="宋体" w:cs="宋体"/>
                <w:sz w:val="24"/>
                <w:szCs w:val="24"/>
              </w:rPr>
            </w:pPr>
            <w:r>
              <w:rPr>
                <w:rFonts w:hint="eastAsia" w:ascii="宋体" w:hAnsi="宋体" w:eastAsia="宋体" w:cs="宋体"/>
                <w:sz w:val="24"/>
                <w:szCs w:val="24"/>
              </w:rPr>
              <w:t>-38.5%</w:t>
            </w:r>
          </w:p>
        </w:tc>
        <w:tc>
          <w:p w14:paraId="2771CC37">
            <w:pPr>
              <w:pStyle w:val="24"/>
              <w:jc w:val="right"/>
              <w:rPr>
                <w:rFonts w:hint="eastAsia" w:ascii="宋体" w:hAnsi="宋体" w:eastAsia="宋体" w:cs="宋体"/>
                <w:sz w:val="24"/>
                <w:szCs w:val="24"/>
              </w:rPr>
            </w:pPr>
            <w:r>
              <w:rPr>
                <w:rFonts w:hint="eastAsia" w:ascii="宋体" w:hAnsi="宋体" w:eastAsia="宋体" w:cs="宋体"/>
                <w:sz w:val="24"/>
                <w:szCs w:val="24"/>
              </w:rPr>
              <w:t>0.55</w:t>
            </w:r>
          </w:p>
        </w:tc>
        <w:tc>
          <w:p w14:paraId="261078CD">
            <w:pPr>
              <w:pStyle w:val="24"/>
              <w:jc w:val="right"/>
              <w:rPr>
                <w:rFonts w:hint="eastAsia" w:ascii="宋体" w:hAnsi="宋体" w:eastAsia="宋体" w:cs="宋体"/>
                <w:sz w:val="24"/>
                <w:szCs w:val="24"/>
              </w:rPr>
            </w:pPr>
            <w:r>
              <w:rPr>
                <w:rFonts w:hint="eastAsia" w:ascii="宋体" w:hAnsi="宋体" w:eastAsia="宋体" w:cs="宋体"/>
                <w:sz w:val="24"/>
                <w:szCs w:val="24"/>
              </w:rPr>
              <w:t>10</w:t>
            </w:r>
          </w:p>
        </w:tc>
        <w:tc>
          <w:p w14:paraId="281286AE">
            <w:pPr>
              <w:pStyle w:val="24"/>
              <w:jc w:val="left"/>
              <w:rPr>
                <w:rFonts w:hint="eastAsia" w:ascii="宋体" w:hAnsi="宋体" w:eastAsia="宋体" w:cs="宋体"/>
                <w:sz w:val="24"/>
                <w:szCs w:val="24"/>
              </w:rPr>
            </w:pPr>
            <w:r>
              <w:rPr>
                <w:rFonts w:hint="eastAsia" w:ascii="宋体" w:hAnsi="宋体" w:eastAsia="宋体" w:cs="宋体"/>
                <w:sz w:val="24"/>
                <w:szCs w:val="24"/>
              </w:rPr>
              <w:t>港股科技，入选10次提供稳定底仓</w:t>
            </w:r>
          </w:p>
        </w:tc>
      </w:tr>
      <w:tr w14:paraId="3F0D7D3B">
        <w:tc>
          <w:p w14:paraId="5E558E7C">
            <w:pPr>
              <w:pStyle w:val="24"/>
              <w:jc w:val="left"/>
              <w:rPr>
                <w:rFonts w:hint="eastAsia" w:ascii="宋体" w:hAnsi="宋体" w:eastAsia="宋体" w:cs="宋体"/>
                <w:sz w:val="24"/>
                <w:szCs w:val="24"/>
              </w:rPr>
            </w:pPr>
            <w:r>
              <w:rPr>
                <w:rFonts w:hint="eastAsia" w:ascii="宋体" w:hAnsi="宋体" w:eastAsia="宋体" w:cs="宋体"/>
                <w:sz w:val="24"/>
                <w:szCs w:val="24"/>
              </w:rPr>
              <w:t>600887.SH</w:t>
            </w:r>
          </w:p>
        </w:tc>
        <w:tc>
          <w:p w14:paraId="3F95A1ED">
            <w:pPr>
              <w:pStyle w:val="24"/>
              <w:jc w:val="left"/>
              <w:rPr>
                <w:rFonts w:hint="eastAsia" w:ascii="宋体" w:hAnsi="宋体" w:eastAsia="宋体" w:cs="宋体"/>
                <w:sz w:val="24"/>
                <w:szCs w:val="24"/>
              </w:rPr>
            </w:pPr>
            <w:r>
              <w:rPr>
                <w:rFonts w:hint="eastAsia" w:ascii="宋体" w:hAnsi="宋体" w:eastAsia="宋体" w:cs="宋体"/>
                <w:sz w:val="24"/>
                <w:szCs w:val="24"/>
              </w:rPr>
              <w:t>伊利股份</w:t>
            </w:r>
          </w:p>
        </w:tc>
        <w:tc>
          <w:p w14:paraId="50AE1A76">
            <w:pPr>
              <w:pStyle w:val="24"/>
              <w:jc w:val="left"/>
              <w:rPr>
                <w:rFonts w:hint="eastAsia" w:ascii="宋体" w:hAnsi="宋体" w:eastAsia="宋体" w:cs="宋体"/>
                <w:sz w:val="24"/>
                <w:szCs w:val="24"/>
              </w:rPr>
            </w:pPr>
            <w:r>
              <w:rPr>
                <w:rFonts w:hint="eastAsia" w:ascii="宋体" w:hAnsi="宋体" w:eastAsia="宋体" w:cs="宋体"/>
                <w:sz w:val="24"/>
                <w:szCs w:val="24"/>
              </w:rPr>
              <w:t>消费</w:t>
            </w:r>
          </w:p>
        </w:tc>
        <w:tc>
          <w:p w14:paraId="633CC969">
            <w:pPr>
              <w:pStyle w:val="24"/>
              <w:jc w:val="right"/>
              <w:rPr>
                <w:rFonts w:hint="eastAsia" w:ascii="宋体" w:hAnsi="宋体" w:eastAsia="宋体" w:cs="宋体"/>
                <w:sz w:val="24"/>
                <w:szCs w:val="24"/>
              </w:rPr>
            </w:pPr>
            <w:r>
              <w:rPr>
                <w:rFonts w:hint="eastAsia" w:ascii="宋体" w:hAnsi="宋体" w:eastAsia="宋体" w:cs="宋体"/>
                <w:sz w:val="24"/>
                <w:szCs w:val="24"/>
              </w:rPr>
              <w:t>+12.5%</w:t>
            </w:r>
          </w:p>
        </w:tc>
        <w:tc>
          <w:p w14:paraId="1B8746DC">
            <w:pPr>
              <w:pStyle w:val="24"/>
              <w:jc w:val="right"/>
              <w:rPr>
                <w:rFonts w:hint="eastAsia" w:ascii="宋体" w:hAnsi="宋体" w:eastAsia="宋体" w:cs="宋体"/>
                <w:sz w:val="24"/>
                <w:szCs w:val="24"/>
              </w:rPr>
            </w:pPr>
            <w:r>
              <w:rPr>
                <w:rFonts w:hint="eastAsia" w:ascii="宋体" w:hAnsi="宋体" w:eastAsia="宋体" w:cs="宋体"/>
                <w:sz w:val="24"/>
                <w:szCs w:val="24"/>
              </w:rPr>
              <w:t>-19.1%</w:t>
            </w:r>
          </w:p>
        </w:tc>
        <w:tc>
          <w:p w14:paraId="147FF575">
            <w:pPr>
              <w:pStyle w:val="24"/>
              <w:jc w:val="right"/>
              <w:rPr>
                <w:rFonts w:hint="eastAsia" w:ascii="宋体" w:hAnsi="宋体" w:eastAsia="宋体" w:cs="宋体"/>
                <w:sz w:val="24"/>
                <w:szCs w:val="24"/>
              </w:rPr>
            </w:pPr>
            <w:r>
              <w:rPr>
                <w:rFonts w:hint="eastAsia" w:ascii="宋体" w:hAnsi="宋体" w:eastAsia="宋体" w:cs="宋体"/>
                <w:sz w:val="24"/>
                <w:szCs w:val="24"/>
              </w:rPr>
              <w:t>0.29</w:t>
            </w:r>
          </w:p>
        </w:tc>
        <w:tc>
          <w:p w14:paraId="2CBE771B">
            <w:pPr>
              <w:pStyle w:val="24"/>
              <w:jc w:val="right"/>
              <w:rPr>
                <w:rFonts w:hint="eastAsia" w:ascii="宋体" w:hAnsi="宋体" w:eastAsia="宋体" w:cs="宋体"/>
                <w:sz w:val="24"/>
                <w:szCs w:val="24"/>
              </w:rPr>
            </w:pPr>
            <w:r>
              <w:rPr>
                <w:rFonts w:hint="eastAsia" w:ascii="宋体" w:hAnsi="宋体" w:eastAsia="宋体" w:cs="宋体"/>
                <w:sz w:val="24"/>
                <w:szCs w:val="24"/>
              </w:rPr>
              <w:t>6</w:t>
            </w:r>
          </w:p>
        </w:tc>
        <w:tc>
          <w:p w14:paraId="2E40A7E4">
            <w:pPr>
              <w:pStyle w:val="24"/>
              <w:jc w:val="left"/>
              <w:rPr>
                <w:rFonts w:hint="eastAsia" w:ascii="宋体" w:hAnsi="宋体" w:eastAsia="宋体" w:cs="宋体"/>
                <w:sz w:val="24"/>
                <w:szCs w:val="24"/>
              </w:rPr>
            </w:pPr>
            <w:r>
              <w:rPr>
                <w:rFonts w:hint="eastAsia" w:ascii="宋体" w:hAnsi="宋体" w:eastAsia="宋体" w:cs="宋体"/>
                <w:sz w:val="24"/>
                <w:szCs w:val="24"/>
              </w:rPr>
              <w:t>乳业，低收益低回撤</w:t>
            </w:r>
          </w:p>
        </w:tc>
      </w:tr>
    </w:tbl>
    <w:p w14:paraId="04F258E5">
      <w:pPr>
        <w:pStyle w:val="47"/>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34000" cy="3563620"/>
            <wp:effectExtent l="0" t="0" r="0" b="0"/>
            <wp:docPr id="45" name="Picture" descr="图3：聚焦10只个股 — 风险-收益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图3：聚焦10只个股 — 风险-收益散点图"/>
                    <pic:cNvPicPr>
                      <a:picLocks noChangeAspect="1" noChangeArrowheads="1"/>
                    </pic:cNvPicPr>
                  </pic:nvPicPr>
                  <pic:blipFill>
                    <a:blip r:embed="rId8"/>
                    <a:stretch>
                      <a:fillRect/>
                    </a:stretch>
                  </pic:blipFill>
                  <pic:spPr>
                    <a:xfrm>
                      <a:off x="0" y="0"/>
                      <a:ext cx="5334000" cy="3564027"/>
                    </a:xfrm>
                    <a:prstGeom prst="rect">
                      <a:avLst/>
                    </a:prstGeom>
                    <a:noFill/>
                    <a:ln w="9525">
                      <a:noFill/>
                    </a:ln>
                  </pic:spPr>
                </pic:pic>
              </a:graphicData>
            </a:graphic>
          </wp:inline>
        </w:drawing>
      </w:r>
    </w:p>
    <w:p w14:paraId="48E471E7">
      <w:pPr>
        <w:pStyle w:val="45"/>
        <w:rPr>
          <w:rFonts w:hint="eastAsia" w:ascii="宋体" w:hAnsi="宋体" w:eastAsia="宋体" w:cs="宋体"/>
          <w:sz w:val="24"/>
          <w:szCs w:val="24"/>
        </w:rPr>
      </w:pPr>
      <w:r>
        <w:rPr>
          <w:rFonts w:hint="eastAsia" w:ascii="宋体" w:hAnsi="宋体" w:eastAsia="宋体" w:cs="宋体"/>
          <w:sz w:val="24"/>
          <w:szCs w:val="24"/>
        </w:rPr>
        <w:t>图3：聚焦10只个股</w:t>
      </w:r>
      <w:r>
        <w:rPr>
          <w:rFonts w:hint="eastAsia" w:ascii="宋体" w:hAnsi="宋体" w:eastAsia="宋体" w:cs="宋体"/>
          <w:sz w:val="24"/>
          <w:szCs w:val="24"/>
        </w:rPr>
        <w:t xml:space="preserve"> — </w:t>
      </w:r>
      <w:r>
        <w:rPr>
          <w:rFonts w:hint="eastAsia" w:ascii="宋体" w:hAnsi="宋体" w:eastAsia="宋体" w:cs="宋体"/>
          <w:sz w:val="24"/>
          <w:szCs w:val="24"/>
        </w:rPr>
        <w:t>风险-收益散点图</w:t>
      </w:r>
    </w:p>
    <w:p w14:paraId="5D79DBEC">
      <w:pPr>
        <w:pStyle w:val="3"/>
        <w:rPr>
          <w:rFonts w:hint="eastAsia" w:ascii="宋体" w:hAnsi="宋体" w:eastAsia="宋体" w:cs="宋体"/>
          <w:sz w:val="24"/>
          <w:szCs w:val="24"/>
        </w:rPr>
      </w:pPr>
      <w:r>
        <w:rPr>
          <w:rFonts w:hint="eastAsia" w:ascii="宋体" w:hAnsi="宋体" w:eastAsia="宋体" w:cs="宋体"/>
          <w:b/>
          <w:bCs/>
          <w:sz w:val="24"/>
          <w:szCs w:val="24"/>
        </w:rPr>
        <w:t>现象</w:t>
      </w:r>
      <w:r>
        <w:rPr>
          <w:rFonts w:hint="eastAsia" w:ascii="宋体" w:hAnsi="宋体" w:eastAsia="宋体" w:cs="宋体"/>
          <w:sz w:val="24"/>
          <w:szCs w:val="24"/>
        </w:rPr>
        <w:t>：散点图横轴为年化波动率，纵轴为区间收益率，气泡大小映射入选次数，颜色区分攻防风格。图中呈现清晰的三层结构——右上角红色进攻型半导体股（德明利、普冉股份、兆易创新、佰维存储、江波龙）集中在</w:t>
      </w:r>
      <w:r>
        <w:rPr>
          <w:rFonts w:hint="eastAsia" w:ascii="宋体" w:hAnsi="宋体" w:eastAsia="宋体" w:cs="宋体"/>
          <w:sz w:val="24"/>
          <w:szCs w:val="24"/>
        </w:rPr>
        <w:t xml:space="preserve"> 65%~87% </w:t>
      </w:r>
      <w:r>
        <w:rPr>
          <w:rFonts w:hint="eastAsia" w:ascii="宋体" w:hAnsi="宋体" w:eastAsia="宋体" w:cs="宋体"/>
          <w:sz w:val="24"/>
          <w:szCs w:val="24"/>
        </w:rPr>
        <w:t>波动率和</w:t>
      </w:r>
      <w:r>
        <w:rPr>
          <w:rFonts w:hint="eastAsia" w:ascii="宋体" w:hAnsi="宋体" w:eastAsia="宋体" w:cs="宋体"/>
          <w:sz w:val="24"/>
          <w:szCs w:val="24"/>
        </w:rPr>
        <w:t xml:space="preserve"> +354%~+719% </w:t>
      </w:r>
      <w:r>
        <w:rPr>
          <w:rFonts w:hint="eastAsia" w:ascii="宋体" w:hAnsi="宋体" w:eastAsia="宋体" w:cs="宋体"/>
          <w:sz w:val="24"/>
          <w:szCs w:val="24"/>
        </w:rPr>
        <w:t>收益区间；中间橙色平衡型腾讯控股（波动率</w:t>
      </w:r>
      <w:r>
        <w:rPr>
          <w:rFonts w:hint="eastAsia" w:ascii="宋体" w:hAnsi="宋体" w:eastAsia="宋体" w:cs="宋体"/>
          <w:sz w:val="24"/>
          <w:szCs w:val="24"/>
        </w:rPr>
        <w:t xml:space="preserve"> </w:t>
      </w:r>
      <w:r>
        <w:rPr>
          <w:rFonts w:hint="eastAsia" w:ascii="宋体" w:hAnsi="宋体" w:eastAsia="宋体" w:cs="宋体"/>
          <w:sz w:val="24"/>
          <w:szCs w:val="24"/>
        </w:rPr>
        <w:t>34%、收益</w:t>
      </w:r>
      <w:r>
        <w:rPr>
          <w:rFonts w:hint="eastAsia" w:ascii="宋体" w:hAnsi="宋体" w:eastAsia="宋体" w:cs="宋体"/>
          <w:sz w:val="24"/>
          <w:szCs w:val="24"/>
        </w:rPr>
        <w:t xml:space="preserve"> </w:t>
      </w:r>
      <w:r>
        <w:rPr>
          <w:rFonts w:hint="eastAsia" w:ascii="宋体" w:hAnsi="宋体" w:eastAsia="宋体" w:cs="宋体"/>
          <w:sz w:val="24"/>
          <w:szCs w:val="24"/>
        </w:rPr>
        <w:t>33%）居中过渡；左下角蓝色防守型消费股（美的、伊利、达仁堂）处于</w:t>
      </w:r>
      <w:r>
        <w:rPr>
          <w:rFonts w:hint="eastAsia" w:ascii="宋体" w:hAnsi="宋体" w:eastAsia="宋体" w:cs="宋体"/>
          <w:sz w:val="24"/>
          <w:szCs w:val="24"/>
        </w:rPr>
        <w:t xml:space="preserve"> 19%~31% </w:t>
      </w:r>
      <w:r>
        <w:rPr>
          <w:rFonts w:hint="eastAsia" w:ascii="宋体" w:hAnsi="宋体" w:eastAsia="宋体" w:cs="宋体"/>
          <w:sz w:val="24"/>
          <w:szCs w:val="24"/>
        </w:rPr>
        <w:t>波动率和</w:t>
      </w:r>
      <w:r>
        <w:rPr>
          <w:rFonts w:hint="eastAsia" w:ascii="宋体" w:hAnsi="宋体" w:eastAsia="宋体" w:cs="宋体"/>
          <w:sz w:val="24"/>
          <w:szCs w:val="24"/>
        </w:rPr>
        <w:t xml:space="preserve"> +13%~+47% </w:t>
      </w:r>
      <w:r>
        <w:rPr>
          <w:rFonts w:hint="eastAsia" w:ascii="宋体" w:hAnsi="宋体" w:eastAsia="宋体" w:cs="宋体"/>
          <w:sz w:val="24"/>
          <w:szCs w:val="24"/>
        </w:rPr>
        <w:t>收益区间。泡泡玛特（波动率</w:t>
      </w:r>
      <w:r>
        <w:rPr>
          <w:rFonts w:hint="eastAsia" w:ascii="宋体" w:hAnsi="宋体" w:eastAsia="宋体" w:cs="宋体"/>
          <w:sz w:val="24"/>
          <w:szCs w:val="24"/>
        </w:rPr>
        <w:t xml:space="preserve"> </w:t>
      </w:r>
      <w:r>
        <w:rPr>
          <w:rFonts w:hint="eastAsia" w:ascii="宋体" w:hAnsi="宋体" w:eastAsia="宋体" w:cs="宋体"/>
          <w:sz w:val="24"/>
          <w:szCs w:val="24"/>
        </w:rPr>
        <w:t>60%、收益</w:t>
      </w:r>
      <w:r>
        <w:rPr>
          <w:rFonts w:hint="eastAsia" w:ascii="宋体" w:hAnsi="宋体" w:eastAsia="宋体" w:cs="宋体"/>
          <w:sz w:val="24"/>
          <w:szCs w:val="24"/>
        </w:rPr>
        <w:t xml:space="preserve"> </w:t>
      </w:r>
      <w:r>
        <w:rPr>
          <w:rFonts w:hint="eastAsia" w:ascii="宋体" w:hAnsi="宋体" w:eastAsia="宋体" w:cs="宋体"/>
          <w:sz w:val="24"/>
          <w:szCs w:val="24"/>
        </w:rPr>
        <w:t>301%）位于进攻型区域，是高波动高收益的港股消费离群点。</w:t>
      </w:r>
    </w:p>
    <w:p w14:paraId="00A09FEA">
      <w:pPr>
        <w:pStyle w:val="3"/>
        <w:rPr>
          <w:rFonts w:hint="eastAsia" w:ascii="宋体" w:hAnsi="宋体" w:eastAsia="宋体" w:cs="宋体"/>
          <w:sz w:val="24"/>
          <w:szCs w:val="24"/>
        </w:rPr>
      </w:pPr>
      <w:r>
        <w:rPr>
          <w:rFonts w:hint="eastAsia" w:ascii="宋体" w:hAnsi="宋体" w:eastAsia="宋体" w:cs="宋体"/>
          <w:b/>
          <w:bCs/>
          <w:sz w:val="24"/>
          <w:szCs w:val="24"/>
        </w:rPr>
        <w:t>解释</w:t>
      </w:r>
      <w:r>
        <w:rPr>
          <w:rFonts w:hint="eastAsia" w:ascii="宋体" w:hAnsi="宋体" w:eastAsia="宋体" w:cs="宋体"/>
          <w:sz w:val="24"/>
          <w:szCs w:val="24"/>
        </w:rPr>
        <w:t>：进攻型半导体股在</w:t>
      </w:r>
      <w:r>
        <w:rPr>
          <w:rFonts w:hint="eastAsia" w:ascii="宋体" w:hAnsi="宋体" w:eastAsia="宋体" w:cs="宋体"/>
          <w:sz w:val="24"/>
          <w:szCs w:val="24"/>
        </w:rPr>
        <w:t xml:space="preserve"> 2025 </w:t>
      </w:r>
      <w:r>
        <w:rPr>
          <w:rFonts w:hint="eastAsia" w:ascii="宋体" w:hAnsi="宋体" w:eastAsia="宋体" w:cs="宋体"/>
          <w:sz w:val="24"/>
          <w:szCs w:val="24"/>
        </w:rPr>
        <w:t>年存储芯片周期上行中获得了极高的绝对收益，但其波动率（65%~87%）也远高于全池均值。防守型消费股和医药股弹性低、绝对收益有限，但在板块回调时回撤较浅（最大回撤</w:t>
      </w:r>
      <w:r>
        <w:rPr>
          <w:rFonts w:hint="eastAsia" w:ascii="宋体" w:hAnsi="宋体" w:eastAsia="宋体" w:cs="宋体"/>
          <w:sz w:val="24"/>
          <w:szCs w:val="24"/>
        </w:rPr>
        <w:t xml:space="preserve"> -16%</w:t>
      </w:r>
      <w:r>
        <w:rPr>
          <w:rFonts w:hint="eastAsia" w:ascii="宋体" w:hAnsi="宋体" w:eastAsia="宋体" w:cs="宋体"/>
          <w:sz w:val="24"/>
          <w:szCs w:val="24"/>
          <w:vertAlign w:val="subscript"/>
        </w:rPr>
        <w:t>-25%）。腾讯控股作为唯一的平衡型标的，波动率和收益均居中，在持仓中起到”缓冲器”作用。进攻型股的夏普比率（1.4</w:t>
      </w:r>
      <w:r>
        <w:rPr>
          <w:rFonts w:hint="eastAsia" w:ascii="宋体" w:hAnsi="宋体" w:eastAsia="宋体" w:cs="宋体"/>
          <w:sz w:val="24"/>
          <w:szCs w:val="24"/>
        </w:rPr>
        <w:t>1.9）显著优于防守型（0.3~0.9），说明策略在高波动个股上的风险调整收益更优。</w:t>
      </w:r>
    </w:p>
    <w:p w14:paraId="323CF761">
      <w:pPr>
        <w:pStyle w:val="3"/>
        <w:rPr>
          <w:rFonts w:hint="eastAsia" w:ascii="宋体" w:hAnsi="宋体" w:eastAsia="宋体" w:cs="宋体"/>
          <w:sz w:val="24"/>
          <w:szCs w:val="24"/>
        </w:rPr>
      </w:pPr>
      <w:r>
        <w:rPr>
          <w:rFonts w:hint="eastAsia" w:ascii="宋体" w:hAnsi="宋体" w:eastAsia="宋体" w:cs="宋体"/>
          <w:b/>
          <w:bCs/>
          <w:sz w:val="24"/>
          <w:szCs w:val="24"/>
        </w:rPr>
        <w:t>含义</w:t>
      </w:r>
      <w:r>
        <w:rPr>
          <w:rFonts w:hint="eastAsia" w:ascii="宋体" w:hAnsi="宋体" w:eastAsia="宋体" w:cs="宋体"/>
          <w:sz w:val="24"/>
          <w:szCs w:val="24"/>
        </w:rPr>
        <w:t>：风险与收益正相关，但并非线性——进攻型股承担单位风险获得的超额回报远高于防守型。策略通过动量因子将仓位集中于高</w:t>
      </w:r>
      <w:r>
        <w:rPr>
          <w:rFonts w:hint="eastAsia" w:ascii="宋体" w:hAnsi="宋体" w:eastAsia="宋体" w:cs="宋体"/>
          <w:sz w:val="24"/>
          <w:szCs w:val="24"/>
        </w:rPr>
        <w:t xml:space="preserve"> alpha </w:t>
      </w:r>
      <w:r>
        <w:rPr>
          <w:rFonts w:hint="eastAsia" w:ascii="宋体" w:hAnsi="宋体" w:eastAsia="宋体" w:cs="宋体"/>
          <w:sz w:val="24"/>
          <w:szCs w:val="24"/>
        </w:rPr>
        <w:t>的进攻型半导体股，在结构性行情中实现了优异的风险调整收益，但同时也形成了对单一板块的高度依赖。</w:t>
      </w:r>
    </w:p>
    <w:bookmarkEnd w:id="27"/>
    <w:p w14:paraId="339F8734">
      <w:pPr>
        <w:pStyle w:val="4"/>
        <w:rPr>
          <w:rFonts w:hint="eastAsia" w:ascii="宋体" w:hAnsi="宋体" w:eastAsia="宋体" w:cs="宋体"/>
          <w:sz w:val="24"/>
          <w:szCs w:val="24"/>
        </w:rPr>
      </w:pPr>
      <w:bookmarkStart w:id="28" w:name="贡献说明"/>
      <w:r>
        <w:rPr>
          <w:rFonts w:hint="eastAsia" w:ascii="宋体" w:hAnsi="宋体" w:eastAsia="宋体" w:cs="宋体"/>
          <w:sz w:val="24"/>
          <w:szCs w:val="24"/>
        </w:rPr>
        <w:t xml:space="preserve">5.2 </w:t>
      </w:r>
      <w:r>
        <w:rPr>
          <w:rFonts w:hint="eastAsia" w:ascii="宋体" w:hAnsi="宋体" w:eastAsia="宋体" w:cs="宋体"/>
          <w:sz w:val="24"/>
          <w:szCs w:val="24"/>
        </w:rPr>
        <w:t>贡献说明</w:t>
      </w:r>
    </w:p>
    <w:p w14:paraId="47F2170C">
      <w:pPr>
        <w:pStyle w:val="23"/>
        <w:rPr>
          <w:rFonts w:hint="eastAsia" w:ascii="宋体" w:hAnsi="宋体" w:eastAsia="宋体" w:cs="宋体"/>
          <w:sz w:val="24"/>
          <w:szCs w:val="24"/>
        </w:rPr>
      </w:pPr>
      <w:r>
        <w:rPr>
          <w:rFonts w:hint="eastAsia" w:ascii="宋体" w:hAnsi="宋体" w:eastAsia="宋体" w:cs="宋体"/>
          <w:b/>
          <w:bCs/>
          <w:sz w:val="24"/>
          <w:szCs w:val="24"/>
        </w:rPr>
        <w:t>主要拉动者</w:t>
      </w:r>
      <w:r>
        <w:rPr>
          <w:rFonts w:hint="eastAsia" w:ascii="宋体" w:hAnsi="宋体" w:eastAsia="宋体" w:cs="宋体"/>
          <w:sz w:val="24"/>
          <w:szCs w:val="24"/>
        </w:rPr>
        <w:t>：德明利（贡献</w:t>
      </w:r>
      <w:r>
        <w:rPr>
          <w:rFonts w:hint="eastAsia" w:ascii="宋体" w:hAnsi="宋体" w:eastAsia="宋体" w:cs="宋体"/>
          <w:sz w:val="24"/>
          <w:szCs w:val="24"/>
        </w:rPr>
        <w:t xml:space="preserve"> </w:t>
      </w:r>
      <w:r>
        <w:rPr>
          <w:rFonts w:hint="eastAsia" w:ascii="宋体" w:hAnsi="宋体" w:eastAsia="宋体" w:cs="宋体"/>
          <w:sz w:val="24"/>
          <w:szCs w:val="24"/>
        </w:rPr>
        <w:t>+0.466）、江波龙（贡献</w:t>
      </w:r>
      <w:r>
        <w:rPr>
          <w:rFonts w:hint="eastAsia" w:ascii="宋体" w:hAnsi="宋体" w:eastAsia="宋体" w:cs="宋体"/>
          <w:sz w:val="24"/>
          <w:szCs w:val="24"/>
        </w:rPr>
        <w:t xml:space="preserve"> </w:t>
      </w:r>
      <w:r>
        <w:rPr>
          <w:rFonts w:hint="eastAsia" w:ascii="宋体" w:hAnsi="宋体" w:eastAsia="宋体" w:cs="宋体"/>
          <w:sz w:val="24"/>
          <w:szCs w:val="24"/>
        </w:rPr>
        <w:t>+0.404）、佰维存储（贡献</w:t>
      </w:r>
      <w:r>
        <w:rPr>
          <w:rFonts w:hint="eastAsia" w:ascii="宋体" w:hAnsi="宋体" w:eastAsia="宋体" w:cs="宋体"/>
          <w:sz w:val="24"/>
          <w:szCs w:val="24"/>
        </w:rPr>
        <w:t xml:space="preserve"> </w:t>
      </w:r>
      <w:r>
        <w:rPr>
          <w:rFonts w:hint="eastAsia" w:ascii="宋体" w:hAnsi="宋体" w:eastAsia="宋体" w:cs="宋体"/>
          <w:sz w:val="24"/>
          <w:szCs w:val="24"/>
        </w:rPr>
        <w:t>+0.374）。三只存储芯片股合计贡献了组合约124%的收益，是策略超额收益的核心来源。它们在19个调仓月中有15-16个月被选中，构成策略的”核心三角”。</w:t>
      </w:r>
    </w:p>
    <w:p w14:paraId="2073DA0C">
      <w:pPr>
        <w:pStyle w:val="3"/>
        <w:rPr>
          <w:rFonts w:hint="eastAsia" w:ascii="宋体" w:hAnsi="宋体" w:eastAsia="宋体" w:cs="宋体"/>
          <w:sz w:val="24"/>
          <w:szCs w:val="24"/>
        </w:rPr>
      </w:pPr>
      <w:r>
        <w:rPr>
          <w:rFonts w:hint="eastAsia" w:ascii="宋体" w:hAnsi="宋体" w:eastAsia="宋体" w:cs="宋体"/>
          <w:b/>
          <w:bCs/>
          <w:sz w:val="24"/>
          <w:szCs w:val="24"/>
        </w:rPr>
        <w:t>主要拖累者</w:t>
      </w:r>
      <w:r>
        <w:rPr>
          <w:rFonts w:hint="eastAsia" w:ascii="宋体" w:hAnsi="宋体" w:eastAsia="宋体" w:cs="宋体"/>
          <w:sz w:val="24"/>
          <w:szCs w:val="24"/>
        </w:rPr>
        <w:t>：奇正藏药（贡献</w:t>
      </w:r>
      <w:r>
        <w:rPr>
          <w:rFonts w:hint="eastAsia" w:ascii="宋体" w:hAnsi="宋体" w:eastAsia="宋体" w:cs="宋体"/>
          <w:sz w:val="24"/>
          <w:szCs w:val="24"/>
        </w:rPr>
        <w:t xml:space="preserve"> </w:t>
      </w:r>
      <w:r>
        <w:rPr>
          <w:rFonts w:hint="eastAsia" w:ascii="宋体" w:hAnsi="宋体" w:eastAsia="宋体" w:cs="宋体"/>
          <w:sz w:val="24"/>
          <w:szCs w:val="24"/>
        </w:rPr>
        <w:t>-0.047）、贵州茅台（贡献</w:t>
      </w:r>
      <w:r>
        <w:rPr>
          <w:rFonts w:hint="eastAsia" w:ascii="宋体" w:hAnsi="宋体" w:eastAsia="宋体" w:cs="宋体"/>
          <w:sz w:val="24"/>
          <w:szCs w:val="24"/>
        </w:rPr>
        <w:t xml:space="preserve"> </w:t>
      </w:r>
      <w:r>
        <w:rPr>
          <w:rFonts w:hint="eastAsia" w:ascii="宋体" w:hAnsi="宋体" w:eastAsia="宋体" w:cs="宋体"/>
          <w:sz w:val="24"/>
          <w:szCs w:val="24"/>
        </w:rPr>
        <w:t>-0.016）、澜起科技（贡献</w:t>
      </w:r>
      <w:r>
        <w:rPr>
          <w:rFonts w:hint="eastAsia" w:ascii="宋体" w:hAnsi="宋体" w:eastAsia="宋体" w:cs="宋体"/>
          <w:sz w:val="24"/>
          <w:szCs w:val="24"/>
        </w:rPr>
        <w:t xml:space="preserve"> </w:t>
      </w:r>
      <w:r>
        <w:rPr>
          <w:rFonts w:hint="eastAsia" w:ascii="宋体" w:hAnsi="宋体" w:eastAsia="宋体" w:cs="宋体"/>
          <w:sz w:val="24"/>
          <w:szCs w:val="24"/>
        </w:rPr>
        <w:t>-0.013）。这些股票在入选期间经历了回撤，小幅拖累了组合表现。腾讯控股（贡献</w:t>
      </w:r>
      <w:r>
        <w:rPr>
          <w:rFonts w:hint="eastAsia" w:ascii="宋体" w:hAnsi="宋体" w:eastAsia="宋体" w:cs="宋体"/>
          <w:sz w:val="24"/>
          <w:szCs w:val="24"/>
        </w:rPr>
        <w:t xml:space="preserve"> </w:t>
      </w:r>
      <w:r>
        <w:rPr>
          <w:rFonts w:hint="eastAsia" w:ascii="宋体" w:hAnsi="宋体" w:eastAsia="宋体" w:cs="宋体"/>
          <w:sz w:val="24"/>
          <w:szCs w:val="24"/>
        </w:rPr>
        <w:t>-0.003）虽入选10次但持仓期间整体微亏。</w:t>
      </w:r>
    </w:p>
    <w:p w14:paraId="5FE3BA8B">
      <w:pPr>
        <w:pStyle w:val="3"/>
        <w:rPr>
          <w:rFonts w:hint="eastAsia" w:ascii="宋体" w:hAnsi="宋体" w:eastAsia="宋体" w:cs="宋体"/>
          <w:sz w:val="24"/>
          <w:szCs w:val="24"/>
        </w:rPr>
      </w:pPr>
      <w:r>
        <w:rPr>
          <w:rFonts w:hint="eastAsia" w:ascii="宋体" w:hAnsi="宋体" w:eastAsia="宋体" w:cs="宋体"/>
          <w:b/>
          <w:bCs/>
          <w:sz w:val="24"/>
          <w:szCs w:val="24"/>
        </w:rPr>
        <w:t>行业分布</w:t>
      </w:r>
      <w:r>
        <w:rPr>
          <w:rFonts w:hint="eastAsia" w:ascii="宋体" w:hAnsi="宋体" w:eastAsia="宋体" w:cs="宋体"/>
          <w:sz w:val="24"/>
          <w:szCs w:val="24"/>
        </w:rPr>
        <w:t>：策略收益高度集中于存储芯片板块（德明利、江波龙、佰维存储），反映了2025年半导体周期上行带来的行业beta。港股（腾讯、泡泡玛特）提供了约22%的收益贡献作为补充。消费板块（美的、伊利）提供了防御性底仓但贡献有限。这一集中度特征与</w:t>
      </w:r>
      <w:r>
        <w:rPr>
          <w:rFonts w:hint="eastAsia" w:ascii="宋体" w:hAnsi="宋体" w:eastAsia="宋体" w:cs="宋体"/>
          <w:sz w:val="24"/>
          <w:szCs w:val="24"/>
        </w:rPr>
        <w:t xml:space="preserve"> Asness, Moskowitz &amp; Pedersen (2013) </w:t>
      </w:r>
      <w:r>
        <w:rPr>
          <w:rFonts w:hint="eastAsia" w:ascii="宋体" w:hAnsi="宋体" w:eastAsia="宋体" w:cs="宋体"/>
          <w:sz w:val="24"/>
          <w:szCs w:val="24"/>
        </w:rPr>
        <w:t>关于动量因子在特定行业集群中表现更突出的发现一致。</w:t>
      </w:r>
    </w:p>
    <w:p w14:paraId="6109B762">
      <w:pPr>
        <w:pStyle w:val="47"/>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34000" cy="4460240"/>
            <wp:effectExtent l="0" t="0" r="0" b="0"/>
            <wp:docPr id="49" name="Picture" descr="图4：个股贡献度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图4：个股贡献度排名"/>
                    <pic:cNvPicPr>
                      <a:picLocks noChangeAspect="1" noChangeArrowheads="1"/>
                    </pic:cNvPicPr>
                  </pic:nvPicPr>
                  <pic:blipFill>
                    <a:blip r:embed="rId9"/>
                    <a:stretch>
                      <a:fillRect/>
                    </a:stretch>
                  </pic:blipFill>
                  <pic:spPr>
                    <a:xfrm>
                      <a:off x="0" y="0"/>
                      <a:ext cx="5334000" cy="4460508"/>
                    </a:xfrm>
                    <a:prstGeom prst="rect">
                      <a:avLst/>
                    </a:prstGeom>
                    <a:noFill/>
                    <a:ln w="9525">
                      <a:noFill/>
                    </a:ln>
                  </pic:spPr>
                </pic:pic>
              </a:graphicData>
            </a:graphic>
          </wp:inline>
        </w:drawing>
      </w:r>
    </w:p>
    <w:p w14:paraId="4C25181A">
      <w:pPr>
        <w:pStyle w:val="45"/>
        <w:jc w:val="center"/>
        <w:rPr>
          <w:rFonts w:hint="eastAsia" w:ascii="宋体" w:hAnsi="宋体" w:eastAsia="宋体" w:cs="宋体"/>
          <w:sz w:val="24"/>
          <w:szCs w:val="24"/>
        </w:rPr>
      </w:pPr>
      <w:r>
        <w:rPr>
          <w:rFonts w:hint="eastAsia" w:ascii="宋体" w:hAnsi="宋体" w:eastAsia="宋体" w:cs="宋体"/>
          <w:sz w:val="24"/>
          <w:szCs w:val="24"/>
        </w:rPr>
        <w:t>图4：个股贡献度排名</w:t>
      </w:r>
    </w:p>
    <w:p w14:paraId="401E4FD0">
      <w:pPr>
        <w:pStyle w:val="3"/>
        <w:rPr>
          <w:rFonts w:hint="eastAsia" w:ascii="宋体" w:hAnsi="宋体" w:eastAsia="宋体" w:cs="宋体"/>
          <w:sz w:val="24"/>
          <w:szCs w:val="24"/>
        </w:rPr>
      </w:pPr>
      <w:r>
        <w:rPr>
          <w:rFonts w:hint="eastAsia" w:ascii="宋体" w:hAnsi="宋体" w:eastAsia="宋体" w:cs="宋体"/>
          <w:b/>
          <w:bCs/>
          <w:sz w:val="24"/>
          <w:szCs w:val="24"/>
        </w:rPr>
        <w:t>现象</w:t>
      </w:r>
      <w:r>
        <w:rPr>
          <w:rFonts w:hint="eastAsia" w:ascii="宋体" w:hAnsi="宋体" w:eastAsia="宋体" w:cs="宋体"/>
          <w:sz w:val="24"/>
          <w:szCs w:val="24"/>
        </w:rPr>
        <w:t>：条形图按贡献度从高到低排列全部</w:t>
      </w:r>
      <w:r>
        <w:rPr>
          <w:rFonts w:hint="eastAsia" w:ascii="宋体" w:hAnsi="宋体" w:eastAsia="宋体" w:cs="宋体"/>
          <w:sz w:val="24"/>
          <w:szCs w:val="24"/>
        </w:rPr>
        <w:t xml:space="preserve"> 20 </w:t>
      </w:r>
      <w:r>
        <w:rPr>
          <w:rFonts w:hint="eastAsia" w:ascii="宋体" w:hAnsi="宋体" w:eastAsia="宋体" w:cs="宋体"/>
          <w:sz w:val="24"/>
          <w:szCs w:val="24"/>
        </w:rPr>
        <w:t>只股票。红色半导体股（德明利、江波龙、佰维存储、兆易创新、普冉股份）占据前</w:t>
      </w:r>
      <w:r>
        <w:rPr>
          <w:rFonts w:hint="eastAsia" w:ascii="宋体" w:hAnsi="宋体" w:eastAsia="宋体" w:cs="宋体"/>
          <w:sz w:val="24"/>
          <w:szCs w:val="24"/>
        </w:rPr>
        <w:t xml:space="preserve"> 5 </w:t>
      </w:r>
      <w:r>
        <w:rPr>
          <w:rFonts w:hint="eastAsia" w:ascii="宋体" w:hAnsi="宋体" w:eastAsia="宋体" w:cs="宋体"/>
          <w:sz w:val="24"/>
          <w:szCs w:val="24"/>
        </w:rPr>
        <w:t>名，合计贡献超过</w:t>
      </w:r>
      <w:r>
        <w:rPr>
          <w:rFonts w:hint="eastAsia" w:ascii="宋体" w:hAnsi="宋体" w:eastAsia="宋体" w:cs="宋体"/>
          <w:sz w:val="24"/>
          <w:szCs w:val="24"/>
        </w:rPr>
        <w:t xml:space="preserve"> </w:t>
      </w:r>
      <w:r>
        <w:rPr>
          <w:rFonts w:hint="eastAsia" w:ascii="宋体" w:hAnsi="宋体" w:eastAsia="宋体" w:cs="宋体"/>
          <w:sz w:val="24"/>
          <w:szCs w:val="24"/>
        </w:rPr>
        <w:t>1.3。绿色医药股和蓝色消费股集中在零附近，贡献有限。6</w:t>
      </w:r>
      <w:r>
        <w:rPr>
          <w:rFonts w:hint="eastAsia" w:ascii="宋体" w:hAnsi="宋体" w:eastAsia="宋体" w:cs="宋体"/>
          <w:sz w:val="24"/>
          <w:szCs w:val="24"/>
        </w:rPr>
        <w:t xml:space="preserve"> </w:t>
      </w:r>
      <w:r>
        <w:rPr>
          <w:rFonts w:hint="eastAsia" w:ascii="宋体" w:hAnsi="宋体" w:eastAsia="宋体" w:cs="宋体"/>
          <w:sz w:val="24"/>
          <w:szCs w:val="24"/>
        </w:rPr>
        <w:t>只从未被选中的股票贡献为零，腾讯控股虽入选</w:t>
      </w:r>
      <w:r>
        <w:rPr>
          <w:rFonts w:hint="eastAsia" w:ascii="宋体" w:hAnsi="宋体" w:eastAsia="宋体" w:cs="宋体"/>
          <w:sz w:val="24"/>
          <w:szCs w:val="24"/>
        </w:rPr>
        <w:t xml:space="preserve"> 10 </w:t>
      </w:r>
      <w:r>
        <w:rPr>
          <w:rFonts w:hint="eastAsia" w:ascii="宋体" w:hAnsi="宋体" w:eastAsia="宋体" w:cs="宋体"/>
          <w:sz w:val="24"/>
          <w:szCs w:val="24"/>
        </w:rPr>
        <w:t>次但贡献为负（-0.003）。</w:t>
      </w:r>
    </w:p>
    <w:p w14:paraId="766714FD">
      <w:pPr>
        <w:pStyle w:val="3"/>
        <w:rPr>
          <w:rFonts w:hint="eastAsia" w:ascii="宋体" w:hAnsi="宋体" w:eastAsia="宋体" w:cs="宋体"/>
          <w:sz w:val="24"/>
          <w:szCs w:val="24"/>
        </w:rPr>
      </w:pPr>
      <w:r>
        <w:rPr>
          <w:rFonts w:hint="eastAsia" w:ascii="宋体" w:hAnsi="宋体" w:eastAsia="宋体" w:cs="宋体"/>
          <w:b/>
          <w:bCs/>
          <w:sz w:val="24"/>
          <w:szCs w:val="24"/>
        </w:rPr>
        <w:t>解释</w:t>
      </w:r>
      <w:r>
        <w:rPr>
          <w:rFonts w:hint="eastAsia" w:ascii="宋体" w:hAnsi="宋体" w:eastAsia="宋体" w:cs="宋体"/>
          <w:sz w:val="24"/>
          <w:szCs w:val="24"/>
        </w:rPr>
        <w:t>：德明利（+0.466）、江波龙（+0.404）、佰维存储（+0.374）三只存储芯片股在</w:t>
      </w:r>
      <w:r>
        <w:rPr>
          <w:rFonts w:hint="eastAsia" w:ascii="宋体" w:hAnsi="宋体" w:eastAsia="宋体" w:cs="宋体"/>
          <w:sz w:val="24"/>
          <w:szCs w:val="24"/>
        </w:rPr>
        <w:t xml:space="preserve"> 19 </w:t>
      </w:r>
      <w:r>
        <w:rPr>
          <w:rFonts w:hint="eastAsia" w:ascii="宋体" w:hAnsi="宋体" w:eastAsia="宋体" w:cs="宋体"/>
          <w:sz w:val="24"/>
          <w:szCs w:val="24"/>
        </w:rPr>
        <w:t>个调仓月中有</w:t>
      </w:r>
      <w:r>
        <w:rPr>
          <w:rFonts w:hint="eastAsia" w:ascii="宋体" w:hAnsi="宋体" w:eastAsia="宋体" w:cs="宋体"/>
          <w:sz w:val="24"/>
          <w:szCs w:val="24"/>
        </w:rPr>
        <w:t xml:space="preserve"> 15-16 </w:t>
      </w:r>
      <w:r>
        <w:rPr>
          <w:rFonts w:hint="eastAsia" w:ascii="宋体" w:hAnsi="宋体" w:eastAsia="宋体" w:cs="宋体"/>
          <w:sz w:val="24"/>
          <w:szCs w:val="24"/>
        </w:rPr>
        <w:t>个月被选中，构成策略的”核心三角”，合计贡献约</w:t>
      </w:r>
      <w:r>
        <w:rPr>
          <w:rFonts w:hint="eastAsia" w:ascii="宋体" w:hAnsi="宋体" w:eastAsia="宋体" w:cs="宋体"/>
          <w:sz w:val="24"/>
          <w:szCs w:val="24"/>
        </w:rPr>
        <w:t xml:space="preserve"> 124% </w:t>
      </w:r>
      <w:r>
        <w:rPr>
          <w:rFonts w:hint="eastAsia" w:ascii="宋体" w:hAnsi="宋体" w:eastAsia="宋体" w:cs="宋体"/>
          <w:sz w:val="24"/>
          <w:szCs w:val="24"/>
        </w:rPr>
        <w:t>的组合收益。它们的正贡献来源于</w:t>
      </w:r>
      <w:r>
        <w:rPr>
          <w:rFonts w:hint="eastAsia" w:ascii="宋体" w:hAnsi="宋体" w:eastAsia="宋体" w:cs="宋体"/>
          <w:sz w:val="24"/>
          <w:szCs w:val="24"/>
        </w:rPr>
        <w:t xml:space="preserve"> 2025 </w:t>
      </w:r>
      <w:r>
        <w:rPr>
          <w:rFonts w:hint="eastAsia" w:ascii="宋体" w:hAnsi="宋体" w:eastAsia="宋体" w:cs="宋体"/>
          <w:sz w:val="24"/>
          <w:szCs w:val="24"/>
        </w:rPr>
        <w:t>年半导体周期上行期间的持续上涨。腾讯控股虽入选</w:t>
      </w:r>
      <w:r>
        <w:rPr>
          <w:rFonts w:hint="eastAsia" w:ascii="宋体" w:hAnsi="宋体" w:eastAsia="宋体" w:cs="宋体"/>
          <w:sz w:val="24"/>
          <w:szCs w:val="24"/>
        </w:rPr>
        <w:t xml:space="preserve"> 10 </w:t>
      </w:r>
      <w:r>
        <w:rPr>
          <w:rFonts w:hint="eastAsia" w:ascii="宋体" w:hAnsi="宋体" w:eastAsia="宋体" w:cs="宋体"/>
          <w:sz w:val="24"/>
          <w:szCs w:val="24"/>
        </w:rPr>
        <w:t>次但持仓期间整体微亏，说明高入选频率不等于正向贡献——持仓时点的价格走势才是决定因素。6</w:t>
      </w:r>
      <w:r>
        <w:rPr>
          <w:rFonts w:hint="eastAsia" w:ascii="宋体" w:hAnsi="宋体" w:eastAsia="宋体" w:cs="宋体"/>
          <w:sz w:val="24"/>
          <w:szCs w:val="24"/>
        </w:rPr>
        <w:t xml:space="preserve"> </w:t>
      </w:r>
      <w:r>
        <w:rPr>
          <w:rFonts w:hint="eastAsia" w:ascii="宋体" w:hAnsi="宋体" w:eastAsia="宋体" w:cs="宋体"/>
          <w:sz w:val="24"/>
          <w:szCs w:val="24"/>
        </w:rPr>
        <w:t>只从未被选中的股票（同仁堂、片仔癀、云南白药、恒瑞医药、百济神州、红利ETF）因动量和基本面因子排名始终靠后，贡献为零。</w:t>
      </w:r>
    </w:p>
    <w:p w14:paraId="67F8CA68">
      <w:pPr>
        <w:pStyle w:val="3"/>
        <w:rPr>
          <w:rFonts w:hint="eastAsia" w:ascii="宋体" w:hAnsi="宋体" w:eastAsia="宋体" w:cs="宋体"/>
          <w:sz w:val="24"/>
          <w:szCs w:val="24"/>
        </w:rPr>
      </w:pPr>
      <w:r>
        <w:rPr>
          <w:rFonts w:hint="eastAsia" w:ascii="宋体" w:hAnsi="宋体" w:eastAsia="宋体" w:cs="宋体"/>
          <w:b/>
          <w:bCs/>
          <w:sz w:val="24"/>
          <w:szCs w:val="24"/>
        </w:rPr>
        <w:t>含义</w:t>
      </w:r>
      <w:r>
        <w:rPr>
          <w:rFonts w:hint="eastAsia" w:ascii="宋体" w:hAnsi="宋体" w:eastAsia="宋体" w:cs="宋体"/>
          <w:sz w:val="24"/>
          <w:szCs w:val="24"/>
        </w:rPr>
        <w:t>：组合收益高度集中于少数个股和单一板块，存在极端的头部依赖——前</w:t>
      </w:r>
      <w:r>
        <w:rPr>
          <w:rFonts w:hint="eastAsia" w:ascii="宋体" w:hAnsi="宋体" w:eastAsia="宋体" w:cs="宋体"/>
          <w:sz w:val="24"/>
          <w:szCs w:val="24"/>
        </w:rPr>
        <w:t xml:space="preserve"> 3 </w:t>
      </w:r>
      <w:r>
        <w:rPr>
          <w:rFonts w:hint="eastAsia" w:ascii="宋体" w:hAnsi="宋体" w:eastAsia="宋体" w:cs="宋体"/>
          <w:sz w:val="24"/>
          <w:szCs w:val="24"/>
        </w:rPr>
        <w:t>只股票贡献了约</w:t>
      </w:r>
      <w:r>
        <w:rPr>
          <w:rFonts w:hint="eastAsia" w:ascii="宋体" w:hAnsi="宋体" w:eastAsia="宋体" w:cs="宋体"/>
          <w:sz w:val="24"/>
          <w:szCs w:val="24"/>
        </w:rPr>
        <w:t xml:space="preserve"> 124% </w:t>
      </w:r>
      <w:r>
        <w:rPr>
          <w:rFonts w:hint="eastAsia" w:ascii="宋体" w:hAnsi="宋体" w:eastAsia="宋体" w:cs="宋体"/>
          <w:sz w:val="24"/>
          <w:szCs w:val="24"/>
        </w:rPr>
        <w:t>的收益。这一集中度特征与动量因子在特定行业集群中表现更突出的发现一致</w:t>
      </w:r>
      <w:r>
        <w:rPr>
          <w:rFonts w:hint="eastAsia" w:ascii="宋体" w:hAnsi="宋体" w:eastAsia="宋体" w:cs="宋体"/>
          <w:sz w:val="24"/>
          <w:szCs w:val="24"/>
        </w:rPr>
        <w:t xml:space="preserve"> (Asness, Moskowitz &amp; Pedersen, </w:t>
      </w:r>
      <w:r>
        <w:rPr>
          <w:rFonts w:hint="eastAsia" w:ascii="宋体" w:hAnsi="宋体" w:eastAsia="宋体" w:cs="宋体"/>
          <w:sz w:val="24"/>
          <w:szCs w:val="24"/>
        </w:rPr>
        <w:t>2013)，但也意味着若存储芯片板块发生系统性回调，策略收益将受到严重冲击。</w:t>
      </w:r>
    </w:p>
    <w:bookmarkEnd w:id="28"/>
    <w:p w14:paraId="33308A86">
      <w:pPr>
        <w:pStyle w:val="4"/>
        <w:rPr>
          <w:rFonts w:hint="eastAsia" w:ascii="宋体" w:hAnsi="宋体" w:eastAsia="宋体" w:cs="宋体"/>
          <w:sz w:val="24"/>
          <w:szCs w:val="24"/>
        </w:rPr>
      </w:pPr>
      <w:bookmarkStart w:id="29" w:name="市场环境表现"/>
      <w:r>
        <w:rPr>
          <w:rFonts w:hint="eastAsia" w:ascii="宋体" w:hAnsi="宋体" w:eastAsia="宋体" w:cs="宋体"/>
          <w:sz w:val="24"/>
          <w:szCs w:val="24"/>
        </w:rPr>
        <w:t xml:space="preserve">5.3 </w:t>
      </w:r>
      <w:r>
        <w:rPr>
          <w:rFonts w:hint="eastAsia" w:ascii="宋体" w:hAnsi="宋体" w:eastAsia="宋体" w:cs="宋体"/>
          <w:sz w:val="24"/>
          <w:szCs w:val="24"/>
        </w:rPr>
        <w:t>市场环境表现</w:t>
      </w:r>
    </w:p>
    <w:p w14:paraId="2FC0E798">
      <w:pPr>
        <w:pStyle w:val="23"/>
        <w:rPr>
          <w:rFonts w:hint="eastAsia" w:ascii="宋体" w:hAnsi="宋体" w:eastAsia="宋体" w:cs="宋体"/>
          <w:sz w:val="24"/>
          <w:szCs w:val="24"/>
        </w:rPr>
      </w:pPr>
      <w:r>
        <w:rPr>
          <w:rFonts w:hint="eastAsia" w:ascii="宋体" w:hAnsi="宋体" w:eastAsia="宋体" w:cs="宋体"/>
          <w:sz w:val="24"/>
          <w:szCs w:val="24"/>
        </w:rPr>
        <w:t>按季度划分市场状态（沪深300季度收益</w:t>
      </w:r>
      <w:r>
        <w:rPr>
          <w:rFonts w:hint="eastAsia" w:ascii="宋体" w:hAnsi="宋体" w:eastAsia="宋体" w:cs="宋体"/>
          <w:sz w:val="24"/>
          <w:szCs w:val="24"/>
        </w:rPr>
        <w:t xml:space="preserve"> </w:t>
      </w:r>
      <w:r>
        <w:rPr>
          <w:rFonts w:hint="eastAsia" w:ascii="宋体" w:hAnsi="宋体" w:eastAsia="宋体" w:cs="宋体"/>
          <w:sz w:val="24"/>
          <w:szCs w:val="24"/>
        </w:rPr>
        <w:t>&gt;10%为上涨市，&lt;-5%为下跌市，其余为震荡市）：</w:t>
      </w:r>
    </w:p>
    <w:tbl>
      <w:tblPr>
        <w:tblStyle w:val="41"/>
        <w:tblW w:w="0" w:type="auto"/>
        <w:tblInd w:w="0" w:type="dxa"/>
        <w:tblLayout w:type="autofit"/>
        <w:tblCellMar>
          <w:top w:w="0" w:type="dxa"/>
          <w:left w:w="108" w:type="dxa"/>
          <w:bottom w:w="0" w:type="dxa"/>
          <w:right w:w="108" w:type="dxa"/>
        </w:tblCellMar>
      </w:tblPr>
      <w:tblGrid>
        <w:gridCol w:w="1176"/>
        <w:gridCol w:w="936"/>
        <w:gridCol w:w="1416"/>
        <w:gridCol w:w="1416"/>
        <w:gridCol w:w="1176"/>
      </w:tblGrid>
      <w:tr w14:paraId="552167C9">
        <w:trPr>
          <w:tblHeader/>
        </w:trPr>
        <w:tc>
          <w:p w14:paraId="6BDB12B7">
            <w:pPr>
              <w:pStyle w:val="24"/>
              <w:jc w:val="left"/>
              <w:rPr>
                <w:rFonts w:hint="eastAsia" w:ascii="宋体" w:hAnsi="宋体" w:eastAsia="宋体" w:cs="宋体"/>
                <w:sz w:val="24"/>
                <w:szCs w:val="24"/>
              </w:rPr>
            </w:pPr>
            <w:r>
              <w:rPr>
                <w:rFonts w:hint="eastAsia" w:ascii="宋体" w:hAnsi="宋体" w:eastAsia="宋体" w:cs="宋体"/>
                <w:sz w:val="24"/>
                <w:szCs w:val="24"/>
              </w:rPr>
              <w:t>市场状态</w:t>
            </w:r>
          </w:p>
        </w:tc>
        <w:tc>
          <w:p w14:paraId="6EB7F11F">
            <w:pPr>
              <w:pStyle w:val="24"/>
              <w:jc w:val="left"/>
              <w:rPr>
                <w:rFonts w:hint="eastAsia" w:ascii="宋体" w:hAnsi="宋体" w:eastAsia="宋体" w:cs="宋体"/>
                <w:sz w:val="24"/>
                <w:szCs w:val="24"/>
              </w:rPr>
            </w:pPr>
            <w:r>
              <w:rPr>
                <w:rFonts w:hint="eastAsia" w:ascii="宋体" w:hAnsi="宋体" w:eastAsia="宋体" w:cs="宋体"/>
                <w:sz w:val="24"/>
                <w:szCs w:val="24"/>
              </w:rPr>
              <w:t>时段</w:t>
            </w:r>
          </w:p>
        </w:tc>
        <w:tc>
          <w:p w14:paraId="7CB0C609">
            <w:pPr>
              <w:pStyle w:val="24"/>
              <w:jc w:val="right"/>
              <w:rPr>
                <w:rFonts w:hint="eastAsia" w:ascii="宋体" w:hAnsi="宋体" w:eastAsia="宋体" w:cs="宋体"/>
                <w:sz w:val="24"/>
                <w:szCs w:val="24"/>
              </w:rPr>
            </w:pPr>
            <w:r>
              <w:rPr>
                <w:rFonts w:hint="eastAsia" w:ascii="宋体" w:hAnsi="宋体" w:eastAsia="宋体" w:cs="宋体"/>
                <w:sz w:val="24"/>
                <w:szCs w:val="24"/>
              </w:rPr>
              <w:t>组合收益率</w:t>
            </w:r>
          </w:p>
        </w:tc>
        <w:tc>
          <w:p w14:paraId="03BDB9B6">
            <w:pPr>
              <w:pStyle w:val="24"/>
              <w:jc w:val="right"/>
              <w:rPr>
                <w:rFonts w:hint="eastAsia" w:ascii="宋体" w:hAnsi="宋体" w:eastAsia="宋体" w:cs="宋体"/>
                <w:sz w:val="24"/>
                <w:szCs w:val="24"/>
              </w:rPr>
            </w:pPr>
            <w:r>
              <w:rPr>
                <w:rFonts w:hint="eastAsia" w:ascii="宋体" w:hAnsi="宋体" w:eastAsia="宋体" w:cs="宋体"/>
                <w:sz w:val="24"/>
                <w:szCs w:val="24"/>
              </w:rPr>
              <w:t>基准收益率</w:t>
            </w:r>
          </w:p>
        </w:tc>
        <w:tc>
          <w:p w14:paraId="4F579642">
            <w:pPr>
              <w:pStyle w:val="24"/>
              <w:jc w:val="center"/>
              <w:rPr>
                <w:rFonts w:hint="eastAsia" w:ascii="宋体" w:hAnsi="宋体" w:eastAsia="宋体" w:cs="宋体"/>
                <w:sz w:val="24"/>
                <w:szCs w:val="24"/>
              </w:rPr>
            </w:pPr>
            <w:r>
              <w:rPr>
                <w:rFonts w:hint="eastAsia" w:ascii="宋体" w:hAnsi="宋体" w:eastAsia="宋体" w:cs="宋体"/>
                <w:sz w:val="24"/>
                <w:szCs w:val="24"/>
              </w:rPr>
              <w:t>是否跑赢</w:t>
            </w:r>
          </w:p>
        </w:tc>
      </w:tr>
      <w:tr w14:paraId="352D842C">
        <w:tc>
          <w:p w14:paraId="1C64D3BE">
            <w:pPr>
              <w:pStyle w:val="24"/>
              <w:jc w:val="left"/>
              <w:rPr>
                <w:rFonts w:hint="eastAsia" w:ascii="宋体" w:hAnsi="宋体" w:eastAsia="宋体" w:cs="宋体"/>
                <w:sz w:val="24"/>
                <w:szCs w:val="24"/>
              </w:rPr>
            </w:pPr>
            <w:r>
              <w:rPr>
                <w:rFonts w:hint="eastAsia" w:ascii="宋体" w:hAnsi="宋体" w:eastAsia="宋体" w:cs="宋体"/>
                <w:sz w:val="24"/>
                <w:szCs w:val="24"/>
              </w:rPr>
              <w:t>震荡市</w:t>
            </w:r>
          </w:p>
        </w:tc>
        <w:tc>
          <w:p w14:paraId="0ECF34BD">
            <w:pPr>
              <w:pStyle w:val="24"/>
              <w:jc w:val="left"/>
              <w:rPr>
                <w:rFonts w:hint="eastAsia" w:ascii="宋体" w:hAnsi="宋体" w:eastAsia="宋体" w:cs="宋体"/>
                <w:sz w:val="24"/>
                <w:szCs w:val="24"/>
              </w:rPr>
            </w:pPr>
            <w:r>
              <w:rPr>
                <w:rFonts w:hint="eastAsia" w:ascii="宋体" w:hAnsi="宋体" w:eastAsia="宋体" w:cs="宋体"/>
                <w:sz w:val="24"/>
                <w:szCs w:val="24"/>
              </w:rPr>
              <w:t>2025Q1</w:t>
            </w:r>
          </w:p>
        </w:tc>
        <w:tc>
          <w:p w14:paraId="3B624320">
            <w:pPr>
              <w:pStyle w:val="24"/>
              <w:jc w:val="right"/>
              <w:rPr>
                <w:rFonts w:hint="eastAsia" w:ascii="宋体" w:hAnsi="宋体" w:eastAsia="宋体" w:cs="宋体"/>
                <w:sz w:val="24"/>
                <w:szCs w:val="24"/>
              </w:rPr>
            </w:pPr>
            <w:r>
              <w:rPr>
                <w:rFonts w:hint="eastAsia" w:ascii="宋体" w:hAnsi="宋体" w:eastAsia="宋体" w:cs="宋体"/>
                <w:sz w:val="24"/>
                <w:szCs w:val="24"/>
              </w:rPr>
              <w:t>+13.7%</w:t>
            </w:r>
          </w:p>
        </w:tc>
        <w:tc>
          <w:p w14:paraId="0F7FB584">
            <w:pPr>
              <w:pStyle w:val="24"/>
              <w:jc w:val="right"/>
              <w:rPr>
                <w:rFonts w:hint="eastAsia" w:ascii="宋体" w:hAnsi="宋体" w:eastAsia="宋体" w:cs="宋体"/>
                <w:sz w:val="24"/>
                <w:szCs w:val="24"/>
              </w:rPr>
            </w:pPr>
            <w:r>
              <w:rPr>
                <w:rFonts w:hint="eastAsia" w:ascii="宋体" w:hAnsi="宋体" w:eastAsia="宋体" w:cs="宋体"/>
                <w:sz w:val="24"/>
                <w:szCs w:val="24"/>
              </w:rPr>
              <w:t>+1.8%</w:t>
            </w:r>
          </w:p>
        </w:tc>
        <w:tc>
          <w:p w14:paraId="72712A8C">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497D21F0">
        <w:tc>
          <w:p w14:paraId="5B4C6470">
            <w:pPr>
              <w:pStyle w:val="24"/>
              <w:jc w:val="left"/>
              <w:rPr>
                <w:rFonts w:hint="eastAsia" w:ascii="宋体" w:hAnsi="宋体" w:eastAsia="宋体" w:cs="宋体"/>
                <w:sz w:val="24"/>
                <w:szCs w:val="24"/>
              </w:rPr>
            </w:pPr>
            <w:r>
              <w:rPr>
                <w:rFonts w:hint="eastAsia" w:ascii="宋体" w:hAnsi="宋体" w:eastAsia="宋体" w:cs="宋体"/>
                <w:sz w:val="24"/>
                <w:szCs w:val="24"/>
              </w:rPr>
              <w:t>震荡市</w:t>
            </w:r>
          </w:p>
        </w:tc>
        <w:tc>
          <w:p w14:paraId="34D67B3C">
            <w:pPr>
              <w:pStyle w:val="24"/>
              <w:jc w:val="left"/>
              <w:rPr>
                <w:rFonts w:hint="eastAsia" w:ascii="宋体" w:hAnsi="宋体" w:eastAsia="宋体" w:cs="宋体"/>
                <w:sz w:val="24"/>
                <w:szCs w:val="24"/>
              </w:rPr>
            </w:pPr>
            <w:r>
              <w:rPr>
                <w:rFonts w:hint="eastAsia" w:ascii="宋体" w:hAnsi="宋体" w:eastAsia="宋体" w:cs="宋体"/>
                <w:sz w:val="24"/>
                <w:szCs w:val="24"/>
              </w:rPr>
              <w:t>2025Q2</w:t>
            </w:r>
          </w:p>
        </w:tc>
        <w:tc>
          <w:p w14:paraId="110DDE3D">
            <w:pPr>
              <w:pStyle w:val="24"/>
              <w:jc w:val="right"/>
              <w:rPr>
                <w:rFonts w:hint="eastAsia" w:ascii="宋体" w:hAnsi="宋体" w:eastAsia="宋体" w:cs="宋体"/>
                <w:sz w:val="24"/>
                <w:szCs w:val="24"/>
              </w:rPr>
            </w:pPr>
            <w:r>
              <w:rPr>
                <w:rFonts w:hint="eastAsia" w:ascii="宋体" w:hAnsi="宋体" w:eastAsia="宋体" w:cs="宋体"/>
                <w:sz w:val="24"/>
                <w:szCs w:val="24"/>
              </w:rPr>
              <w:t>+2.7%</w:t>
            </w:r>
          </w:p>
        </w:tc>
        <w:tc>
          <w:p w14:paraId="63E506BC">
            <w:pPr>
              <w:pStyle w:val="24"/>
              <w:jc w:val="right"/>
              <w:rPr>
                <w:rFonts w:hint="eastAsia" w:ascii="宋体" w:hAnsi="宋体" w:eastAsia="宋体" w:cs="宋体"/>
                <w:sz w:val="24"/>
                <w:szCs w:val="24"/>
              </w:rPr>
            </w:pPr>
            <w:r>
              <w:rPr>
                <w:rFonts w:hint="eastAsia" w:ascii="宋体" w:hAnsi="宋体" w:eastAsia="宋体" w:cs="宋体"/>
                <w:sz w:val="24"/>
                <w:szCs w:val="24"/>
              </w:rPr>
              <w:t>+1.2%</w:t>
            </w:r>
          </w:p>
        </w:tc>
        <w:tc>
          <w:p w14:paraId="57BDBCDA">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42161EC1">
        <w:tc>
          <w:p w14:paraId="0ED89F2A">
            <w:pPr>
              <w:pStyle w:val="24"/>
              <w:jc w:val="left"/>
              <w:rPr>
                <w:rFonts w:hint="eastAsia" w:ascii="宋体" w:hAnsi="宋体" w:eastAsia="宋体" w:cs="宋体"/>
                <w:sz w:val="24"/>
                <w:szCs w:val="24"/>
              </w:rPr>
            </w:pPr>
            <w:r>
              <w:rPr>
                <w:rFonts w:hint="eastAsia" w:ascii="宋体" w:hAnsi="宋体" w:eastAsia="宋体" w:cs="宋体"/>
                <w:sz w:val="24"/>
                <w:szCs w:val="24"/>
              </w:rPr>
              <w:t>上涨市</w:t>
            </w:r>
          </w:p>
        </w:tc>
        <w:tc>
          <w:p w14:paraId="0B6845ED">
            <w:pPr>
              <w:pStyle w:val="24"/>
              <w:jc w:val="left"/>
              <w:rPr>
                <w:rFonts w:hint="eastAsia" w:ascii="宋体" w:hAnsi="宋体" w:eastAsia="宋体" w:cs="宋体"/>
                <w:sz w:val="24"/>
                <w:szCs w:val="24"/>
              </w:rPr>
            </w:pPr>
            <w:r>
              <w:rPr>
                <w:rFonts w:hint="eastAsia" w:ascii="宋体" w:hAnsi="宋体" w:eastAsia="宋体" w:cs="宋体"/>
                <w:sz w:val="24"/>
                <w:szCs w:val="24"/>
              </w:rPr>
              <w:t>2025Q3</w:t>
            </w:r>
          </w:p>
        </w:tc>
        <w:tc>
          <w:p w14:paraId="4E6AE446">
            <w:pPr>
              <w:pStyle w:val="24"/>
              <w:jc w:val="right"/>
              <w:rPr>
                <w:rFonts w:hint="eastAsia" w:ascii="宋体" w:hAnsi="宋体" w:eastAsia="宋体" w:cs="宋体"/>
                <w:sz w:val="24"/>
                <w:szCs w:val="24"/>
              </w:rPr>
            </w:pPr>
            <w:r>
              <w:rPr>
                <w:rFonts w:hint="eastAsia" w:ascii="宋体" w:hAnsi="宋体" w:eastAsia="宋体" w:cs="宋体"/>
                <w:sz w:val="24"/>
                <w:szCs w:val="24"/>
              </w:rPr>
              <w:t>+69.8%</w:t>
            </w:r>
          </w:p>
        </w:tc>
        <w:tc>
          <w:p w14:paraId="371ED214">
            <w:pPr>
              <w:pStyle w:val="24"/>
              <w:jc w:val="right"/>
              <w:rPr>
                <w:rFonts w:hint="eastAsia" w:ascii="宋体" w:hAnsi="宋体" w:eastAsia="宋体" w:cs="宋体"/>
                <w:sz w:val="24"/>
                <w:szCs w:val="24"/>
              </w:rPr>
            </w:pPr>
            <w:r>
              <w:rPr>
                <w:rFonts w:hint="eastAsia" w:ascii="宋体" w:hAnsi="宋体" w:eastAsia="宋体" w:cs="宋体"/>
                <w:sz w:val="24"/>
                <w:szCs w:val="24"/>
              </w:rPr>
              <w:t>+17.7%</w:t>
            </w:r>
          </w:p>
        </w:tc>
        <w:tc>
          <w:p w14:paraId="0790C700">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454A91B5">
        <w:tc>
          <w:p w14:paraId="312FC80A">
            <w:pPr>
              <w:pStyle w:val="24"/>
              <w:jc w:val="left"/>
              <w:rPr>
                <w:rFonts w:hint="eastAsia" w:ascii="宋体" w:hAnsi="宋体" w:eastAsia="宋体" w:cs="宋体"/>
                <w:sz w:val="24"/>
                <w:szCs w:val="24"/>
              </w:rPr>
            </w:pPr>
            <w:r>
              <w:rPr>
                <w:rFonts w:hint="eastAsia" w:ascii="宋体" w:hAnsi="宋体" w:eastAsia="宋体" w:cs="宋体"/>
                <w:sz w:val="24"/>
                <w:szCs w:val="24"/>
              </w:rPr>
              <w:t>震荡市</w:t>
            </w:r>
          </w:p>
        </w:tc>
        <w:tc>
          <w:p w14:paraId="62E2F7F0">
            <w:pPr>
              <w:pStyle w:val="24"/>
              <w:jc w:val="left"/>
              <w:rPr>
                <w:rFonts w:hint="eastAsia" w:ascii="宋体" w:hAnsi="宋体" w:eastAsia="宋体" w:cs="宋体"/>
                <w:sz w:val="24"/>
                <w:szCs w:val="24"/>
              </w:rPr>
            </w:pPr>
            <w:r>
              <w:rPr>
                <w:rFonts w:hint="eastAsia" w:ascii="宋体" w:hAnsi="宋体" w:eastAsia="宋体" w:cs="宋体"/>
                <w:sz w:val="24"/>
                <w:szCs w:val="24"/>
              </w:rPr>
              <w:t>2025Q4</w:t>
            </w:r>
          </w:p>
        </w:tc>
        <w:tc>
          <w:p w14:paraId="0D16A346">
            <w:pPr>
              <w:pStyle w:val="24"/>
              <w:jc w:val="right"/>
              <w:rPr>
                <w:rFonts w:hint="eastAsia" w:ascii="宋体" w:hAnsi="宋体" w:eastAsia="宋体" w:cs="宋体"/>
                <w:sz w:val="24"/>
                <w:szCs w:val="24"/>
              </w:rPr>
            </w:pPr>
            <w:r>
              <w:rPr>
                <w:rFonts w:hint="eastAsia" w:ascii="宋体" w:hAnsi="宋体" w:eastAsia="宋体" w:cs="宋体"/>
                <w:sz w:val="24"/>
                <w:szCs w:val="24"/>
              </w:rPr>
              <w:t>+14.9%</w:t>
            </w:r>
          </w:p>
        </w:tc>
        <w:tc>
          <w:p w14:paraId="600D25D7">
            <w:pPr>
              <w:pStyle w:val="24"/>
              <w:jc w:val="right"/>
              <w:rPr>
                <w:rFonts w:hint="eastAsia" w:ascii="宋体" w:hAnsi="宋体" w:eastAsia="宋体" w:cs="宋体"/>
                <w:sz w:val="24"/>
                <w:szCs w:val="24"/>
              </w:rPr>
            </w:pPr>
            <w:r>
              <w:rPr>
                <w:rFonts w:hint="eastAsia" w:ascii="宋体" w:hAnsi="宋体" w:eastAsia="宋体" w:cs="宋体"/>
                <w:sz w:val="24"/>
                <w:szCs w:val="24"/>
              </w:rPr>
              <w:t>-1.7%</w:t>
            </w:r>
          </w:p>
        </w:tc>
        <w:tc>
          <w:p w14:paraId="2B04BE32">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03E5D513">
        <w:tc>
          <w:p w14:paraId="4F3EADB6">
            <w:pPr>
              <w:pStyle w:val="24"/>
              <w:jc w:val="left"/>
              <w:rPr>
                <w:rFonts w:hint="eastAsia" w:ascii="宋体" w:hAnsi="宋体" w:eastAsia="宋体" w:cs="宋体"/>
                <w:sz w:val="24"/>
                <w:szCs w:val="24"/>
              </w:rPr>
            </w:pPr>
            <w:r>
              <w:rPr>
                <w:rFonts w:hint="eastAsia" w:ascii="宋体" w:hAnsi="宋体" w:eastAsia="宋体" w:cs="宋体"/>
                <w:sz w:val="24"/>
                <w:szCs w:val="24"/>
              </w:rPr>
              <w:t>下跌市</w:t>
            </w:r>
          </w:p>
        </w:tc>
        <w:tc>
          <w:p w14:paraId="35A1013C">
            <w:pPr>
              <w:pStyle w:val="24"/>
              <w:jc w:val="left"/>
              <w:rPr>
                <w:rFonts w:hint="eastAsia" w:ascii="宋体" w:hAnsi="宋体" w:eastAsia="宋体" w:cs="宋体"/>
                <w:sz w:val="24"/>
                <w:szCs w:val="24"/>
              </w:rPr>
            </w:pPr>
            <w:r>
              <w:rPr>
                <w:rFonts w:hint="eastAsia" w:ascii="宋体" w:hAnsi="宋体" w:eastAsia="宋体" w:cs="宋体"/>
                <w:sz w:val="24"/>
                <w:szCs w:val="24"/>
              </w:rPr>
              <w:t>2026Q1</w:t>
            </w:r>
          </w:p>
        </w:tc>
        <w:tc>
          <w:p w14:paraId="4033AFC2">
            <w:pPr>
              <w:pStyle w:val="24"/>
              <w:jc w:val="right"/>
              <w:rPr>
                <w:rFonts w:hint="eastAsia" w:ascii="宋体" w:hAnsi="宋体" w:eastAsia="宋体" w:cs="宋体"/>
                <w:sz w:val="24"/>
                <w:szCs w:val="24"/>
              </w:rPr>
            </w:pPr>
            <w:r>
              <w:rPr>
                <w:rFonts w:hint="eastAsia" w:ascii="宋体" w:hAnsi="宋体" w:eastAsia="宋体" w:cs="宋体"/>
                <w:sz w:val="24"/>
                <w:szCs w:val="24"/>
              </w:rPr>
              <w:t>-0.5%</w:t>
            </w:r>
          </w:p>
        </w:tc>
        <w:tc>
          <w:p w14:paraId="2BC2C072">
            <w:pPr>
              <w:pStyle w:val="24"/>
              <w:jc w:val="right"/>
              <w:rPr>
                <w:rFonts w:hint="eastAsia" w:ascii="宋体" w:hAnsi="宋体" w:eastAsia="宋体" w:cs="宋体"/>
                <w:sz w:val="24"/>
                <w:szCs w:val="24"/>
              </w:rPr>
            </w:pPr>
            <w:r>
              <w:rPr>
                <w:rFonts w:hint="eastAsia" w:ascii="宋体" w:hAnsi="宋体" w:eastAsia="宋体" w:cs="宋体"/>
                <w:sz w:val="24"/>
                <w:szCs w:val="24"/>
              </w:rPr>
              <w:t>-5.7%</w:t>
            </w:r>
          </w:p>
        </w:tc>
        <w:tc>
          <w:p w14:paraId="27F193BC">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1E6C3FE5">
        <w:tc>
          <w:p w14:paraId="396353E0">
            <w:pPr>
              <w:pStyle w:val="24"/>
              <w:jc w:val="left"/>
              <w:rPr>
                <w:rFonts w:hint="eastAsia" w:ascii="宋体" w:hAnsi="宋体" w:eastAsia="宋体" w:cs="宋体"/>
                <w:sz w:val="24"/>
                <w:szCs w:val="24"/>
              </w:rPr>
            </w:pPr>
            <w:r>
              <w:rPr>
                <w:rFonts w:hint="eastAsia" w:ascii="宋体" w:hAnsi="宋体" w:eastAsia="宋体" w:cs="宋体"/>
                <w:sz w:val="24"/>
                <w:szCs w:val="24"/>
              </w:rPr>
              <w:t>上涨市</w:t>
            </w:r>
          </w:p>
        </w:tc>
        <w:tc>
          <w:p w14:paraId="795CAE70">
            <w:pPr>
              <w:pStyle w:val="24"/>
              <w:jc w:val="left"/>
              <w:rPr>
                <w:rFonts w:hint="eastAsia" w:ascii="宋体" w:hAnsi="宋体" w:eastAsia="宋体" w:cs="宋体"/>
                <w:sz w:val="24"/>
                <w:szCs w:val="24"/>
              </w:rPr>
            </w:pPr>
            <w:r>
              <w:rPr>
                <w:rFonts w:hint="eastAsia" w:ascii="宋体" w:hAnsi="宋体" w:eastAsia="宋体" w:cs="宋体"/>
                <w:sz w:val="24"/>
                <w:szCs w:val="24"/>
              </w:rPr>
              <w:t>2026Q2</w:t>
            </w:r>
          </w:p>
        </w:tc>
        <w:tc>
          <w:p w14:paraId="2A9634E3">
            <w:pPr>
              <w:pStyle w:val="24"/>
              <w:jc w:val="right"/>
              <w:rPr>
                <w:rFonts w:hint="eastAsia" w:ascii="宋体" w:hAnsi="宋体" w:eastAsia="宋体" w:cs="宋体"/>
                <w:sz w:val="24"/>
                <w:szCs w:val="24"/>
              </w:rPr>
            </w:pPr>
            <w:r>
              <w:rPr>
                <w:rFonts w:hint="eastAsia" w:ascii="宋体" w:hAnsi="宋体" w:eastAsia="宋体" w:cs="宋体"/>
                <w:sz w:val="24"/>
                <w:szCs w:val="24"/>
              </w:rPr>
              <w:t>+47.3%</w:t>
            </w:r>
          </w:p>
        </w:tc>
        <w:tc>
          <w:p w14:paraId="09A61E47">
            <w:pPr>
              <w:pStyle w:val="24"/>
              <w:jc w:val="right"/>
              <w:rPr>
                <w:rFonts w:hint="eastAsia" w:ascii="宋体" w:hAnsi="宋体" w:eastAsia="宋体" w:cs="宋体"/>
                <w:sz w:val="24"/>
                <w:szCs w:val="24"/>
              </w:rPr>
            </w:pPr>
            <w:r>
              <w:rPr>
                <w:rFonts w:hint="eastAsia" w:ascii="宋体" w:hAnsi="宋体" w:eastAsia="宋体" w:cs="宋体"/>
                <w:sz w:val="24"/>
                <w:szCs w:val="24"/>
              </w:rPr>
              <w:t>+10.0%</w:t>
            </w:r>
          </w:p>
        </w:tc>
        <w:tc>
          <w:p w14:paraId="45989F30">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15858C43">
        <w:tc>
          <w:p w14:paraId="794128E4">
            <w:pPr>
              <w:pStyle w:val="24"/>
              <w:jc w:val="left"/>
              <w:rPr>
                <w:rFonts w:hint="eastAsia" w:ascii="宋体" w:hAnsi="宋体" w:eastAsia="宋体" w:cs="宋体"/>
                <w:sz w:val="24"/>
                <w:szCs w:val="24"/>
              </w:rPr>
            </w:pPr>
            <w:r>
              <w:rPr>
                <w:rFonts w:hint="eastAsia" w:ascii="宋体" w:hAnsi="宋体" w:eastAsia="宋体" w:cs="宋体"/>
                <w:sz w:val="24"/>
                <w:szCs w:val="24"/>
              </w:rPr>
              <w:t>震荡市</w:t>
            </w:r>
          </w:p>
        </w:tc>
        <w:tc>
          <w:p w14:paraId="4409E146">
            <w:pPr>
              <w:pStyle w:val="24"/>
              <w:jc w:val="left"/>
              <w:rPr>
                <w:rFonts w:hint="eastAsia" w:ascii="宋体" w:hAnsi="宋体" w:eastAsia="宋体" w:cs="宋体"/>
                <w:sz w:val="24"/>
                <w:szCs w:val="24"/>
              </w:rPr>
            </w:pPr>
            <w:r>
              <w:rPr>
                <w:rFonts w:hint="eastAsia" w:ascii="宋体" w:hAnsi="宋体" w:eastAsia="宋体" w:cs="宋体"/>
                <w:sz w:val="24"/>
                <w:szCs w:val="24"/>
              </w:rPr>
              <w:t>2026Q3</w:t>
            </w:r>
          </w:p>
        </w:tc>
        <w:tc>
          <w:p w14:paraId="512F6482">
            <w:pPr>
              <w:pStyle w:val="24"/>
              <w:jc w:val="right"/>
              <w:rPr>
                <w:rFonts w:hint="eastAsia" w:ascii="宋体" w:hAnsi="宋体" w:eastAsia="宋体" w:cs="宋体"/>
                <w:sz w:val="24"/>
                <w:szCs w:val="24"/>
              </w:rPr>
            </w:pPr>
            <w:r>
              <w:rPr>
                <w:rFonts w:hint="eastAsia" w:ascii="宋体" w:hAnsi="宋体" w:eastAsia="宋体" w:cs="宋体"/>
                <w:sz w:val="24"/>
                <w:szCs w:val="24"/>
              </w:rPr>
              <w:t>-5.7%</w:t>
            </w:r>
          </w:p>
        </w:tc>
        <w:tc>
          <w:p w14:paraId="2C3A4950">
            <w:pPr>
              <w:pStyle w:val="24"/>
              <w:jc w:val="right"/>
              <w:rPr>
                <w:rFonts w:hint="eastAsia" w:ascii="宋体" w:hAnsi="宋体" w:eastAsia="宋体" w:cs="宋体"/>
                <w:sz w:val="24"/>
                <w:szCs w:val="24"/>
              </w:rPr>
            </w:pPr>
            <w:r>
              <w:rPr>
                <w:rFonts w:hint="eastAsia" w:ascii="宋体" w:hAnsi="宋体" w:eastAsia="宋体" w:cs="宋体"/>
                <w:sz w:val="24"/>
                <w:szCs w:val="24"/>
              </w:rPr>
              <w:t>-4.4%</w:t>
            </w:r>
          </w:p>
        </w:tc>
        <w:tc>
          <w:p w14:paraId="330E9432">
            <w:pPr>
              <w:pStyle w:val="24"/>
              <w:jc w:val="center"/>
              <w:rPr>
                <w:rFonts w:hint="eastAsia" w:ascii="宋体" w:hAnsi="宋体" w:eastAsia="宋体" w:cs="宋体"/>
                <w:sz w:val="24"/>
                <w:szCs w:val="24"/>
              </w:rPr>
            </w:pPr>
            <w:r>
              <w:rPr>
                <w:rFonts w:hint="eastAsia" w:ascii="宋体" w:hAnsi="宋体" w:eastAsia="宋体" w:cs="宋体"/>
                <w:sz w:val="24"/>
                <w:szCs w:val="24"/>
              </w:rPr>
              <w:t>否</w:t>
            </w:r>
          </w:p>
        </w:tc>
      </w:tr>
    </w:tbl>
    <w:p w14:paraId="2602CD54">
      <w:pPr>
        <w:pStyle w:val="3"/>
        <w:rPr>
          <w:rFonts w:hint="eastAsia" w:ascii="宋体" w:hAnsi="宋体" w:eastAsia="宋体" w:cs="宋体"/>
          <w:sz w:val="24"/>
          <w:szCs w:val="24"/>
        </w:rPr>
      </w:pPr>
      <w:r>
        <w:rPr>
          <w:rFonts w:hint="eastAsia" w:ascii="宋体" w:hAnsi="宋体" w:eastAsia="宋体" w:cs="宋体"/>
          <w:b/>
          <w:bCs/>
          <w:sz w:val="24"/>
          <w:szCs w:val="24"/>
        </w:rPr>
        <w:t>汇总</w:t>
      </w:r>
      <w:r>
        <w:rPr>
          <w:rFonts w:hint="eastAsia" w:ascii="宋体" w:hAnsi="宋体" w:eastAsia="宋体" w:cs="宋体"/>
          <w:sz w:val="24"/>
          <w:szCs w:val="24"/>
        </w:rPr>
        <w:t>：</w:t>
      </w:r>
    </w:p>
    <w:tbl>
      <w:tblPr>
        <w:tblStyle w:val="41"/>
        <w:tblW w:w="0" w:type="auto"/>
        <w:tblInd w:w="0" w:type="dxa"/>
        <w:tblLayout w:type="autofit"/>
        <w:tblCellMar>
          <w:top w:w="0" w:type="dxa"/>
          <w:left w:w="108" w:type="dxa"/>
          <w:bottom w:w="0" w:type="dxa"/>
          <w:right w:w="108" w:type="dxa"/>
        </w:tblCellMar>
      </w:tblPr>
      <w:tblGrid>
        <w:gridCol w:w="2316"/>
        <w:gridCol w:w="1656"/>
        <w:gridCol w:w="1656"/>
        <w:gridCol w:w="1176"/>
      </w:tblGrid>
      <w:tr w14:paraId="3BBF9311">
        <w:trPr>
          <w:tblHeader/>
        </w:trPr>
        <w:tc>
          <w:p w14:paraId="1D935041">
            <w:pPr>
              <w:pStyle w:val="24"/>
              <w:jc w:val="left"/>
              <w:rPr>
                <w:rFonts w:hint="eastAsia" w:ascii="宋体" w:hAnsi="宋体" w:eastAsia="宋体" w:cs="宋体"/>
                <w:sz w:val="24"/>
                <w:szCs w:val="24"/>
              </w:rPr>
            </w:pPr>
            <w:r>
              <w:rPr>
                <w:rFonts w:hint="eastAsia" w:ascii="宋体" w:hAnsi="宋体" w:eastAsia="宋体" w:cs="宋体"/>
                <w:sz w:val="24"/>
                <w:szCs w:val="24"/>
              </w:rPr>
              <w:t>市场状态</w:t>
            </w:r>
          </w:p>
        </w:tc>
        <w:tc>
          <w:p w14:paraId="2C518286">
            <w:pPr>
              <w:pStyle w:val="24"/>
              <w:jc w:val="right"/>
              <w:rPr>
                <w:rFonts w:hint="eastAsia" w:ascii="宋体" w:hAnsi="宋体" w:eastAsia="宋体" w:cs="宋体"/>
                <w:sz w:val="24"/>
                <w:szCs w:val="24"/>
              </w:rPr>
            </w:pPr>
            <w:r>
              <w:rPr>
                <w:rFonts w:hint="eastAsia" w:ascii="宋体" w:hAnsi="宋体" w:eastAsia="宋体" w:cs="宋体"/>
                <w:sz w:val="24"/>
                <w:szCs w:val="24"/>
              </w:rPr>
              <w:t>组合平均收益</w:t>
            </w:r>
          </w:p>
        </w:tc>
        <w:tc>
          <w:p w14:paraId="7A32C3EE">
            <w:pPr>
              <w:pStyle w:val="24"/>
              <w:jc w:val="right"/>
              <w:rPr>
                <w:rFonts w:hint="eastAsia" w:ascii="宋体" w:hAnsi="宋体" w:eastAsia="宋体" w:cs="宋体"/>
                <w:sz w:val="24"/>
                <w:szCs w:val="24"/>
              </w:rPr>
            </w:pPr>
            <w:r>
              <w:rPr>
                <w:rFonts w:hint="eastAsia" w:ascii="宋体" w:hAnsi="宋体" w:eastAsia="宋体" w:cs="宋体"/>
                <w:sz w:val="24"/>
                <w:szCs w:val="24"/>
              </w:rPr>
              <w:t>基准平均收益</w:t>
            </w:r>
          </w:p>
        </w:tc>
        <w:tc>
          <w:p w14:paraId="08A90D4A">
            <w:pPr>
              <w:pStyle w:val="24"/>
              <w:jc w:val="center"/>
              <w:rPr>
                <w:rFonts w:hint="eastAsia" w:ascii="宋体" w:hAnsi="宋体" w:eastAsia="宋体" w:cs="宋体"/>
                <w:sz w:val="24"/>
                <w:szCs w:val="24"/>
              </w:rPr>
            </w:pPr>
            <w:r>
              <w:rPr>
                <w:rFonts w:hint="eastAsia" w:ascii="宋体" w:hAnsi="宋体" w:eastAsia="宋体" w:cs="宋体"/>
                <w:sz w:val="24"/>
                <w:szCs w:val="24"/>
              </w:rPr>
              <w:t>是否跑赢</w:t>
            </w:r>
          </w:p>
        </w:tc>
      </w:tr>
      <w:tr w14:paraId="6F1B7EA9">
        <w:tc>
          <w:p w14:paraId="73BB7DE3">
            <w:pPr>
              <w:pStyle w:val="24"/>
              <w:jc w:val="left"/>
              <w:rPr>
                <w:rFonts w:hint="eastAsia" w:ascii="宋体" w:hAnsi="宋体" w:eastAsia="宋体" w:cs="宋体"/>
                <w:sz w:val="24"/>
                <w:szCs w:val="24"/>
              </w:rPr>
            </w:pPr>
            <w:r>
              <w:rPr>
                <w:rFonts w:hint="eastAsia" w:ascii="宋体" w:hAnsi="宋体" w:eastAsia="宋体" w:cs="宋体"/>
                <w:sz w:val="24"/>
                <w:szCs w:val="24"/>
              </w:rPr>
              <w:t>上涨市（2个季度）</w:t>
            </w:r>
          </w:p>
        </w:tc>
        <w:tc>
          <w:p w14:paraId="2D6B4C64">
            <w:pPr>
              <w:pStyle w:val="24"/>
              <w:jc w:val="right"/>
              <w:rPr>
                <w:rFonts w:hint="eastAsia" w:ascii="宋体" w:hAnsi="宋体" w:eastAsia="宋体" w:cs="宋体"/>
                <w:sz w:val="24"/>
                <w:szCs w:val="24"/>
              </w:rPr>
            </w:pPr>
            <w:r>
              <w:rPr>
                <w:rFonts w:hint="eastAsia" w:ascii="宋体" w:hAnsi="宋体" w:eastAsia="宋体" w:cs="宋体"/>
                <w:sz w:val="24"/>
                <w:szCs w:val="24"/>
              </w:rPr>
              <w:t>+58.5%</w:t>
            </w:r>
          </w:p>
        </w:tc>
        <w:tc>
          <w:p w14:paraId="176AB7AB">
            <w:pPr>
              <w:pStyle w:val="24"/>
              <w:jc w:val="right"/>
              <w:rPr>
                <w:rFonts w:hint="eastAsia" w:ascii="宋体" w:hAnsi="宋体" w:eastAsia="宋体" w:cs="宋体"/>
                <w:sz w:val="24"/>
                <w:szCs w:val="24"/>
              </w:rPr>
            </w:pPr>
            <w:r>
              <w:rPr>
                <w:rFonts w:hint="eastAsia" w:ascii="宋体" w:hAnsi="宋体" w:eastAsia="宋体" w:cs="宋体"/>
                <w:sz w:val="24"/>
                <w:szCs w:val="24"/>
              </w:rPr>
              <w:t>+13.9%</w:t>
            </w:r>
          </w:p>
        </w:tc>
        <w:tc>
          <w:p w14:paraId="40CFD3F3">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71DAC2BF">
        <w:tc>
          <w:p w14:paraId="16FD96A2">
            <w:pPr>
              <w:pStyle w:val="24"/>
              <w:jc w:val="left"/>
              <w:rPr>
                <w:rFonts w:hint="eastAsia" w:ascii="宋体" w:hAnsi="宋体" w:eastAsia="宋体" w:cs="宋体"/>
                <w:sz w:val="24"/>
                <w:szCs w:val="24"/>
              </w:rPr>
            </w:pPr>
            <w:r>
              <w:rPr>
                <w:rFonts w:hint="eastAsia" w:ascii="宋体" w:hAnsi="宋体" w:eastAsia="宋体" w:cs="宋体"/>
                <w:sz w:val="24"/>
                <w:szCs w:val="24"/>
              </w:rPr>
              <w:t>下跌市（1个季度）</w:t>
            </w:r>
          </w:p>
        </w:tc>
        <w:tc>
          <w:p w14:paraId="69201D96">
            <w:pPr>
              <w:pStyle w:val="24"/>
              <w:jc w:val="right"/>
              <w:rPr>
                <w:rFonts w:hint="eastAsia" w:ascii="宋体" w:hAnsi="宋体" w:eastAsia="宋体" w:cs="宋体"/>
                <w:sz w:val="24"/>
                <w:szCs w:val="24"/>
              </w:rPr>
            </w:pPr>
            <w:r>
              <w:rPr>
                <w:rFonts w:hint="eastAsia" w:ascii="宋体" w:hAnsi="宋体" w:eastAsia="宋体" w:cs="宋体"/>
                <w:sz w:val="24"/>
                <w:szCs w:val="24"/>
              </w:rPr>
              <w:t>-0.5%</w:t>
            </w:r>
          </w:p>
        </w:tc>
        <w:tc>
          <w:p w14:paraId="4DB2BAEA">
            <w:pPr>
              <w:pStyle w:val="24"/>
              <w:jc w:val="right"/>
              <w:rPr>
                <w:rFonts w:hint="eastAsia" w:ascii="宋体" w:hAnsi="宋体" w:eastAsia="宋体" w:cs="宋体"/>
                <w:sz w:val="24"/>
                <w:szCs w:val="24"/>
              </w:rPr>
            </w:pPr>
            <w:r>
              <w:rPr>
                <w:rFonts w:hint="eastAsia" w:ascii="宋体" w:hAnsi="宋体" w:eastAsia="宋体" w:cs="宋体"/>
                <w:sz w:val="24"/>
                <w:szCs w:val="24"/>
              </w:rPr>
              <w:t>-5.7%</w:t>
            </w:r>
          </w:p>
        </w:tc>
        <w:tc>
          <w:p w14:paraId="73C2A6EF">
            <w:pPr>
              <w:pStyle w:val="24"/>
              <w:jc w:val="center"/>
              <w:rPr>
                <w:rFonts w:hint="eastAsia" w:ascii="宋体" w:hAnsi="宋体" w:eastAsia="宋体" w:cs="宋体"/>
                <w:sz w:val="24"/>
                <w:szCs w:val="24"/>
              </w:rPr>
            </w:pPr>
            <w:r>
              <w:rPr>
                <w:rFonts w:hint="eastAsia" w:ascii="宋体" w:hAnsi="宋体" w:eastAsia="宋体" w:cs="宋体"/>
                <w:sz w:val="24"/>
                <w:szCs w:val="24"/>
              </w:rPr>
              <w:t>是</w:t>
            </w:r>
          </w:p>
        </w:tc>
      </w:tr>
      <w:tr w14:paraId="70B8F2A4">
        <w:tc>
          <w:p w14:paraId="781B2331">
            <w:pPr>
              <w:pStyle w:val="24"/>
              <w:jc w:val="left"/>
              <w:rPr>
                <w:rFonts w:hint="eastAsia" w:ascii="宋体" w:hAnsi="宋体" w:eastAsia="宋体" w:cs="宋体"/>
                <w:sz w:val="24"/>
                <w:szCs w:val="24"/>
              </w:rPr>
            </w:pPr>
            <w:r>
              <w:rPr>
                <w:rFonts w:hint="eastAsia" w:ascii="宋体" w:hAnsi="宋体" w:eastAsia="宋体" w:cs="宋体"/>
                <w:sz w:val="24"/>
                <w:szCs w:val="24"/>
              </w:rPr>
              <w:t>震荡市（4个季度）</w:t>
            </w:r>
          </w:p>
        </w:tc>
        <w:tc>
          <w:p w14:paraId="35E7A0B3">
            <w:pPr>
              <w:pStyle w:val="24"/>
              <w:jc w:val="right"/>
              <w:rPr>
                <w:rFonts w:hint="eastAsia" w:ascii="宋体" w:hAnsi="宋体" w:eastAsia="宋体" w:cs="宋体"/>
                <w:sz w:val="24"/>
                <w:szCs w:val="24"/>
              </w:rPr>
            </w:pPr>
            <w:r>
              <w:rPr>
                <w:rFonts w:hint="eastAsia" w:ascii="宋体" w:hAnsi="宋体" w:eastAsia="宋体" w:cs="宋体"/>
                <w:sz w:val="24"/>
                <w:szCs w:val="24"/>
              </w:rPr>
              <w:t>+6.4%</w:t>
            </w:r>
          </w:p>
        </w:tc>
        <w:tc>
          <w:p w14:paraId="54E3D89F">
            <w:pPr>
              <w:pStyle w:val="24"/>
              <w:jc w:val="right"/>
              <w:rPr>
                <w:rFonts w:hint="eastAsia" w:ascii="宋体" w:hAnsi="宋体" w:eastAsia="宋体" w:cs="宋体"/>
                <w:sz w:val="24"/>
                <w:szCs w:val="24"/>
              </w:rPr>
            </w:pPr>
            <w:r>
              <w:rPr>
                <w:rFonts w:hint="eastAsia" w:ascii="宋体" w:hAnsi="宋体" w:eastAsia="宋体" w:cs="宋体"/>
                <w:sz w:val="24"/>
                <w:szCs w:val="24"/>
              </w:rPr>
              <w:t>-0.8%</w:t>
            </w:r>
          </w:p>
        </w:tc>
        <w:tc>
          <w:p w14:paraId="6D468E65">
            <w:pPr>
              <w:pStyle w:val="24"/>
              <w:jc w:val="center"/>
              <w:rPr>
                <w:rFonts w:hint="eastAsia" w:ascii="宋体" w:hAnsi="宋体" w:eastAsia="宋体" w:cs="宋体"/>
                <w:sz w:val="24"/>
                <w:szCs w:val="24"/>
              </w:rPr>
            </w:pPr>
            <w:r>
              <w:rPr>
                <w:rFonts w:hint="eastAsia" w:ascii="宋体" w:hAnsi="宋体" w:eastAsia="宋体" w:cs="宋体"/>
                <w:sz w:val="24"/>
                <w:szCs w:val="24"/>
              </w:rPr>
              <w:t>部分</w:t>
            </w:r>
          </w:p>
        </w:tc>
      </w:tr>
    </w:tbl>
    <w:p w14:paraId="638EAA19">
      <w:pPr>
        <w:pStyle w:val="3"/>
        <w:rPr>
          <w:rFonts w:hint="eastAsia" w:ascii="宋体" w:hAnsi="宋体" w:eastAsia="宋体" w:cs="宋体"/>
          <w:sz w:val="24"/>
          <w:szCs w:val="24"/>
        </w:rPr>
      </w:pPr>
      <w:r>
        <w:rPr>
          <w:rFonts w:hint="eastAsia" w:ascii="宋体" w:hAnsi="宋体" w:eastAsia="宋体" w:cs="宋体"/>
          <w:sz w:val="24"/>
          <w:szCs w:val="24"/>
        </w:rPr>
        <w:t>策略在上涨市和下跌市中均跑赢基准。在震荡市中4个季度有3个跑赢，唯一例外是2026Q3（科技股回调），策略因重仓存储芯片而小幅跑输基准，但回撤控制机制限制了损失幅度。</w:t>
      </w:r>
    </w:p>
    <w:bookmarkEnd w:id="29"/>
    <w:p w14:paraId="11124C3C">
      <w:pPr>
        <w:pStyle w:val="4"/>
        <w:rPr>
          <w:rFonts w:hint="eastAsia" w:ascii="宋体" w:hAnsi="宋体" w:eastAsia="宋体" w:cs="宋体"/>
          <w:sz w:val="24"/>
          <w:szCs w:val="24"/>
        </w:rPr>
      </w:pPr>
      <w:bookmarkStart w:id="30" w:name="攻防风格分析"/>
      <w:r>
        <w:rPr>
          <w:rFonts w:hint="eastAsia" w:ascii="宋体" w:hAnsi="宋体" w:eastAsia="宋体" w:cs="宋体"/>
          <w:sz w:val="24"/>
          <w:szCs w:val="24"/>
        </w:rPr>
        <w:t xml:space="preserve">5.4 </w:t>
      </w:r>
      <w:r>
        <w:rPr>
          <w:rFonts w:hint="eastAsia" w:ascii="宋体" w:hAnsi="宋体" w:eastAsia="宋体" w:cs="宋体"/>
          <w:sz w:val="24"/>
          <w:szCs w:val="24"/>
        </w:rPr>
        <w:t>攻防风格分析</w:t>
      </w:r>
    </w:p>
    <w:p w14:paraId="705AB512">
      <w:pPr>
        <w:pStyle w:val="5"/>
        <w:rPr>
          <w:rFonts w:hint="eastAsia" w:ascii="宋体" w:hAnsi="宋体" w:eastAsia="宋体" w:cs="宋体"/>
          <w:sz w:val="24"/>
          <w:szCs w:val="24"/>
        </w:rPr>
      </w:pPr>
      <w:bookmarkStart w:id="31" w:name="风格分类"/>
      <w:r>
        <w:rPr>
          <w:rFonts w:hint="eastAsia" w:ascii="宋体" w:hAnsi="宋体" w:eastAsia="宋体" w:cs="宋体"/>
          <w:sz w:val="24"/>
          <w:szCs w:val="24"/>
        </w:rPr>
        <w:t xml:space="preserve">5.4.1 </w:t>
      </w:r>
      <w:r>
        <w:rPr>
          <w:rFonts w:hint="eastAsia" w:ascii="宋体" w:hAnsi="宋体" w:eastAsia="宋体" w:cs="宋体"/>
          <w:sz w:val="24"/>
          <w:szCs w:val="24"/>
        </w:rPr>
        <w:t>风格分类</w:t>
      </w:r>
    </w:p>
    <w:p w14:paraId="766DF5DE">
      <w:pPr>
        <w:pStyle w:val="23"/>
        <w:rPr>
          <w:rFonts w:hint="eastAsia" w:ascii="宋体" w:hAnsi="宋体" w:eastAsia="宋体" w:cs="宋体"/>
          <w:sz w:val="24"/>
          <w:szCs w:val="24"/>
        </w:rPr>
      </w:pPr>
      <w:r>
        <w:rPr>
          <w:rFonts w:hint="eastAsia" w:ascii="宋体" w:hAnsi="宋体" w:eastAsia="宋体" w:cs="宋体"/>
          <w:sz w:val="24"/>
          <w:szCs w:val="24"/>
        </w:rPr>
        <w:t>将20只股票按年化波动率和Beta系数划分为三种风格：</w:t>
      </w:r>
      <w:r>
        <w:rPr>
          <w:rFonts w:hint="eastAsia" w:ascii="宋体" w:hAnsi="宋体" w:eastAsia="宋体" w:cs="宋体"/>
          <w:b/>
          <w:bCs/>
          <w:sz w:val="24"/>
          <w:szCs w:val="24"/>
        </w:rPr>
        <w:t>进攻型</w:t>
      </w:r>
      <w:r>
        <w:rPr>
          <w:rFonts w:hint="eastAsia" w:ascii="宋体" w:hAnsi="宋体" w:eastAsia="宋体" w:cs="宋体"/>
          <w:sz w:val="24"/>
          <w:szCs w:val="24"/>
        </w:rPr>
        <w:t>（年化波动率</w:t>
      </w:r>
      <w:r>
        <w:rPr>
          <w:rFonts w:hint="eastAsia" w:ascii="宋体" w:hAnsi="宋体" w:eastAsia="宋体" w:cs="宋体"/>
          <w:sz w:val="24"/>
          <w:szCs w:val="24"/>
        </w:rPr>
        <w:t xml:space="preserve"> &gt; 35% </w:t>
      </w:r>
      <w:r>
        <w:rPr>
          <w:rFonts w:hint="eastAsia" w:ascii="宋体" w:hAnsi="宋体" w:eastAsia="宋体" w:cs="宋体"/>
          <w:sz w:val="24"/>
          <w:szCs w:val="24"/>
        </w:rPr>
        <w:t>或</w:t>
      </w:r>
      <w:r>
        <w:rPr>
          <w:rFonts w:hint="eastAsia" w:ascii="宋体" w:hAnsi="宋体" w:eastAsia="宋体" w:cs="宋体"/>
          <w:sz w:val="24"/>
          <w:szCs w:val="24"/>
        </w:rPr>
        <w:t xml:space="preserve"> Beta &gt; </w:t>
      </w:r>
      <w:r>
        <w:rPr>
          <w:rFonts w:hint="eastAsia" w:ascii="宋体" w:hAnsi="宋体" w:eastAsia="宋体" w:cs="宋体"/>
          <w:sz w:val="24"/>
          <w:szCs w:val="24"/>
        </w:rPr>
        <w:t>1.2）、</w:t>
      </w:r>
      <w:r>
        <w:rPr>
          <w:rFonts w:hint="eastAsia" w:ascii="宋体" w:hAnsi="宋体" w:eastAsia="宋体" w:cs="宋体"/>
          <w:b/>
          <w:bCs/>
          <w:sz w:val="24"/>
          <w:szCs w:val="24"/>
        </w:rPr>
        <w:t>平衡型</w:t>
      </w:r>
      <w:r>
        <w:rPr>
          <w:rFonts w:hint="eastAsia" w:ascii="宋体" w:hAnsi="宋体" w:eastAsia="宋体" w:cs="宋体"/>
          <w:sz w:val="24"/>
          <w:szCs w:val="24"/>
        </w:rPr>
        <w:t>（居中）、</w:t>
      </w:r>
      <w:r>
        <w:rPr>
          <w:rFonts w:hint="eastAsia" w:ascii="宋体" w:hAnsi="宋体" w:eastAsia="宋体" w:cs="宋体"/>
          <w:b/>
          <w:bCs/>
          <w:sz w:val="24"/>
          <w:szCs w:val="24"/>
        </w:rPr>
        <w:t>防守型</w:t>
      </w:r>
      <w:r>
        <w:rPr>
          <w:rFonts w:hint="eastAsia" w:ascii="宋体" w:hAnsi="宋体" w:eastAsia="宋体" w:cs="宋体"/>
          <w:sz w:val="24"/>
          <w:szCs w:val="24"/>
        </w:rPr>
        <w:t>（年化波动率</w:t>
      </w:r>
      <w:r>
        <w:rPr>
          <w:rFonts w:hint="eastAsia" w:ascii="宋体" w:hAnsi="宋体" w:eastAsia="宋体" w:cs="宋体"/>
          <w:sz w:val="24"/>
          <w:szCs w:val="24"/>
        </w:rPr>
        <w:t xml:space="preserve"> &lt; 25% </w:t>
      </w:r>
      <w:r>
        <w:rPr>
          <w:rFonts w:hint="eastAsia" w:ascii="宋体" w:hAnsi="宋体" w:eastAsia="宋体" w:cs="宋体"/>
          <w:sz w:val="24"/>
          <w:szCs w:val="24"/>
        </w:rPr>
        <w:t>且</w:t>
      </w:r>
      <w:r>
        <w:rPr>
          <w:rFonts w:hint="eastAsia" w:ascii="宋体" w:hAnsi="宋体" w:eastAsia="宋体" w:cs="宋体"/>
          <w:sz w:val="24"/>
          <w:szCs w:val="24"/>
        </w:rPr>
        <w:t xml:space="preserve"> Beta &lt; </w:t>
      </w:r>
      <w:r>
        <w:rPr>
          <w:rFonts w:hint="eastAsia" w:ascii="宋体" w:hAnsi="宋体" w:eastAsia="宋体" w:cs="宋体"/>
          <w:sz w:val="24"/>
          <w:szCs w:val="24"/>
        </w:rPr>
        <w:t>0.8）。此分类方法参考</w:t>
      </w:r>
      <w:r>
        <w:rPr>
          <w:rFonts w:hint="eastAsia" w:ascii="宋体" w:hAnsi="宋体" w:eastAsia="宋体" w:cs="宋体"/>
          <w:sz w:val="24"/>
          <w:szCs w:val="24"/>
        </w:rPr>
        <w:t xml:space="preserve"> Asness, Frazzini &amp; Pedersen (2019) </w:t>
      </w:r>
      <w:r>
        <w:rPr>
          <w:rFonts w:hint="eastAsia" w:ascii="宋体" w:hAnsi="宋体" w:eastAsia="宋体" w:cs="宋体"/>
          <w:sz w:val="24"/>
          <w:szCs w:val="24"/>
        </w:rPr>
        <w:t>的质量因子分组框架。</w:t>
      </w:r>
    </w:p>
    <w:tbl>
      <w:tblPr>
        <w:tblStyle w:val="41"/>
        <w:tblW w:w="5414" w:type="pct"/>
        <w:tblInd w:w="0" w:type="dxa"/>
        <w:tblLayout w:type="fixed"/>
        <w:tblCellMar>
          <w:top w:w="0" w:type="dxa"/>
          <w:left w:w="108" w:type="dxa"/>
          <w:bottom w:w="0" w:type="dxa"/>
          <w:right w:w="108" w:type="dxa"/>
        </w:tblCellMar>
      </w:tblPr>
      <w:tblGrid>
        <w:gridCol w:w="1107"/>
        <w:gridCol w:w="532"/>
        <w:gridCol w:w="2868"/>
        <w:gridCol w:w="1011"/>
        <w:gridCol w:w="988"/>
        <w:gridCol w:w="1048"/>
        <w:gridCol w:w="892"/>
        <w:gridCol w:w="1144"/>
      </w:tblGrid>
      <w:tr w14:paraId="6A319E46">
        <w:trPr>
          <w:tblHeader/>
        </w:trPr>
        <w:tc>
          <w:p w14:paraId="1513BD42">
            <w:pPr>
              <w:pStyle w:val="24"/>
              <w:jc w:val="left"/>
              <w:rPr>
                <w:rFonts w:hint="eastAsia" w:ascii="宋体" w:hAnsi="宋体" w:eastAsia="宋体" w:cs="宋体"/>
                <w:sz w:val="24"/>
                <w:szCs w:val="24"/>
              </w:rPr>
            </w:pPr>
            <w:r>
              <w:rPr>
                <w:rFonts w:hint="eastAsia" w:ascii="宋体" w:hAnsi="宋体" w:eastAsia="宋体" w:cs="宋体"/>
                <w:sz w:val="24"/>
                <w:szCs w:val="24"/>
              </w:rPr>
              <w:t>风格</w:t>
            </w:r>
          </w:p>
        </w:tc>
        <w:tc>
          <w:tcPr>
            <w:tcW w:w="277" w:type="pct"/>
          </w:tcPr>
          <w:p w14:paraId="28C76C2A">
            <w:pPr>
              <w:pStyle w:val="24"/>
              <w:jc w:val="right"/>
              <w:rPr>
                <w:rFonts w:hint="eastAsia" w:ascii="宋体" w:hAnsi="宋体" w:eastAsia="宋体" w:cs="宋体"/>
                <w:sz w:val="24"/>
                <w:szCs w:val="24"/>
              </w:rPr>
            </w:pPr>
            <w:r>
              <w:rPr>
                <w:rFonts w:hint="eastAsia" w:ascii="宋体" w:hAnsi="宋体" w:eastAsia="宋体" w:cs="宋体"/>
                <w:sz w:val="24"/>
                <w:szCs w:val="24"/>
              </w:rPr>
              <w:t>数量</w:t>
            </w:r>
          </w:p>
        </w:tc>
        <w:tc>
          <w:tcPr>
            <w:tcW w:w="1495" w:type="pct"/>
          </w:tcPr>
          <w:p w14:paraId="1B38251F">
            <w:pPr>
              <w:pStyle w:val="24"/>
              <w:jc w:val="left"/>
              <w:rPr>
                <w:rFonts w:hint="eastAsia" w:ascii="宋体" w:hAnsi="宋体" w:eastAsia="宋体" w:cs="宋体"/>
                <w:sz w:val="24"/>
                <w:szCs w:val="24"/>
              </w:rPr>
            </w:pPr>
            <w:r>
              <w:rPr>
                <w:rFonts w:hint="eastAsia" w:ascii="宋体" w:hAnsi="宋体" w:eastAsia="宋体" w:cs="宋体"/>
                <w:sz w:val="24"/>
                <w:szCs w:val="24"/>
              </w:rPr>
              <w:t>代表股票</w:t>
            </w:r>
          </w:p>
        </w:tc>
        <w:tc>
          <w:tcPr>
            <w:tcW w:w="527" w:type="pct"/>
          </w:tcPr>
          <w:p w14:paraId="5A1DFE3C">
            <w:pPr>
              <w:pStyle w:val="24"/>
              <w:jc w:val="right"/>
              <w:rPr>
                <w:rFonts w:hint="eastAsia" w:ascii="宋体" w:hAnsi="宋体" w:eastAsia="宋体" w:cs="宋体"/>
                <w:sz w:val="24"/>
                <w:szCs w:val="24"/>
              </w:rPr>
            </w:pPr>
            <w:r>
              <w:rPr>
                <w:rFonts w:hint="eastAsia" w:ascii="宋体" w:hAnsi="宋体" w:eastAsia="宋体" w:cs="宋体"/>
                <w:sz w:val="24"/>
                <w:szCs w:val="24"/>
              </w:rPr>
              <w:t>平均波动率</w:t>
            </w:r>
          </w:p>
        </w:tc>
        <w:tc>
          <w:tcPr>
            <w:tcW w:w="515" w:type="pct"/>
          </w:tcPr>
          <w:p w14:paraId="6C6A2A19">
            <w:pPr>
              <w:pStyle w:val="24"/>
              <w:jc w:val="right"/>
              <w:rPr>
                <w:rFonts w:hint="eastAsia" w:ascii="宋体" w:hAnsi="宋体" w:eastAsia="宋体" w:cs="宋体"/>
                <w:sz w:val="24"/>
                <w:szCs w:val="24"/>
              </w:rPr>
            </w:pPr>
            <w:r>
              <w:rPr>
                <w:rFonts w:hint="eastAsia" w:ascii="宋体" w:hAnsi="宋体" w:eastAsia="宋体" w:cs="宋体"/>
                <w:sz w:val="24"/>
                <w:szCs w:val="24"/>
              </w:rPr>
              <w:t>平均区间收益</w:t>
            </w:r>
          </w:p>
        </w:tc>
        <w:tc>
          <w:tcPr>
            <w:tcW w:w="546" w:type="pct"/>
          </w:tcPr>
          <w:p w14:paraId="7FD61B00">
            <w:pPr>
              <w:pStyle w:val="24"/>
              <w:jc w:val="right"/>
              <w:rPr>
                <w:rFonts w:hint="eastAsia" w:ascii="宋体" w:hAnsi="宋体" w:eastAsia="宋体" w:cs="宋体"/>
                <w:sz w:val="24"/>
                <w:szCs w:val="24"/>
              </w:rPr>
            </w:pPr>
            <w:r>
              <w:rPr>
                <w:rFonts w:hint="eastAsia" w:ascii="宋体" w:hAnsi="宋体" w:eastAsia="宋体" w:cs="宋体"/>
                <w:sz w:val="24"/>
                <w:szCs w:val="24"/>
              </w:rPr>
              <w:t>平均最大回撤</w:t>
            </w:r>
          </w:p>
        </w:tc>
        <w:tc>
          <w:tcPr>
            <w:tcW w:w="465" w:type="pct"/>
          </w:tcPr>
          <w:p w14:paraId="1500506D">
            <w:pPr>
              <w:pStyle w:val="24"/>
              <w:jc w:val="right"/>
              <w:rPr>
                <w:rFonts w:hint="eastAsia" w:ascii="宋体" w:hAnsi="宋体" w:eastAsia="宋体" w:cs="宋体"/>
                <w:sz w:val="24"/>
                <w:szCs w:val="24"/>
              </w:rPr>
            </w:pPr>
            <w:r>
              <w:rPr>
                <w:rFonts w:hint="eastAsia" w:ascii="宋体" w:hAnsi="宋体" w:eastAsia="宋体" w:cs="宋体"/>
                <w:sz w:val="24"/>
                <w:szCs w:val="24"/>
              </w:rPr>
              <w:t>平均夏普</w:t>
            </w:r>
          </w:p>
        </w:tc>
        <w:tc>
          <w:tcPr>
            <w:tcW w:w="596" w:type="pct"/>
          </w:tcPr>
          <w:p w14:paraId="3E7EF1FC">
            <w:pPr>
              <w:pStyle w:val="24"/>
              <w:jc w:val="right"/>
              <w:rPr>
                <w:rFonts w:hint="eastAsia" w:ascii="宋体" w:hAnsi="宋体" w:eastAsia="宋体" w:cs="宋体"/>
                <w:sz w:val="24"/>
                <w:szCs w:val="24"/>
              </w:rPr>
            </w:pPr>
            <w:r>
              <w:rPr>
                <w:rFonts w:hint="eastAsia" w:ascii="宋体" w:hAnsi="宋体" w:eastAsia="宋体" w:cs="宋体"/>
                <w:sz w:val="24"/>
                <w:szCs w:val="24"/>
              </w:rPr>
              <w:t>平均Beta</w:t>
            </w:r>
          </w:p>
        </w:tc>
      </w:tr>
      <w:tr w14:paraId="2EDA9439">
        <w:tc>
          <w:p w14:paraId="63F4BDF4">
            <w:pPr>
              <w:pStyle w:val="24"/>
              <w:jc w:val="left"/>
              <w:rPr>
                <w:rFonts w:hint="eastAsia" w:ascii="宋体" w:hAnsi="宋体" w:eastAsia="宋体" w:cs="宋体"/>
                <w:sz w:val="24"/>
                <w:szCs w:val="24"/>
              </w:rPr>
            </w:pPr>
            <w:r>
              <w:rPr>
                <w:rFonts w:hint="eastAsia" w:ascii="宋体" w:hAnsi="宋体" w:eastAsia="宋体" w:cs="宋体"/>
                <w:sz w:val="24"/>
                <w:szCs w:val="24"/>
              </w:rPr>
              <w:t>进攻</w:t>
            </w:r>
          </w:p>
        </w:tc>
        <w:tc>
          <w:tcPr>
            <w:tcW w:w="277" w:type="pct"/>
          </w:tcPr>
          <w:p w14:paraId="37C1C543">
            <w:pPr>
              <w:pStyle w:val="24"/>
              <w:jc w:val="right"/>
              <w:rPr>
                <w:rFonts w:hint="eastAsia" w:ascii="宋体" w:hAnsi="宋体" w:eastAsia="宋体" w:cs="宋体"/>
                <w:sz w:val="24"/>
                <w:szCs w:val="24"/>
              </w:rPr>
            </w:pPr>
            <w:r>
              <w:rPr>
                <w:rFonts w:hint="eastAsia" w:ascii="宋体" w:hAnsi="宋体" w:eastAsia="宋体" w:cs="宋体"/>
                <w:sz w:val="24"/>
                <w:szCs w:val="24"/>
              </w:rPr>
              <w:t>9</w:t>
            </w:r>
          </w:p>
        </w:tc>
        <w:tc>
          <w:tcPr>
            <w:tcW w:w="1495" w:type="pct"/>
          </w:tcPr>
          <w:p w14:paraId="57ED79D8">
            <w:pPr>
              <w:pStyle w:val="24"/>
              <w:jc w:val="left"/>
              <w:rPr>
                <w:rFonts w:hint="eastAsia" w:ascii="宋体" w:hAnsi="宋体" w:eastAsia="宋体" w:cs="宋体"/>
                <w:sz w:val="24"/>
                <w:szCs w:val="24"/>
              </w:rPr>
            </w:pPr>
            <w:r>
              <w:rPr>
                <w:rFonts w:hint="eastAsia" w:ascii="宋体" w:hAnsi="宋体" w:eastAsia="宋体" w:cs="宋体"/>
                <w:sz w:val="24"/>
                <w:szCs w:val="24"/>
              </w:rPr>
              <w:t>德明利、江波龙、佰维存储、普冉股份、兆易创新、澜起科技、泡泡玛特、科伦药业、百济神州</w:t>
            </w:r>
          </w:p>
        </w:tc>
        <w:tc>
          <w:tcPr>
            <w:tcW w:w="527" w:type="pct"/>
          </w:tcPr>
          <w:p w14:paraId="3D0611EA">
            <w:pPr>
              <w:pStyle w:val="24"/>
              <w:jc w:val="right"/>
              <w:rPr>
                <w:rFonts w:hint="eastAsia" w:ascii="宋体" w:hAnsi="宋体" w:eastAsia="宋体" w:cs="宋体"/>
                <w:sz w:val="24"/>
                <w:szCs w:val="24"/>
              </w:rPr>
            </w:pPr>
            <w:r>
              <w:rPr>
                <w:rFonts w:hint="eastAsia" w:ascii="宋体" w:hAnsi="宋体" w:eastAsia="宋体" w:cs="宋体"/>
                <w:sz w:val="24"/>
                <w:szCs w:val="24"/>
              </w:rPr>
              <w:t>64.9%</w:t>
            </w:r>
          </w:p>
        </w:tc>
        <w:tc>
          <w:tcPr>
            <w:tcW w:w="515" w:type="pct"/>
          </w:tcPr>
          <w:p w14:paraId="714DF842">
            <w:pPr>
              <w:pStyle w:val="24"/>
              <w:jc w:val="right"/>
              <w:rPr>
                <w:rFonts w:hint="eastAsia" w:ascii="宋体" w:hAnsi="宋体" w:eastAsia="宋体" w:cs="宋体"/>
                <w:sz w:val="24"/>
                <w:szCs w:val="24"/>
              </w:rPr>
            </w:pPr>
            <w:r>
              <w:rPr>
                <w:rFonts w:hint="eastAsia" w:ascii="宋体" w:hAnsi="宋体" w:eastAsia="宋体" w:cs="宋体"/>
                <w:sz w:val="24"/>
                <w:szCs w:val="24"/>
              </w:rPr>
              <w:t>+357.5%</w:t>
            </w:r>
          </w:p>
        </w:tc>
        <w:tc>
          <w:tcPr>
            <w:tcW w:w="546" w:type="pct"/>
          </w:tcPr>
          <w:p w14:paraId="0FCD66E0">
            <w:pPr>
              <w:pStyle w:val="24"/>
              <w:jc w:val="right"/>
              <w:rPr>
                <w:rFonts w:hint="eastAsia" w:ascii="宋体" w:hAnsi="宋体" w:eastAsia="宋体" w:cs="宋体"/>
                <w:sz w:val="24"/>
                <w:szCs w:val="24"/>
              </w:rPr>
            </w:pPr>
            <w:r>
              <w:rPr>
                <w:rFonts w:hint="eastAsia" w:ascii="宋体" w:hAnsi="宋体" w:eastAsia="宋体" w:cs="宋体"/>
                <w:sz w:val="24"/>
                <w:szCs w:val="24"/>
              </w:rPr>
              <w:t>-46.4%</w:t>
            </w:r>
          </w:p>
        </w:tc>
        <w:tc>
          <w:tcPr>
            <w:tcW w:w="465" w:type="pct"/>
          </w:tcPr>
          <w:p w14:paraId="6600ECCD">
            <w:pPr>
              <w:pStyle w:val="24"/>
              <w:jc w:val="right"/>
              <w:rPr>
                <w:rFonts w:hint="eastAsia" w:ascii="宋体" w:hAnsi="宋体" w:eastAsia="宋体" w:cs="宋体"/>
                <w:sz w:val="24"/>
                <w:szCs w:val="24"/>
              </w:rPr>
            </w:pPr>
            <w:r>
              <w:rPr>
                <w:rFonts w:hint="eastAsia" w:ascii="宋体" w:hAnsi="宋体" w:eastAsia="宋体" w:cs="宋体"/>
                <w:sz w:val="24"/>
                <w:szCs w:val="24"/>
              </w:rPr>
              <w:t>1.38</w:t>
            </w:r>
          </w:p>
        </w:tc>
        <w:tc>
          <w:tcPr>
            <w:tcW w:w="596" w:type="pct"/>
          </w:tcPr>
          <w:p w14:paraId="40D185C9">
            <w:pPr>
              <w:pStyle w:val="24"/>
              <w:jc w:val="right"/>
              <w:rPr>
                <w:rFonts w:hint="eastAsia" w:ascii="宋体" w:hAnsi="宋体" w:eastAsia="宋体" w:cs="宋体"/>
                <w:sz w:val="24"/>
                <w:szCs w:val="24"/>
              </w:rPr>
            </w:pPr>
            <w:r>
              <w:rPr>
                <w:rFonts w:hint="eastAsia" w:ascii="宋体" w:hAnsi="宋体" w:eastAsia="宋体" w:cs="宋体"/>
                <w:sz w:val="24"/>
                <w:szCs w:val="24"/>
              </w:rPr>
              <w:t>1.92</w:t>
            </w:r>
          </w:p>
        </w:tc>
      </w:tr>
      <w:tr w14:paraId="77816E32">
        <w:tc>
          <w:p w14:paraId="22DFDF79">
            <w:pPr>
              <w:pStyle w:val="24"/>
              <w:jc w:val="left"/>
              <w:rPr>
                <w:rFonts w:hint="eastAsia" w:ascii="宋体" w:hAnsi="宋体" w:eastAsia="宋体" w:cs="宋体"/>
                <w:sz w:val="24"/>
                <w:szCs w:val="24"/>
              </w:rPr>
            </w:pPr>
            <w:r>
              <w:rPr>
                <w:rFonts w:hint="eastAsia" w:ascii="宋体" w:hAnsi="宋体" w:eastAsia="宋体" w:cs="宋体"/>
                <w:sz w:val="24"/>
                <w:szCs w:val="24"/>
              </w:rPr>
              <w:t>平衡</w:t>
            </w:r>
          </w:p>
        </w:tc>
        <w:tc>
          <w:tcPr>
            <w:tcW w:w="277" w:type="pct"/>
          </w:tcPr>
          <w:p w14:paraId="637528AE">
            <w:pPr>
              <w:pStyle w:val="24"/>
              <w:jc w:val="right"/>
              <w:rPr>
                <w:rFonts w:hint="eastAsia" w:ascii="宋体" w:hAnsi="宋体" w:eastAsia="宋体" w:cs="宋体"/>
                <w:sz w:val="24"/>
                <w:szCs w:val="24"/>
              </w:rPr>
            </w:pPr>
            <w:r>
              <w:rPr>
                <w:rFonts w:hint="eastAsia" w:ascii="宋体" w:hAnsi="宋体" w:eastAsia="宋体" w:cs="宋体"/>
                <w:sz w:val="24"/>
                <w:szCs w:val="24"/>
              </w:rPr>
              <w:t>2</w:t>
            </w:r>
          </w:p>
        </w:tc>
        <w:tc>
          <w:tcPr>
            <w:tcW w:w="1495" w:type="pct"/>
          </w:tcPr>
          <w:p w14:paraId="5916CA38">
            <w:pPr>
              <w:pStyle w:val="24"/>
              <w:jc w:val="left"/>
              <w:rPr>
                <w:rFonts w:hint="eastAsia" w:ascii="宋体" w:hAnsi="宋体" w:eastAsia="宋体" w:cs="宋体"/>
                <w:sz w:val="24"/>
                <w:szCs w:val="24"/>
              </w:rPr>
            </w:pPr>
            <w:r>
              <w:rPr>
                <w:rFonts w:hint="eastAsia" w:ascii="宋体" w:hAnsi="宋体" w:eastAsia="宋体" w:cs="宋体"/>
                <w:sz w:val="24"/>
                <w:szCs w:val="24"/>
              </w:rPr>
              <w:t>腾讯控股、恒瑞医药</w:t>
            </w:r>
          </w:p>
        </w:tc>
        <w:tc>
          <w:tcPr>
            <w:tcW w:w="527" w:type="pct"/>
          </w:tcPr>
          <w:p w14:paraId="2EC31655">
            <w:pPr>
              <w:pStyle w:val="24"/>
              <w:jc w:val="right"/>
              <w:rPr>
                <w:rFonts w:hint="eastAsia" w:ascii="宋体" w:hAnsi="宋体" w:eastAsia="宋体" w:cs="宋体"/>
                <w:sz w:val="24"/>
                <w:szCs w:val="24"/>
              </w:rPr>
            </w:pPr>
            <w:r>
              <w:rPr>
                <w:rFonts w:hint="eastAsia" w:ascii="宋体" w:hAnsi="宋体" w:eastAsia="宋体" w:cs="宋体"/>
                <w:sz w:val="24"/>
                <w:szCs w:val="24"/>
              </w:rPr>
              <w:t>33.4%</w:t>
            </w:r>
          </w:p>
        </w:tc>
        <w:tc>
          <w:tcPr>
            <w:tcW w:w="515" w:type="pct"/>
          </w:tcPr>
          <w:p w14:paraId="7A4D229A">
            <w:pPr>
              <w:pStyle w:val="24"/>
              <w:jc w:val="right"/>
              <w:rPr>
                <w:rFonts w:hint="eastAsia" w:ascii="宋体" w:hAnsi="宋体" w:eastAsia="宋体" w:cs="宋体"/>
                <w:sz w:val="24"/>
                <w:szCs w:val="24"/>
              </w:rPr>
            </w:pPr>
            <w:r>
              <w:rPr>
                <w:rFonts w:hint="eastAsia" w:ascii="宋体" w:hAnsi="宋体" w:eastAsia="宋体" w:cs="宋体"/>
                <w:sz w:val="24"/>
                <w:szCs w:val="24"/>
              </w:rPr>
              <w:t>+32.0%</w:t>
            </w:r>
          </w:p>
        </w:tc>
        <w:tc>
          <w:tcPr>
            <w:tcW w:w="546" w:type="pct"/>
          </w:tcPr>
          <w:p w14:paraId="3568DEAC">
            <w:pPr>
              <w:pStyle w:val="24"/>
              <w:jc w:val="right"/>
              <w:rPr>
                <w:rFonts w:hint="eastAsia" w:ascii="宋体" w:hAnsi="宋体" w:eastAsia="宋体" w:cs="宋体"/>
                <w:sz w:val="24"/>
                <w:szCs w:val="24"/>
              </w:rPr>
            </w:pPr>
            <w:r>
              <w:rPr>
                <w:rFonts w:hint="eastAsia" w:ascii="宋体" w:hAnsi="宋体" w:eastAsia="宋体" w:cs="宋体"/>
                <w:sz w:val="24"/>
                <w:szCs w:val="24"/>
              </w:rPr>
              <w:t>-37.4%</w:t>
            </w:r>
          </w:p>
        </w:tc>
        <w:tc>
          <w:tcPr>
            <w:tcW w:w="465" w:type="pct"/>
          </w:tcPr>
          <w:p w14:paraId="02601B29">
            <w:pPr>
              <w:pStyle w:val="24"/>
              <w:jc w:val="right"/>
              <w:rPr>
                <w:rFonts w:hint="eastAsia" w:ascii="宋体" w:hAnsi="宋体" w:eastAsia="宋体" w:cs="宋体"/>
                <w:sz w:val="24"/>
                <w:szCs w:val="24"/>
              </w:rPr>
            </w:pPr>
            <w:r>
              <w:rPr>
                <w:rFonts w:hint="eastAsia" w:ascii="宋体" w:hAnsi="宋体" w:eastAsia="宋体" w:cs="宋体"/>
                <w:sz w:val="24"/>
                <w:szCs w:val="24"/>
              </w:rPr>
              <w:t>0.54</w:t>
            </w:r>
          </w:p>
        </w:tc>
        <w:tc>
          <w:tcPr>
            <w:tcW w:w="596" w:type="pct"/>
          </w:tcPr>
          <w:p w14:paraId="0E8B488B">
            <w:pPr>
              <w:pStyle w:val="24"/>
              <w:jc w:val="right"/>
              <w:rPr>
                <w:rFonts w:hint="eastAsia" w:ascii="宋体" w:hAnsi="宋体" w:eastAsia="宋体" w:cs="宋体"/>
                <w:sz w:val="24"/>
                <w:szCs w:val="24"/>
              </w:rPr>
            </w:pPr>
            <w:r>
              <w:rPr>
                <w:rFonts w:hint="eastAsia" w:ascii="宋体" w:hAnsi="宋体" w:eastAsia="宋体" w:cs="宋体"/>
                <w:sz w:val="24"/>
                <w:szCs w:val="24"/>
              </w:rPr>
              <w:t>0.88</w:t>
            </w:r>
          </w:p>
        </w:tc>
      </w:tr>
      <w:tr w14:paraId="4F72F1BA">
        <w:tc>
          <w:p w14:paraId="0E001B24">
            <w:pPr>
              <w:pStyle w:val="24"/>
              <w:jc w:val="left"/>
              <w:rPr>
                <w:rFonts w:hint="eastAsia" w:ascii="宋体" w:hAnsi="宋体" w:eastAsia="宋体" w:cs="宋体"/>
                <w:sz w:val="24"/>
                <w:szCs w:val="24"/>
              </w:rPr>
            </w:pPr>
            <w:r>
              <w:rPr>
                <w:rFonts w:hint="eastAsia" w:ascii="宋体" w:hAnsi="宋体" w:eastAsia="宋体" w:cs="宋体"/>
                <w:sz w:val="24"/>
                <w:szCs w:val="24"/>
              </w:rPr>
              <w:t>防守</w:t>
            </w:r>
          </w:p>
        </w:tc>
        <w:tc>
          <w:tcPr>
            <w:tcW w:w="277" w:type="pct"/>
          </w:tcPr>
          <w:p w14:paraId="360823E4">
            <w:pPr>
              <w:pStyle w:val="24"/>
              <w:jc w:val="right"/>
              <w:rPr>
                <w:rFonts w:hint="eastAsia" w:ascii="宋体" w:hAnsi="宋体" w:eastAsia="宋体" w:cs="宋体"/>
                <w:sz w:val="24"/>
                <w:szCs w:val="24"/>
              </w:rPr>
            </w:pPr>
            <w:r>
              <w:rPr>
                <w:rFonts w:hint="eastAsia" w:ascii="宋体" w:hAnsi="宋体" w:eastAsia="宋体" w:cs="宋体"/>
                <w:sz w:val="24"/>
                <w:szCs w:val="24"/>
              </w:rPr>
              <w:t>9</w:t>
            </w:r>
          </w:p>
        </w:tc>
        <w:tc>
          <w:tcPr>
            <w:tcW w:w="1495" w:type="pct"/>
          </w:tcPr>
          <w:p w14:paraId="12B9EE97">
            <w:pPr>
              <w:pStyle w:val="24"/>
              <w:jc w:val="left"/>
              <w:rPr>
                <w:rFonts w:hint="eastAsia" w:ascii="宋体" w:hAnsi="宋体" w:eastAsia="宋体" w:cs="宋体"/>
                <w:sz w:val="24"/>
                <w:szCs w:val="24"/>
              </w:rPr>
            </w:pPr>
            <w:r>
              <w:rPr>
                <w:rFonts w:hint="eastAsia" w:ascii="宋体" w:hAnsi="宋体" w:eastAsia="宋体" w:cs="宋体"/>
                <w:sz w:val="24"/>
                <w:szCs w:val="24"/>
              </w:rPr>
              <w:t>红利ETF、伊利股份、美的集团、云南白药、同仁堂、达仁堂、片仔癀、贵州茅台、奇正藏药</w:t>
            </w:r>
          </w:p>
        </w:tc>
        <w:tc>
          <w:tcPr>
            <w:tcW w:w="527" w:type="pct"/>
          </w:tcPr>
          <w:p w14:paraId="402D6E66">
            <w:pPr>
              <w:pStyle w:val="24"/>
              <w:jc w:val="right"/>
              <w:rPr>
                <w:rFonts w:hint="eastAsia" w:ascii="宋体" w:hAnsi="宋体" w:eastAsia="宋体" w:cs="宋体"/>
                <w:sz w:val="24"/>
                <w:szCs w:val="24"/>
              </w:rPr>
            </w:pPr>
            <w:r>
              <w:rPr>
                <w:rFonts w:hint="eastAsia" w:ascii="宋体" w:hAnsi="宋体" w:eastAsia="宋体" w:cs="宋体"/>
                <w:sz w:val="24"/>
                <w:szCs w:val="24"/>
              </w:rPr>
              <w:t>24.9%</w:t>
            </w:r>
          </w:p>
        </w:tc>
        <w:tc>
          <w:tcPr>
            <w:tcW w:w="515" w:type="pct"/>
          </w:tcPr>
          <w:p w14:paraId="59341700">
            <w:pPr>
              <w:pStyle w:val="24"/>
              <w:jc w:val="right"/>
              <w:rPr>
                <w:rFonts w:hint="eastAsia" w:ascii="宋体" w:hAnsi="宋体" w:eastAsia="宋体" w:cs="宋体"/>
                <w:sz w:val="24"/>
                <w:szCs w:val="24"/>
              </w:rPr>
            </w:pPr>
            <w:r>
              <w:rPr>
                <w:rFonts w:hint="eastAsia" w:ascii="宋体" w:hAnsi="宋体" w:eastAsia="宋体" w:cs="宋体"/>
                <w:sz w:val="24"/>
                <w:szCs w:val="24"/>
              </w:rPr>
              <w:t>+5.4%</w:t>
            </w:r>
          </w:p>
        </w:tc>
        <w:tc>
          <w:tcPr>
            <w:tcW w:w="546" w:type="pct"/>
          </w:tcPr>
          <w:p w14:paraId="4A408C4A">
            <w:pPr>
              <w:pStyle w:val="24"/>
              <w:jc w:val="right"/>
              <w:rPr>
                <w:rFonts w:hint="eastAsia" w:ascii="宋体" w:hAnsi="宋体" w:eastAsia="宋体" w:cs="宋体"/>
                <w:sz w:val="24"/>
                <w:szCs w:val="24"/>
              </w:rPr>
            </w:pPr>
            <w:r>
              <w:rPr>
                <w:rFonts w:hint="eastAsia" w:ascii="宋体" w:hAnsi="宋体" w:eastAsia="宋体" w:cs="宋体"/>
                <w:sz w:val="24"/>
                <w:szCs w:val="24"/>
              </w:rPr>
              <w:t>-30.4%</w:t>
            </w:r>
          </w:p>
        </w:tc>
        <w:tc>
          <w:tcPr>
            <w:tcW w:w="465" w:type="pct"/>
          </w:tcPr>
          <w:p w14:paraId="099958C1">
            <w:pPr>
              <w:pStyle w:val="24"/>
              <w:jc w:val="right"/>
              <w:rPr>
                <w:rFonts w:hint="eastAsia" w:ascii="宋体" w:hAnsi="宋体" w:eastAsia="宋体" w:cs="宋体"/>
                <w:sz w:val="24"/>
                <w:szCs w:val="24"/>
              </w:rPr>
            </w:pPr>
            <w:r>
              <w:rPr>
                <w:rFonts w:hint="eastAsia" w:ascii="宋体" w:hAnsi="宋体" w:eastAsia="宋体" w:cs="宋体"/>
                <w:sz w:val="24"/>
                <w:szCs w:val="24"/>
              </w:rPr>
              <w:t>0.10</w:t>
            </w:r>
          </w:p>
        </w:tc>
        <w:tc>
          <w:tcPr>
            <w:tcW w:w="596" w:type="pct"/>
          </w:tcPr>
          <w:p w14:paraId="68BAE313">
            <w:pPr>
              <w:pStyle w:val="24"/>
              <w:jc w:val="right"/>
              <w:rPr>
                <w:rFonts w:hint="eastAsia" w:ascii="宋体" w:hAnsi="宋体" w:eastAsia="宋体" w:cs="宋体"/>
                <w:sz w:val="24"/>
                <w:szCs w:val="24"/>
              </w:rPr>
            </w:pPr>
            <w:r>
              <w:rPr>
                <w:rFonts w:hint="eastAsia" w:ascii="宋体" w:hAnsi="宋体" w:eastAsia="宋体" w:cs="宋体"/>
                <w:sz w:val="24"/>
                <w:szCs w:val="24"/>
              </w:rPr>
              <w:t>0.31</w:t>
            </w:r>
          </w:p>
        </w:tc>
      </w:tr>
    </w:tbl>
    <w:p w14:paraId="530CD96D">
      <w:pPr>
        <w:pStyle w:val="3"/>
        <w:rPr>
          <w:rFonts w:hint="eastAsia" w:ascii="宋体" w:hAnsi="宋体" w:eastAsia="宋体" w:cs="宋体"/>
          <w:sz w:val="24"/>
          <w:szCs w:val="24"/>
        </w:rPr>
      </w:pPr>
      <w:r>
        <w:rPr>
          <w:rFonts w:hint="eastAsia" w:ascii="宋体" w:hAnsi="宋体" w:eastAsia="宋体" w:cs="宋体"/>
          <w:sz w:val="24"/>
          <w:szCs w:val="24"/>
        </w:rPr>
        <w:t>进攻型以半导体为主（6只），具有高弹性：上涨季度平均收益</w:t>
      </w:r>
      <w:r>
        <w:rPr>
          <w:rFonts w:hint="eastAsia" w:ascii="宋体" w:hAnsi="宋体" w:eastAsia="宋体" w:cs="宋体"/>
          <w:sz w:val="24"/>
          <w:szCs w:val="24"/>
        </w:rPr>
        <w:t xml:space="preserve"> </w:t>
      </w:r>
      <w:r>
        <w:rPr>
          <w:rFonts w:hint="eastAsia" w:ascii="宋体" w:hAnsi="宋体" w:eastAsia="宋体" w:cs="宋体"/>
          <w:sz w:val="24"/>
          <w:szCs w:val="24"/>
        </w:rPr>
        <w:t>+12%~+111%，下跌季度</w:t>
      </w:r>
      <w:r>
        <w:rPr>
          <w:rFonts w:hint="eastAsia" w:ascii="宋体" w:hAnsi="宋体" w:eastAsia="宋体" w:cs="宋体"/>
          <w:sz w:val="24"/>
          <w:szCs w:val="24"/>
        </w:rPr>
        <w:t xml:space="preserve"> </w:t>
      </w:r>
      <w:r>
        <w:rPr>
          <w:rFonts w:hint="eastAsia" w:ascii="宋体" w:hAnsi="宋体" w:eastAsia="宋体" w:cs="宋体"/>
          <w:sz w:val="24"/>
          <w:szCs w:val="24"/>
        </w:rPr>
        <w:t>-3.7%~-30.8%。防守型以消费和医药为主，弹性低：上涨季度</w:t>
      </w:r>
      <w:r>
        <w:rPr>
          <w:rFonts w:hint="eastAsia" w:ascii="宋体" w:hAnsi="宋体" w:eastAsia="宋体" w:cs="宋体"/>
          <w:sz w:val="24"/>
          <w:szCs w:val="24"/>
        </w:rPr>
        <w:t xml:space="preserve"> </w:t>
      </w:r>
      <w:r>
        <w:rPr>
          <w:rFonts w:hint="eastAsia" w:ascii="宋体" w:hAnsi="宋体" w:eastAsia="宋体" w:cs="宋体"/>
          <w:sz w:val="24"/>
          <w:szCs w:val="24"/>
        </w:rPr>
        <w:t>+0.2%~+6.3%，下跌季度</w:t>
      </w:r>
      <w:r>
        <w:rPr>
          <w:rFonts w:hint="eastAsia" w:ascii="宋体" w:hAnsi="宋体" w:eastAsia="宋体" w:cs="宋体"/>
          <w:sz w:val="24"/>
          <w:szCs w:val="24"/>
        </w:rPr>
        <w:t xml:space="preserve"> </w:t>
      </w:r>
      <w:r>
        <w:rPr>
          <w:rFonts w:hint="eastAsia" w:ascii="宋体" w:hAnsi="宋体" w:eastAsia="宋体" w:cs="宋体"/>
          <w:sz w:val="24"/>
          <w:szCs w:val="24"/>
        </w:rPr>
        <w:t>-1.2%~-12.4%。红利ETF波动率最低（12.1%）、回撤最浅（-13.6%），是天然的防御锚。</w:t>
      </w:r>
    </w:p>
    <w:bookmarkEnd w:id="31"/>
    <w:p w14:paraId="18B7777B">
      <w:pPr>
        <w:pStyle w:val="5"/>
        <w:rPr>
          <w:rFonts w:hint="eastAsia" w:ascii="宋体" w:hAnsi="宋体" w:eastAsia="宋体" w:cs="宋体"/>
          <w:sz w:val="24"/>
          <w:szCs w:val="24"/>
        </w:rPr>
      </w:pPr>
      <w:bookmarkStart w:id="32" w:name="季度攻防切换"/>
      <w:r>
        <w:rPr>
          <w:rFonts w:hint="eastAsia" w:ascii="宋体" w:hAnsi="宋体" w:eastAsia="宋体" w:cs="宋体"/>
          <w:sz w:val="24"/>
          <w:szCs w:val="24"/>
        </w:rPr>
        <w:t xml:space="preserve">5.4.2 </w:t>
      </w:r>
      <w:r>
        <w:rPr>
          <w:rFonts w:hint="eastAsia" w:ascii="宋体" w:hAnsi="宋体" w:eastAsia="宋体" w:cs="宋体"/>
          <w:sz w:val="24"/>
          <w:szCs w:val="24"/>
        </w:rPr>
        <w:t>季度攻防切换</w:t>
      </w:r>
    </w:p>
    <w:p w14:paraId="7DF55E97">
      <w:pPr>
        <w:pStyle w:val="23"/>
        <w:rPr>
          <w:rFonts w:hint="eastAsia" w:ascii="宋体" w:hAnsi="宋体" w:eastAsia="宋体" w:cs="宋体"/>
          <w:sz w:val="24"/>
          <w:szCs w:val="24"/>
        </w:rPr>
      </w:pPr>
      <w:r>
        <w:rPr>
          <w:rFonts w:hint="eastAsia" w:ascii="宋体" w:hAnsi="宋体" w:eastAsia="宋体" w:cs="宋体"/>
          <w:sz w:val="24"/>
          <w:szCs w:val="24"/>
        </w:rPr>
        <w:t>VQM策略并非静态配置，而是通过动量因子隐式地在季度间进行攻防切换。以下为各季度持仓的风格分布（每季</w:t>
      </w:r>
      <w:r>
        <w:rPr>
          <w:rFonts w:hint="eastAsia" w:ascii="宋体" w:hAnsi="宋体" w:eastAsia="宋体" w:cs="宋体"/>
          <w:sz w:val="24"/>
          <w:szCs w:val="24"/>
        </w:rPr>
        <w:t xml:space="preserve"> </w:t>
      </w:r>
      <w:r>
        <w:rPr>
          <w:rFonts w:hint="eastAsia" w:ascii="宋体" w:hAnsi="宋体" w:eastAsia="宋体" w:cs="宋体"/>
          <w:sz w:val="24"/>
          <w:szCs w:val="24"/>
        </w:rPr>
        <w:t>5只</w:t>
      </w:r>
      <w:r>
        <w:rPr>
          <w:rFonts w:hint="eastAsia" w:ascii="宋体" w:hAnsi="宋体" w:eastAsia="宋体" w:cs="宋体"/>
          <w:sz w:val="24"/>
          <w:szCs w:val="24"/>
        </w:rPr>
        <w:t xml:space="preserve"> × </w:t>
      </w:r>
      <w:r>
        <w:rPr>
          <w:rFonts w:hint="eastAsia" w:ascii="宋体" w:hAnsi="宋体" w:eastAsia="宋体" w:cs="宋体"/>
          <w:sz w:val="24"/>
          <w:szCs w:val="24"/>
        </w:rPr>
        <w:t>月数</w:t>
      </w:r>
      <w:r>
        <w:rPr>
          <w:rFonts w:hint="eastAsia" w:ascii="宋体" w:hAnsi="宋体" w:eastAsia="宋体" w:cs="宋体"/>
          <w:sz w:val="24"/>
          <w:szCs w:val="24"/>
        </w:rPr>
        <w:t xml:space="preserve"> = </w:t>
      </w:r>
      <w:r>
        <w:rPr>
          <w:rFonts w:hint="eastAsia" w:ascii="宋体" w:hAnsi="宋体" w:eastAsia="宋体" w:cs="宋体"/>
          <w:sz w:val="24"/>
          <w:szCs w:val="24"/>
        </w:rPr>
        <w:t>总持仓次数）：</w:t>
      </w:r>
    </w:p>
    <w:tbl>
      <w:tblPr>
        <w:tblStyle w:val="41"/>
        <w:tblW w:w="0" w:type="auto"/>
        <w:tblInd w:w="0" w:type="dxa"/>
        <w:tblLayout w:type="autofit"/>
        <w:tblCellMar>
          <w:top w:w="0" w:type="dxa"/>
          <w:left w:w="108" w:type="dxa"/>
          <w:bottom w:w="0" w:type="dxa"/>
          <w:right w:w="108" w:type="dxa"/>
        </w:tblCellMar>
      </w:tblPr>
      <w:tblGrid>
        <w:gridCol w:w="936"/>
        <w:gridCol w:w="696"/>
        <w:gridCol w:w="696"/>
        <w:gridCol w:w="696"/>
        <w:gridCol w:w="696"/>
        <w:gridCol w:w="2616"/>
      </w:tblGrid>
      <w:tr w14:paraId="3E8D21BF">
        <w:trPr>
          <w:tblHeader/>
        </w:trPr>
        <w:tc>
          <w:p w14:paraId="382433F6">
            <w:pPr>
              <w:pStyle w:val="24"/>
              <w:jc w:val="left"/>
              <w:rPr>
                <w:rFonts w:hint="eastAsia" w:ascii="宋体" w:hAnsi="宋体" w:eastAsia="宋体" w:cs="宋体"/>
                <w:sz w:val="24"/>
                <w:szCs w:val="24"/>
              </w:rPr>
            </w:pPr>
            <w:r>
              <w:rPr>
                <w:rFonts w:hint="eastAsia" w:ascii="宋体" w:hAnsi="宋体" w:eastAsia="宋体" w:cs="宋体"/>
                <w:sz w:val="24"/>
                <w:szCs w:val="24"/>
              </w:rPr>
              <w:t>季度</w:t>
            </w:r>
          </w:p>
        </w:tc>
        <w:tc>
          <w:p w14:paraId="4D270424">
            <w:pPr>
              <w:pStyle w:val="24"/>
              <w:jc w:val="right"/>
              <w:rPr>
                <w:rFonts w:hint="eastAsia" w:ascii="宋体" w:hAnsi="宋体" w:eastAsia="宋体" w:cs="宋体"/>
                <w:sz w:val="24"/>
                <w:szCs w:val="24"/>
              </w:rPr>
            </w:pPr>
            <w:r>
              <w:rPr>
                <w:rFonts w:hint="eastAsia" w:ascii="宋体" w:hAnsi="宋体" w:eastAsia="宋体" w:cs="宋体"/>
                <w:sz w:val="24"/>
                <w:szCs w:val="24"/>
              </w:rPr>
              <w:t>进攻</w:t>
            </w:r>
          </w:p>
        </w:tc>
        <w:tc>
          <w:p w14:paraId="351C8BC5">
            <w:pPr>
              <w:pStyle w:val="24"/>
              <w:jc w:val="right"/>
              <w:rPr>
                <w:rFonts w:hint="eastAsia" w:ascii="宋体" w:hAnsi="宋体" w:eastAsia="宋体" w:cs="宋体"/>
                <w:sz w:val="24"/>
                <w:szCs w:val="24"/>
              </w:rPr>
            </w:pPr>
            <w:r>
              <w:rPr>
                <w:rFonts w:hint="eastAsia" w:ascii="宋体" w:hAnsi="宋体" w:eastAsia="宋体" w:cs="宋体"/>
                <w:sz w:val="24"/>
                <w:szCs w:val="24"/>
              </w:rPr>
              <w:t>平衡</w:t>
            </w:r>
          </w:p>
        </w:tc>
        <w:tc>
          <w:p w14:paraId="4E79F1AB">
            <w:pPr>
              <w:pStyle w:val="24"/>
              <w:jc w:val="right"/>
              <w:rPr>
                <w:rFonts w:hint="eastAsia" w:ascii="宋体" w:hAnsi="宋体" w:eastAsia="宋体" w:cs="宋体"/>
                <w:sz w:val="24"/>
                <w:szCs w:val="24"/>
              </w:rPr>
            </w:pPr>
            <w:r>
              <w:rPr>
                <w:rFonts w:hint="eastAsia" w:ascii="宋体" w:hAnsi="宋体" w:eastAsia="宋体" w:cs="宋体"/>
                <w:sz w:val="24"/>
                <w:szCs w:val="24"/>
              </w:rPr>
              <w:t>防守</w:t>
            </w:r>
          </w:p>
        </w:tc>
        <w:tc>
          <w:p w14:paraId="69EEC478">
            <w:pPr>
              <w:pStyle w:val="24"/>
              <w:jc w:val="right"/>
              <w:rPr>
                <w:rFonts w:hint="eastAsia" w:ascii="宋体" w:hAnsi="宋体" w:eastAsia="宋体" w:cs="宋体"/>
                <w:sz w:val="24"/>
                <w:szCs w:val="24"/>
              </w:rPr>
            </w:pPr>
            <w:r>
              <w:rPr>
                <w:rFonts w:hint="eastAsia" w:ascii="宋体" w:hAnsi="宋体" w:eastAsia="宋体" w:cs="宋体"/>
                <w:sz w:val="24"/>
                <w:szCs w:val="24"/>
              </w:rPr>
              <w:t>总计</w:t>
            </w:r>
          </w:p>
        </w:tc>
        <w:tc>
          <w:p w14:paraId="2978AFF1">
            <w:pPr>
              <w:pStyle w:val="24"/>
              <w:jc w:val="left"/>
              <w:rPr>
                <w:rFonts w:hint="eastAsia" w:ascii="宋体" w:hAnsi="宋体" w:eastAsia="宋体" w:cs="宋体"/>
                <w:sz w:val="24"/>
                <w:szCs w:val="24"/>
              </w:rPr>
            </w:pPr>
            <w:r>
              <w:rPr>
                <w:rFonts w:hint="eastAsia" w:ascii="宋体" w:hAnsi="宋体" w:eastAsia="宋体" w:cs="宋体"/>
                <w:sz w:val="24"/>
                <w:szCs w:val="24"/>
              </w:rPr>
              <w:t>特征</w:t>
            </w:r>
          </w:p>
        </w:tc>
      </w:tr>
      <w:tr w14:paraId="4345D479">
        <w:tc>
          <w:p w14:paraId="351C2A1C">
            <w:pPr>
              <w:pStyle w:val="24"/>
              <w:jc w:val="left"/>
              <w:rPr>
                <w:rFonts w:hint="eastAsia" w:ascii="宋体" w:hAnsi="宋体" w:eastAsia="宋体" w:cs="宋体"/>
                <w:sz w:val="24"/>
                <w:szCs w:val="24"/>
              </w:rPr>
            </w:pPr>
            <w:r>
              <w:rPr>
                <w:rFonts w:hint="eastAsia" w:ascii="宋体" w:hAnsi="宋体" w:eastAsia="宋体" w:cs="宋体"/>
                <w:sz w:val="24"/>
                <w:szCs w:val="24"/>
              </w:rPr>
              <w:t>2025Q1</w:t>
            </w:r>
          </w:p>
        </w:tc>
        <w:tc>
          <w:p w14:paraId="53B5FD8E">
            <w:pPr>
              <w:pStyle w:val="24"/>
              <w:jc w:val="right"/>
              <w:rPr>
                <w:rFonts w:hint="eastAsia" w:ascii="宋体" w:hAnsi="宋体" w:eastAsia="宋体" w:cs="宋体"/>
                <w:sz w:val="24"/>
                <w:szCs w:val="24"/>
              </w:rPr>
            </w:pPr>
            <w:r>
              <w:rPr>
                <w:rFonts w:hint="eastAsia" w:ascii="宋体" w:hAnsi="宋体" w:eastAsia="宋体" w:cs="宋体"/>
                <w:sz w:val="24"/>
                <w:szCs w:val="24"/>
              </w:rPr>
              <w:t>13</w:t>
            </w:r>
          </w:p>
        </w:tc>
        <w:tc>
          <w:p w14:paraId="69BC70B2">
            <w:pPr>
              <w:pStyle w:val="24"/>
              <w:jc w:val="right"/>
              <w:rPr>
                <w:rFonts w:hint="eastAsia" w:ascii="宋体" w:hAnsi="宋体" w:eastAsia="宋体" w:cs="宋体"/>
                <w:sz w:val="24"/>
                <w:szCs w:val="24"/>
              </w:rPr>
            </w:pPr>
            <w:r>
              <w:rPr>
                <w:rFonts w:hint="eastAsia" w:ascii="宋体" w:hAnsi="宋体" w:eastAsia="宋体" w:cs="宋体"/>
                <w:sz w:val="24"/>
                <w:szCs w:val="24"/>
              </w:rPr>
              <w:t>2</w:t>
            </w:r>
          </w:p>
        </w:tc>
        <w:tc>
          <w:p w14:paraId="5161FE4B">
            <w:pPr>
              <w:pStyle w:val="24"/>
              <w:jc w:val="right"/>
              <w:rPr>
                <w:rFonts w:hint="eastAsia" w:ascii="宋体" w:hAnsi="宋体" w:eastAsia="宋体" w:cs="宋体"/>
                <w:sz w:val="24"/>
                <w:szCs w:val="24"/>
              </w:rPr>
            </w:pPr>
            <w:r>
              <w:rPr>
                <w:rFonts w:hint="eastAsia" w:ascii="宋体" w:hAnsi="宋体" w:eastAsia="宋体" w:cs="宋体"/>
                <w:sz w:val="24"/>
                <w:szCs w:val="24"/>
              </w:rPr>
              <w:t>0</w:t>
            </w:r>
          </w:p>
        </w:tc>
        <w:tc>
          <w:p w14:paraId="3FB0AF1F">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2A77A2F0">
            <w:pPr>
              <w:pStyle w:val="24"/>
              <w:jc w:val="left"/>
              <w:rPr>
                <w:rFonts w:hint="eastAsia" w:ascii="宋体" w:hAnsi="宋体" w:eastAsia="宋体" w:cs="宋体"/>
                <w:sz w:val="24"/>
                <w:szCs w:val="24"/>
              </w:rPr>
            </w:pPr>
            <w:r>
              <w:rPr>
                <w:rFonts w:hint="eastAsia" w:ascii="宋体" w:hAnsi="宋体" w:eastAsia="宋体" w:cs="宋体"/>
                <w:sz w:val="24"/>
                <w:szCs w:val="24"/>
              </w:rPr>
              <w:t>全面进攻</w:t>
            </w:r>
          </w:p>
        </w:tc>
      </w:tr>
      <w:tr w14:paraId="29D1DDBF">
        <w:tc>
          <w:p w14:paraId="26B94737">
            <w:pPr>
              <w:pStyle w:val="24"/>
              <w:jc w:val="left"/>
              <w:rPr>
                <w:rFonts w:hint="eastAsia" w:ascii="宋体" w:hAnsi="宋体" w:eastAsia="宋体" w:cs="宋体"/>
                <w:sz w:val="24"/>
                <w:szCs w:val="24"/>
              </w:rPr>
            </w:pPr>
            <w:r>
              <w:rPr>
                <w:rFonts w:hint="eastAsia" w:ascii="宋体" w:hAnsi="宋体" w:eastAsia="宋体" w:cs="宋体"/>
                <w:sz w:val="24"/>
                <w:szCs w:val="24"/>
              </w:rPr>
              <w:t>2025Q2</w:t>
            </w:r>
          </w:p>
        </w:tc>
        <w:tc>
          <w:p w14:paraId="080BD4DA">
            <w:pPr>
              <w:pStyle w:val="24"/>
              <w:jc w:val="right"/>
              <w:rPr>
                <w:rFonts w:hint="eastAsia" w:ascii="宋体" w:hAnsi="宋体" w:eastAsia="宋体" w:cs="宋体"/>
                <w:sz w:val="24"/>
                <w:szCs w:val="24"/>
              </w:rPr>
            </w:pPr>
            <w:r>
              <w:rPr>
                <w:rFonts w:hint="eastAsia" w:ascii="宋体" w:hAnsi="宋体" w:eastAsia="宋体" w:cs="宋体"/>
                <w:sz w:val="24"/>
                <w:szCs w:val="24"/>
              </w:rPr>
              <w:t>6</w:t>
            </w:r>
          </w:p>
        </w:tc>
        <w:tc>
          <w:p w14:paraId="63422E9D">
            <w:pPr>
              <w:pStyle w:val="24"/>
              <w:jc w:val="right"/>
              <w:rPr>
                <w:rFonts w:hint="eastAsia" w:ascii="宋体" w:hAnsi="宋体" w:eastAsia="宋体" w:cs="宋体"/>
                <w:sz w:val="24"/>
                <w:szCs w:val="24"/>
              </w:rPr>
            </w:pPr>
            <w:r>
              <w:rPr>
                <w:rFonts w:hint="eastAsia" w:ascii="宋体" w:hAnsi="宋体" w:eastAsia="宋体" w:cs="宋体"/>
                <w:sz w:val="24"/>
                <w:szCs w:val="24"/>
              </w:rPr>
              <w:t>3</w:t>
            </w:r>
          </w:p>
        </w:tc>
        <w:tc>
          <w:p w14:paraId="546024E7">
            <w:pPr>
              <w:pStyle w:val="24"/>
              <w:jc w:val="right"/>
              <w:rPr>
                <w:rFonts w:hint="eastAsia" w:ascii="宋体" w:hAnsi="宋体" w:eastAsia="宋体" w:cs="宋体"/>
                <w:sz w:val="24"/>
                <w:szCs w:val="24"/>
              </w:rPr>
            </w:pPr>
            <w:r>
              <w:rPr>
                <w:rFonts w:hint="eastAsia" w:ascii="宋体" w:hAnsi="宋体" w:eastAsia="宋体" w:cs="宋体"/>
                <w:sz w:val="24"/>
                <w:szCs w:val="24"/>
              </w:rPr>
              <w:t>6</w:t>
            </w:r>
          </w:p>
        </w:tc>
        <w:tc>
          <w:p w14:paraId="2487EA0A">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3A44C04F">
            <w:pPr>
              <w:pStyle w:val="24"/>
              <w:jc w:val="left"/>
              <w:rPr>
                <w:rFonts w:hint="eastAsia" w:ascii="宋体" w:hAnsi="宋体" w:eastAsia="宋体" w:cs="宋体"/>
                <w:sz w:val="24"/>
                <w:szCs w:val="24"/>
              </w:rPr>
            </w:pPr>
            <w:r>
              <w:rPr>
                <w:rFonts w:hint="eastAsia" w:ascii="宋体" w:hAnsi="宋体" w:eastAsia="宋体" w:cs="宋体"/>
                <w:sz w:val="24"/>
                <w:szCs w:val="24"/>
              </w:rPr>
              <w:t>攻守均衡</w:t>
            </w:r>
          </w:p>
        </w:tc>
      </w:tr>
      <w:tr w14:paraId="53171E26">
        <w:tc>
          <w:p w14:paraId="2550FBF1">
            <w:pPr>
              <w:pStyle w:val="24"/>
              <w:jc w:val="left"/>
              <w:rPr>
                <w:rFonts w:hint="eastAsia" w:ascii="宋体" w:hAnsi="宋体" w:eastAsia="宋体" w:cs="宋体"/>
                <w:sz w:val="24"/>
                <w:szCs w:val="24"/>
              </w:rPr>
            </w:pPr>
            <w:r>
              <w:rPr>
                <w:rFonts w:hint="eastAsia" w:ascii="宋体" w:hAnsi="宋体" w:eastAsia="宋体" w:cs="宋体"/>
                <w:sz w:val="24"/>
                <w:szCs w:val="24"/>
              </w:rPr>
              <w:t>2025Q3</w:t>
            </w:r>
          </w:p>
        </w:tc>
        <w:tc>
          <w:p w14:paraId="4299AEA1">
            <w:pPr>
              <w:pStyle w:val="24"/>
              <w:jc w:val="right"/>
              <w:rPr>
                <w:rFonts w:hint="eastAsia" w:ascii="宋体" w:hAnsi="宋体" w:eastAsia="宋体" w:cs="宋体"/>
                <w:sz w:val="24"/>
                <w:szCs w:val="24"/>
              </w:rPr>
            </w:pPr>
            <w:r>
              <w:rPr>
                <w:rFonts w:hint="eastAsia" w:ascii="宋体" w:hAnsi="宋体" w:eastAsia="宋体" w:cs="宋体"/>
                <w:sz w:val="24"/>
                <w:szCs w:val="24"/>
              </w:rPr>
              <w:t>8</w:t>
            </w:r>
          </w:p>
        </w:tc>
        <w:tc>
          <w:p w14:paraId="21300701">
            <w:pPr>
              <w:pStyle w:val="24"/>
              <w:jc w:val="right"/>
              <w:rPr>
                <w:rFonts w:hint="eastAsia" w:ascii="宋体" w:hAnsi="宋体" w:eastAsia="宋体" w:cs="宋体"/>
                <w:sz w:val="24"/>
                <w:szCs w:val="24"/>
              </w:rPr>
            </w:pPr>
            <w:r>
              <w:rPr>
                <w:rFonts w:hint="eastAsia" w:ascii="宋体" w:hAnsi="宋体" w:eastAsia="宋体" w:cs="宋体"/>
                <w:sz w:val="24"/>
                <w:szCs w:val="24"/>
              </w:rPr>
              <w:t>3</w:t>
            </w:r>
          </w:p>
        </w:tc>
        <w:tc>
          <w:p w14:paraId="679B85C9">
            <w:pPr>
              <w:pStyle w:val="24"/>
              <w:jc w:val="right"/>
              <w:rPr>
                <w:rFonts w:hint="eastAsia" w:ascii="宋体" w:hAnsi="宋体" w:eastAsia="宋体" w:cs="宋体"/>
                <w:sz w:val="24"/>
                <w:szCs w:val="24"/>
              </w:rPr>
            </w:pPr>
            <w:r>
              <w:rPr>
                <w:rFonts w:hint="eastAsia" w:ascii="宋体" w:hAnsi="宋体" w:eastAsia="宋体" w:cs="宋体"/>
                <w:sz w:val="24"/>
                <w:szCs w:val="24"/>
              </w:rPr>
              <w:t>4</w:t>
            </w:r>
          </w:p>
        </w:tc>
        <w:tc>
          <w:p w14:paraId="1B98BA2E">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56B2E8AD">
            <w:pPr>
              <w:pStyle w:val="24"/>
              <w:jc w:val="left"/>
              <w:rPr>
                <w:rFonts w:hint="eastAsia" w:ascii="宋体" w:hAnsi="宋体" w:eastAsia="宋体" w:cs="宋体"/>
                <w:sz w:val="24"/>
                <w:szCs w:val="24"/>
              </w:rPr>
            </w:pPr>
            <w:r>
              <w:rPr>
                <w:rFonts w:hint="eastAsia" w:ascii="宋体" w:hAnsi="宋体" w:eastAsia="宋体" w:cs="宋体"/>
                <w:sz w:val="24"/>
                <w:szCs w:val="24"/>
              </w:rPr>
              <w:t>偏进攻</w:t>
            </w:r>
          </w:p>
        </w:tc>
      </w:tr>
      <w:tr w14:paraId="5754EC5C">
        <w:tc>
          <w:p w14:paraId="1315D85D">
            <w:pPr>
              <w:pStyle w:val="24"/>
              <w:jc w:val="left"/>
              <w:rPr>
                <w:rFonts w:hint="eastAsia" w:ascii="宋体" w:hAnsi="宋体" w:eastAsia="宋体" w:cs="宋体"/>
                <w:sz w:val="24"/>
                <w:szCs w:val="24"/>
              </w:rPr>
            </w:pPr>
            <w:r>
              <w:rPr>
                <w:rFonts w:hint="eastAsia" w:ascii="宋体" w:hAnsi="宋体" w:eastAsia="宋体" w:cs="宋体"/>
                <w:sz w:val="24"/>
                <w:szCs w:val="24"/>
              </w:rPr>
              <w:t>2025Q4</w:t>
            </w:r>
          </w:p>
        </w:tc>
        <w:tc>
          <w:p w14:paraId="15812913">
            <w:pPr>
              <w:pStyle w:val="24"/>
              <w:jc w:val="right"/>
              <w:rPr>
                <w:rFonts w:hint="eastAsia" w:ascii="宋体" w:hAnsi="宋体" w:eastAsia="宋体" w:cs="宋体"/>
                <w:sz w:val="24"/>
                <w:szCs w:val="24"/>
              </w:rPr>
            </w:pPr>
            <w:r>
              <w:rPr>
                <w:rFonts w:hint="eastAsia" w:ascii="宋体" w:hAnsi="宋体" w:eastAsia="宋体" w:cs="宋体"/>
                <w:sz w:val="24"/>
                <w:szCs w:val="24"/>
              </w:rPr>
              <w:t>9</w:t>
            </w:r>
          </w:p>
        </w:tc>
        <w:tc>
          <w:p w14:paraId="709D52B6">
            <w:pPr>
              <w:pStyle w:val="24"/>
              <w:jc w:val="right"/>
              <w:rPr>
                <w:rFonts w:hint="eastAsia" w:ascii="宋体" w:hAnsi="宋体" w:eastAsia="宋体" w:cs="宋体"/>
                <w:sz w:val="24"/>
                <w:szCs w:val="24"/>
              </w:rPr>
            </w:pPr>
            <w:r>
              <w:rPr>
                <w:rFonts w:hint="eastAsia" w:ascii="宋体" w:hAnsi="宋体" w:eastAsia="宋体" w:cs="宋体"/>
                <w:sz w:val="24"/>
                <w:szCs w:val="24"/>
              </w:rPr>
              <w:t>2</w:t>
            </w:r>
          </w:p>
        </w:tc>
        <w:tc>
          <w:p w14:paraId="735A42CD">
            <w:pPr>
              <w:pStyle w:val="24"/>
              <w:jc w:val="right"/>
              <w:rPr>
                <w:rFonts w:hint="eastAsia" w:ascii="宋体" w:hAnsi="宋体" w:eastAsia="宋体" w:cs="宋体"/>
                <w:sz w:val="24"/>
                <w:szCs w:val="24"/>
              </w:rPr>
            </w:pPr>
            <w:r>
              <w:rPr>
                <w:rFonts w:hint="eastAsia" w:ascii="宋体" w:hAnsi="宋体" w:eastAsia="宋体" w:cs="宋体"/>
                <w:sz w:val="24"/>
                <w:szCs w:val="24"/>
              </w:rPr>
              <w:t>4</w:t>
            </w:r>
          </w:p>
        </w:tc>
        <w:tc>
          <w:p w14:paraId="7A4725B9">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73B3D946">
            <w:pPr>
              <w:pStyle w:val="24"/>
              <w:jc w:val="left"/>
              <w:rPr>
                <w:rFonts w:hint="eastAsia" w:ascii="宋体" w:hAnsi="宋体" w:eastAsia="宋体" w:cs="宋体"/>
                <w:sz w:val="24"/>
                <w:szCs w:val="24"/>
              </w:rPr>
            </w:pPr>
            <w:r>
              <w:rPr>
                <w:rFonts w:hint="eastAsia" w:ascii="宋体" w:hAnsi="宋体" w:eastAsia="宋体" w:cs="宋体"/>
                <w:sz w:val="24"/>
                <w:szCs w:val="24"/>
              </w:rPr>
              <w:t>偏进攻</w:t>
            </w:r>
          </w:p>
        </w:tc>
      </w:tr>
      <w:tr w14:paraId="2CB583D6">
        <w:tc>
          <w:p w14:paraId="4796E9D0">
            <w:pPr>
              <w:pStyle w:val="24"/>
              <w:jc w:val="left"/>
              <w:rPr>
                <w:rFonts w:hint="eastAsia" w:ascii="宋体" w:hAnsi="宋体" w:eastAsia="宋体" w:cs="宋体"/>
                <w:sz w:val="24"/>
                <w:szCs w:val="24"/>
              </w:rPr>
            </w:pPr>
            <w:r>
              <w:rPr>
                <w:rFonts w:hint="eastAsia" w:ascii="宋体" w:hAnsi="宋体" w:eastAsia="宋体" w:cs="宋体"/>
                <w:sz w:val="24"/>
                <w:szCs w:val="24"/>
              </w:rPr>
              <w:t>2026Q1</w:t>
            </w:r>
          </w:p>
        </w:tc>
        <w:tc>
          <w:p w14:paraId="0AF7CF55">
            <w:pPr>
              <w:pStyle w:val="24"/>
              <w:jc w:val="right"/>
              <w:rPr>
                <w:rFonts w:hint="eastAsia" w:ascii="宋体" w:hAnsi="宋体" w:eastAsia="宋体" w:cs="宋体"/>
                <w:sz w:val="24"/>
                <w:szCs w:val="24"/>
              </w:rPr>
            </w:pPr>
            <w:r>
              <w:rPr>
                <w:rFonts w:hint="eastAsia" w:ascii="宋体" w:hAnsi="宋体" w:eastAsia="宋体" w:cs="宋体"/>
                <w:sz w:val="24"/>
                <w:szCs w:val="24"/>
              </w:rPr>
              <w:t>13</w:t>
            </w:r>
          </w:p>
        </w:tc>
        <w:tc>
          <w:p w14:paraId="08642EFE">
            <w:pPr>
              <w:pStyle w:val="24"/>
              <w:jc w:val="right"/>
              <w:rPr>
                <w:rFonts w:hint="eastAsia" w:ascii="宋体" w:hAnsi="宋体" w:eastAsia="宋体" w:cs="宋体"/>
                <w:sz w:val="24"/>
                <w:szCs w:val="24"/>
              </w:rPr>
            </w:pPr>
            <w:r>
              <w:rPr>
                <w:rFonts w:hint="eastAsia" w:ascii="宋体" w:hAnsi="宋体" w:eastAsia="宋体" w:cs="宋体"/>
                <w:sz w:val="24"/>
                <w:szCs w:val="24"/>
              </w:rPr>
              <w:t>0</w:t>
            </w:r>
          </w:p>
        </w:tc>
        <w:tc>
          <w:p w14:paraId="34FCF146">
            <w:pPr>
              <w:pStyle w:val="24"/>
              <w:jc w:val="right"/>
              <w:rPr>
                <w:rFonts w:hint="eastAsia" w:ascii="宋体" w:hAnsi="宋体" w:eastAsia="宋体" w:cs="宋体"/>
                <w:sz w:val="24"/>
                <w:szCs w:val="24"/>
              </w:rPr>
            </w:pPr>
            <w:r>
              <w:rPr>
                <w:rFonts w:hint="eastAsia" w:ascii="宋体" w:hAnsi="宋体" w:eastAsia="宋体" w:cs="宋体"/>
                <w:sz w:val="24"/>
                <w:szCs w:val="24"/>
              </w:rPr>
              <w:t>2</w:t>
            </w:r>
          </w:p>
        </w:tc>
        <w:tc>
          <w:p w14:paraId="0A10A33A">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27EF1F5B">
            <w:pPr>
              <w:pStyle w:val="24"/>
              <w:jc w:val="left"/>
              <w:rPr>
                <w:rFonts w:hint="eastAsia" w:ascii="宋体" w:hAnsi="宋体" w:eastAsia="宋体" w:cs="宋体"/>
                <w:sz w:val="24"/>
                <w:szCs w:val="24"/>
              </w:rPr>
            </w:pPr>
            <w:r>
              <w:rPr>
                <w:rFonts w:hint="eastAsia" w:ascii="宋体" w:hAnsi="宋体" w:eastAsia="宋体" w:cs="宋体"/>
                <w:sz w:val="24"/>
                <w:szCs w:val="24"/>
              </w:rPr>
              <w:t>全面进攻（风险信号）</w:t>
            </w:r>
          </w:p>
        </w:tc>
      </w:tr>
      <w:tr w14:paraId="143BFFCF">
        <w:tc>
          <w:p w14:paraId="6848E186">
            <w:pPr>
              <w:pStyle w:val="24"/>
              <w:jc w:val="left"/>
              <w:rPr>
                <w:rFonts w:hint="eastAsia" w:ascii="宋体" w:hAnsi="宋体" w:eastAsia="宋体" w:cs="宋体"/>
                <w:sz w:val="24"/>
                <w:szCs w:val="24"/>
              </w:rPr>
            </w:pPr>
            <w:r>
              <w:rPr>
                <w:rFonts w:hint="eastAsia" w:ascii="宋体" w:hAnsi="宋体" w:eastAsia="宋体" w:cs="宋体"/>
                <w:sz w:val="24"/>
                <w:szCs w:val="24"/>
              </w:rPr>
              <w:t>2026Q2</w:t>
            </w:r>
          </w:p>
        </w:tc>
        <w:tc>
          <w:p w14:paraId="75ECD9E9">
            <w:pPr>
              <w:pStyle w:val="24"/>
              <w:jc w:val="right"/>
              <w:rPr>
                <w:rFonts w:hint="eastAsia" w:ascii="宋体" w:hAnsi="宋体" w:eastAsia="宋体" w:cs="宋体"/>
                <w:sz w:val="24"/>
                <w:szCs w:val="24"/>
              </w:rPr>
            </w:pPr>
            <w:r>
              <w:rPr>
                <w:rFonts w:hint="eastAsia" w:ascii="宋体" w:hAnsi="宋体" w:eastAsia="宋体" w:cs="宋体"/>
                <w:sz w:val="24"/>
                <w:szCs w:val="24"/>
              </w:rPr>
              <w:t>12</w:t>
            </w:r>
          </w:p>
        </w:tc>
        <w:tc>
          <w:p w14:paraId="364098CE">
            <w:pPr>
              <w:pStyle w:val="24"/>
              <w:jc w:val="right"/>
              <w:rPr>
                <w:rFonts w:hint="eastAsia" w:ascii="宋体" w:hAnsi="宋体" w:eastAsia="宋体" w:cs="宋体"/>
                <w:sz w:val="24"/>
                <w:szCs w:val="24"/>
              </w:rPr>
            </w:pPr>
            <w:r>
              <w:rPr>
                <w:rFonts w:hint="eastAsia" w:ascii="宋体" w:hAnsi="宋体" w:eastAsia="宋体" w:cs="宋体"/>
                <w:sz w:val="24"/>
                <w:szCs w:val="24"/>
              </w:rPr>
              <w:t>0</w:t>
            </w:r>
          </w:p>
        </w:tc>
        <w:tc>
          <w:p w14:paraId="3771BC64">
            <w:pPr>
              <w:pStyle w:val="24"/>
              <w:jc w:val="right"/>
              <w:rPr>
                <w:rFonts w:hint="eastAsia" w:ascii="宋体" w:hAnsi="宋体" w:eastAsia="宋体" w:cs="宋体"/>
                <w:sz w:val="24"/>
                <w:szCs w:val="24"/>
              </w:rPr>
            </w:pPr>
            <w:r>
              <w:rPr>
                <w:rFonts w:hint="eastAsia" w:ascii="宋体" w:hAnsi="宋体" w:eastAsia="宋体" w:cs="宋体"/>
                <w:sz w:val="24"/>
                <w:szCs w:val="24"/>
              </w:rPr>
              <w:t>3</w:t>
            </w:r>
          </w:p>
        </w:tc>
        <w:tc>
          <w:p w14:paraId="43E8A231">
            <w:pPr>
              <w:pStyle w:val="24"/>
              <w:jc w:val="right"/>
              <w:rPr>
                <w:rFonts w:hint="eastAsia" w:ascii="宋体" w:hAnsi="宋体" w:eastAsia="宋体" w:cs="宋体"/>
                <w:sz w:val="24"/>
                <w:szCs w:val="24"/>
              </w:rPr>
            </w:pPr>
            <w:r>
              <w:rPr>
                <w:rFonts w:hint="eastAsia" w:ascii="宋体" w:hAnsi="宋体" w:eastAsia="宋体" w:cs="宋体"/>
                <w:sz w:val="24"/>
                <w:szCs w:val="24"/>
              </w:rPr>
              <w:t>15</w:t>
            </w:r>
          </w:p>
        </w:tc>
        <w:tc>
          <w:p w14:paraId="2F259E02">
            <w:pPr>
              <w:pStyle w:val="24"/>
              <w:jc w:val="left"/>
              <w:rPr>
                <w:rFonts w:hint="eastAsia" w:ascii="宋体" w:hAnsi="宋体" w:eastAsia="宋体" w:cs="宋体"/>
                <w:sz w:val="24"/>
                <w:szCs w:val="24"/>
              </w:rPr>
            </w:pPr>
            <w:r>
              <w:rPr>
                <w:rFonts w:hint="eastAsia" w:ascii="宋体" w:hAnsi="宋体" w:eastAsia="宋体" w:cs="宋体"/>
                <w:sz w:val="24"/>
                <w:szCs w:val="24"/>
              </w:rPr>
              <w:t>偏进攻</w:t>
            </w:r>
          </w:p>
        </w:tc>
      </w:tr>
      <w:tr w14:paraId="0D5229B3">
        <w:tc>
          <w:p w14:paraId="7079790F">
            <w:pPr>
              <w:pStyle w:val="24"/>
              <w:jc w:val="left"/>
              <w:rPr>
                <w:rFonts w:hint="eastAsia" w:ascii="宋体" w:hAnsi="宋体" w:eastAsia="宋体" w:cs="宋体"/>
                <w:sz w:val="24"/>
                <w:szCs w:val="24"/>
              </w:rPr>
            </w:pPr>
            <w:r>
              <w:rPr>
                <w:rFonts w:hint="eastAsia" w:ascii="宋体" w:hAnsi="宋体" w:eastAsia="宋体" w:cs="宋体"/>
                <w:sz w:val="24"/>
                <w:szCs w:val="24"/>
              </w:rPr>
              <w:t>2026Q3</w:t>
            </w:r>
          </w:p>
        </w:tc>
        <w:tc>
          <w:p w14:paraId="3EA0D06D">
            <w:pPr>
              <w:pStyle w:val="24"/>
              <w:jc w:val="right"/>
              <w:rPr>
                <w:rFonts w:hint="eastAsia" w:ascii="宋体" w:hAnsi="宋体" w:eastAsia="宋体" w:cs="宋体"/>
                <w:sz w:val="24"/>
                <w:szCs w:val="24"/>
              </w:rPr>
            </w:pPr>
            <w:r>
              <w:rPr>
                <w:rFonts w:hint="eastAsia" w:ascii="宋体" w:hAnsi="宋体" w:eastAsia="宋体" w:cs="宋体"/>
                <w:sz w:val="24"/>
                <w:szCs w:val="24"/>
              </w:rPr>
              <w:t>4</w:t>
            </w:r>
          </w:p>
        </w:tc>
        <w:tc>
          <w:p w14:paraId="6229C4AB">
            <w:pPr>
              <w:pStyle w:val="24"/>
              <w:jc w:val="right"/>
              <w:rPr>
                <w:rFonts w:hint="eastAsia" w:ascii="宋体" w:hAnsi="宋体" w:eastAsia="宋体" w:cs="宋体"/>
                <w:sz w:val="24"/>
                <w:szCs w:val="24"/>
              </w:rPr>
            </w:pPr>
            <w:r>
              <w:rPr>
                <w:rFonts w:hint="eastAsia" w:ascii="宋体" w:hAnsi="宋体" w:eastAsia="宋体" w:cs="宋体"/>
                <w:sz w:val="24"/>
                <w:szCs w:val="24"/>
              </w:rPr>
              <w:t>0</w:t>
            </w:r>
          </w:p>
        </w:tc>
        <w:tc>
          <w:p w14:paraId="6E4E3C7C">
            <w:pPr>
              <w:pStyle w:val="24"/>
              <w:jc w:val="right"/>
              <w:rPr>
                <w:rFonts w:hint="eastAsia" w:ascii="宋体" w:hAnsi="宋体" w:eastAsia="宋体" w:cs="宋体"/>
                <w:sz w:val="24"/>
                <w:szCs w:val="24"/>
              </w:rPr>
            </w:pPr>
            <w:r>
              <w:rPr>
                <w:rFonts w:hint="eastAsia" w:ascii="宋体" w:hAnsi="宋体" w:eastAsia="宋体" w:cs="宋体"/>
                <w:sz w:val="24"/>
                <w:szCs w:val="24"/>
              </w:rPr>
              <w:t>1</w:t>
            </w:r>
          </w:p>
        </w:tc>
        <w:tc>
          <w:p w14:paraId="52A13CBE">
            <w:pPr>
              <w:pStyle w:val="24"/>
              <w:jc w:val="right"/>
              <w:rPr>
                <w:rFonts w:hint="eastAsia" w:ascii="宋体" w:hAnsi="宋体" w:eastAsia="宋体" w:cs="宋体"/>
                <w:sz w:val="24"/>
                <w:szCs w:val="24"/>
              </w:rPr>
            </w:pPr>
            <w:r>
              <w:rPr>
                <w:rFonts w:hint="eastAsia" w:ascii="宋体" w:hAnsi="宋体" w:eastAsia="宋体" w:cs="宋体"/>
                <w:sz w:val="24"/>
                <w:szCs w:val="24"/>
              </w:rPr>
              <w:t>5</w:t>
            </w:r>
          </w:p>
        </w:tc>
        <w:tc>
          <w:p w14:paraId="42ADED17">
            <w:pPr>
              <w:pStyle w:val="24"/>
              <w:jc w:val="left"/>
              <w:rPr>
                <w:rFonts w:hint="eastAsia" w:ascii="宋体" w:hAnsi="宋体" w:eastAsia="宋体" w:cs="宋体"/>
                <w:sz w:val="24"/>
                <w:szCs w:val="24"/>
              </w:rPr>
            </w:pPr>
            <w:r>
              <w:rPr>
                <w:rFonts w:hint="eastAsia" w:ascii="宋体" w:hAnsi="宋体" w:eastAsia="宋体" w:cs="宋体"/>
                <w:sz w:val="24"/>
                <w:szCs w:val="24"/>
              </w:rPr>
              <w:t>减仓修正</w:t>
            </w:r>
          </w:p>
        </w:tc>
      </w:tr>
    </w:tbl>
    <w:p w14:paraId="24CF7544">
      <w:pPr>
        <w:pStyle w:val="3"/>
        <w:rPr>
          <w:rFonts w:hint="eastAsia" w:ascii="宋体" w:hAnsi="宋体" w:eastAsia="宋体" w:cs="宋体"/>
          <w:sz w:val="24"/>
          <w:szCs w:val="24"/>
        </w:rPr>
      </w:pPr>
      <w:r>
        <w:rPr>
          <w:rFonts w:hint="eastAsia" w:ascii="宋体" w:hAnsi="宋体" w:eastAsia="宋体" w:cs="宋体"/>
          <w:sz w:val="24"/>
          <w:szCs w:val="24"/>
        </w:rPr>
        <w:t>策略的攻防切换呈现明显的动量驱动特征：</w:t>
      </w:r>
    </w:p>
    <w:p w14:paraId="0399061E">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 xml:space="preserve">2025Q1 </w:t>
      </w:r>
      <w:r>
        <w:rPr>
          <w:rFonts w:hint="eastAsia" w:ascii="宋体" w:hAnsi="宋体" w:eastAsia="宋体" w:cs="宋体"/>
          <w:b/>
          <w:bCs/>
          <w:sz w:val="24"/>
          <w:szCs w:val="24"/>
        </w:rPr>
        <w:t>全面进攻</w:t>
      </w:r>
      <w:r>
        <w:rPr>
          <w:rFonts w:hint="eastAsia" w:ascii="宋体" w:hAnsi="宋体" w:eastAsia="宋体" w:cs="宋体"/>
          <w:sz w:val="24"/>
          <w:szCs w:val="24"/>
        </w:rPr>
        <w:t>：半导体动量初起，策略重仓进攻型股票，为后续主升浪布局</w:t>
      </w:r>
    </w:p>
    <w:p w14:paraId="389032FE">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 xml:space="preserve">2025Q2 </w:t>
      </w:r>
      <w:r>
        <w:rPr>
          <w:rFonts w:hint="eastAsia" w:ascii="宋体" w:hAnsi="宋体" w:eastAsia="宋体" w:cs="宋体"/>
          <w:b/>
          <w:bCs/>
          <w:sz w:val="24"/>
          <w:szCs w:val="24"/>
        </w:rPr>
        <w:t>攻守均衡</w:t>
      </w:r>
      <w:r>
        <w:rPr>
          <w:rFonts w:hint="eastAsia" w:ascii="宋体" w:hAnsi="宋体" w:eastAsia="宋体" w:cs="宋体"/>
          <w:sz w:val="24"/>
          <w:szCs w:val="24"/>
        </w:rPr>
        <w:t>：市场不确定性增加，策略纳入6次防守型持仓，动量信号短暂趋平</w:t>
      </w:r>
    </w:p>
    <w:p w14:paraId="2A72E33E">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 xml:space="preserve">2025Q3-Q4 </w:t>
      </w:r>
      <w:r>
        <w:rPr>
          <w:rFonts w:hint="eastAsia" w:ascii="宋体" w:hAnsi="宋体" w:eastAsia="宋体" w:cs="宋体"/>
          <w:b/>
          <w:bCs/>
          <w:sz w:val="24"/>
          <w:szCs w:val="24"/>
        </w:rPr>
        <w:t>偏进攻</w:t>
      </w:r>
      <w:r>
        <w:rPr>
          <w:rFonts w:hint="eastAsia" w:ascii="宋体" w:hAnsi="宋体" w:eastAsia="宋体" w:cs="宋体"/>
          <w:sz w:val="24"/>
          <w:szCs w:val="24"/>
        </w:rPr>
        <w:t>：存储芯片主升浪期间，策略持续偏向进攻型，捕获了最大的超额收益</w:t>
      </w:r>
    </w:p>
    <w:p w14:paraId="024214F5">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 xml:space="preserve">2026Q1 </w:t>
      </w:r>
      <w:r>
        <w:rPr>
          <w:rFonts w:hint="eastAsia" w:ascii="宋体" w:hAnsi="宋体" w:eastAsia="宋体" w:cs="宋体"/>
          <w:b/>
          <w:bCs/>
          <w:sz w:val="24"/>
          <w:szCs w:val="24"/>
        </w:rPr>
        <w:t>全面进攻（风险信号）</w:t>
      </w:r>
      <w:r>
        <w:rPr>
          <w:rFonts w:hint="eastAsia" w:ascii="宋体" w:hAnsi="宋体" w:eastAsia="宋体" w:cs="宋体"/>
          <w:sz w:val="24"/>
          <w:szCs w:val="24"/>
        </w:rPr>
        <w:t>：市场已转入下跌市，但动量因子仍在追逐高位强势股，13次进攻、0次防守——这是动量策略在趋势拐点的典型滞后特征</w:t>
      </w:r>
      <w:r>
        <w:rPr>
          <w:rFonts w:hint="eastAsia" w:ascii="宋体" w:hAnsi="宋体" w:eastAsia="宋体" w:cs="宋体"/>
          <w:sz w:val="24"/>
          <w:szCs w:val="24"/>
        </w:rPr>
        <w:t xml:space="preserve"> (Jegadeesh &amp; Titman, 1993; Carhart, 1997)</w:t>
      </w:r>
    </w:p>
    <w:p w14:paraId="019D939E">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 xml:space="preserve">2026Q3 </w:t>
      </w:r>
      <w:r>
        <w:rPr>
          <w:rFonts w:hint="eastAsia" w:ascii="宋体" w:hAnsi="宋体" w:eastAsia="宋体" w:cs="宋体"/>
          <w:b/>
          <w:bCs/>
          <w:sz w:val="24"/>
          <w:szCs w:val="24"/>
        </w:rPr>
        <w:t>减仓修正</w:t>
      </w:r>
      <w:r>
        <w:rPr>
          <w:rFonts w:hint="eastAsia" w:ascii="宋体" w:hAnsi="宋体" w:eastAsia="宋体" w:cs="宋体"/>
          <w:sz w:val="24"/>
          <w:szCs w:val="24"/>
        </w:rPr>
        <w:t>：7月科技股回调后，策略仅选出4次进攻型持仓，动量信号大幅衰减</w:t>
      </w:r>
    </w:p>
    <w:bookmarkEnd w:id="26"/>
    <w:bookmarkEnd w:id="30"/>
    <w:bookmarkEnd w:id="32"/>
    <w:p w14:paraId="615E4F4C">
      <w:pPr>
        <w:pStyle w:val="2"/>
        <w:rPr>
          <w:rFonts w:hint="eastAsia" w:ascii="宋体" w:hAnsi="宋体" w:eastAsia="宋体" w:cs="宋体"/>
          <w:sz w:val="24"/>
          <w:szCs w:val="24"/>
        </w:rPr>
      </w:pPr>
      <w:bookmarkStart w:id="33" w:name="第6章-结论局限与下一步"/>
      <w:r>
        <w:rPr>
          <w:rFonts w:hint="eastAsia" w:ascii="宋体" w:hAnsi="宋体" w:eastAsia="宋体" w:cs="宋体"/>
          <w:sz w:val="24"/>
          <w:szCs w:val="24"/>
        </w:rPr>
        <w:t>第6章</w:t>
      </w:r>
      <w:r>
        <w:rPr>
          <w:rFonts w:hint="eastAsia" w:ascii="宋体" w:hAnsi="宋体" w:eastAsia="宋体" w:cs="宋体"/>
          <w:sz w:val="24"/>
          <w:szCs w:val="24"/>
        </w:rPr>
        <w:t xml:space="preserve"> </w:t>
      </w:r>
      <w:r>
        <w:rPr>
          <w:rFonts w:hint="eastAsia" w:ascii="宋体" w:hAnsi="宋体" w:eastAsia="宋体" w:cs="宋体"/>
          <w:sz w:val="24"/>
          <w:szCs w:val="24"/>
        </w:rPr>
        <w:t>结论、局限与下一步</w:t>
      </w:r>
    </w:p>
    <w:p w14:paraId="00D9CF4F">
      <w:pPr>
        <w:pStyle w:val="4"/>
        <w:rPr>
          <w:rFonts w:hint="eastAsia" w:ascii="宋体" w:hAnsi="宋体" w:eastAsia="宋体" w:cs="宋体"/>
          <w:sz w:val="24"/>
          <w:szCs w:val="24"/>
        </w:rPr>
      </w:pPr>
      <w:bookmarkStart w:id="34" w:name="结论"/>
      <w:r>
        <w:rPr>
          <w:rFonts w:hint="eastAsia" w:ascii="宋体" w:hAnsi="宋体" w:eastAsia="宋体" w:cs="宋体"/>
          <w:sz w:val="24"/>
          <w:szCs w:val="24"/>
        </w:rPr>
        <w:t xml:space="preserve">6.1 </w:t>
      </w:r>
      <w:r>
        <w:rPr>
          <w:rFonts w:hint="eastAsia" w:ascii="宋体" w:hAnsi="宋体" w:eastAsia="宋体" w:cs="宋体"/>
          <w:sz w:val="24"/>
          <w:szCs w:val="24"/>
        </w:rPr>
        <w:t>结论</w:t>
      </w:r>
    </w:p>
    <w:p w14:paraId="494B4F87">
      <w:pPr>
        <w:pStyle w:val="24"/>
        <w:numPr>
          <w:ilvl w:val="0"/>
          <w:numId w:val="3"/>
        </w:numPr>
        <w:rPr>
          <w:rFonts w:hint="eastAsia" w:ascii="宋体" w:hAnsi="宋体" w:eastAsia="宋体" w:cs="宋体"/>
          <w:sz w:val="24"/>
          <w:szCs w:val="24"/>
        </w:rPr>
      </w:pPr>
      <w:r>
        <w:rPr>
          <w:rFonts w:hint="eastAsia" w:ascii="宋体" w:hAnsi="宋体" w:eastAsia="宋体" w:cs="宋体"/>
          <w:sz w:val="24"/>
          <w:szCs w:val="24"/>
        </w:rPr>
        <w:t>VQM三因子策略在2025-01-27至2026-07-21期间累计收益210.8%，超额沪深300达186.7%，年化收益123.2%远超基准的16.6%，三项成功标准（绝对收益≥0、超额收益≥0、最大回撤≤15%）全部通过。</w:t>
      </w:r>
    </w:p>
    <w:p w14:paraId="795CBB05">
      <w:pPr>
        <w:pStyle w:val="24"/>
        <w:numPr>
          <w:ilvl w:val="0"/>
          <w:numId w:val="3"/>
        </w:numPr>
        <w:rPr>
          <w:rFonts w:hint="eastAsia" w:ascii="宋体" w:hAnsi="宋体" w:eastAsia="宋体" w:cs="宋体"/>
          <w:sz w:val="24"/>
          <w:szCs w:val="24"/>
        </w:rPr>
      </w:pPr>
      <w:r>
        <w:rPr>
          <w:rFonts w:hint="eastAsia" w:ascii="宋体" w:hAnsi="宋体" w:eastAsia="宋体" w:cs="宋体"/>
          <w:sz w:val="24"/>
          <w:szCs w:val="24"/>
        </w:rPr>
        <w:t>最大回撤仅-14.7%，低于预设15%的风控线，15%回撤控制机制在2025年末存储芯片板块回调中发挥了关键作用，夏普比率2.32显著优于基准的0.87，风险控制良好。</w:t>
      </w:r>
    </w:p>
    <w:p w14:paraId="2C54EF62">
      <w:pPr>
        <w:pStyle w:val="24"/>
        <w:numPr>
          <w:ilvl w:val="0"/>
          <w:numId w:val="3"/>
        </w:numPr>
        <w:rPr>
          <w:rFonts w:hint="eastAsia" w:ascii="宋体" w:hAnsi="宋体" w:eastAsia="宋体" w:cs="宋体"/>
          <w:sz w:val="24"/>
          <w:szCs w:val="24"/>
        </w:rPr>
      </w:pPr>
      <w:r>
        <w:rPr>
          <w:rFonts w:hint="eastAsia" w:ascii="宋体" w:hAnsi="宋体" w:eastAsia="宋体" w:cs="宋体"/>
          <w:sz w:val="24"/>
          <w:szCs w:val="24"/>
        </w:rPr>
        <w:t>策略收益高度来源于动量因子对存储芯片板块的捕捉，德明利、江波龙、佰维存储三只股票合计贡献约124%的组合收益，是超额收益的核心来源；攻防风格分析显示策略在2026Q1下跌市中仍全面进攻，暴露了动量因子在趋势拐点的滞后性。</w:t>
      </w:r>
    </w:p>
    <w:bookmarkEnd w:id="34"/>
    <w:p w14:paraId="7C0560BC">
      <w:pPr>
        <w:pStyle w:val="4"/>
        <w:rPr>
          <w:rFonts w:hint="eastAsia" w:ascii="宋体" w:hAnsi="宋体" w:eastAsia="宋体" w:cs="宋体"/>
          <w:sz w:val="24"/>
          <w:szCs w:val="24"/>
        </w:rPr>
      </w:pPr>
      <w:bookmarkStart w:id="35" w:name="局限"/>
      <w:r>
        <w:rPr>
          <w:rFonts w:hint="eastAsia" w:ascii="宋体" w:hAnsi="宋体" w:eastAsia="宋体" w:cs="宋体"/>
          <w:sz w:val="24"/>
          <w:szCs w:val="24"/>
        </w:rPr>
        <w:t xml:space="preserve">6.2 </w:t>
      </w:r>
      <w:r>
        <w:rPr>
          <w:rFonts w:hint="eastAsia" w:ascii="宋体" w:hAnsi="宋体" w:eastAsia="宋体" w:cs="宋体"/>
          <w:sz w:val="24"/>
          <w:szCs w:val="24"/>
        </w:rPr>
        <w:t>局限</w:t>
      </w:r>
    </w:p>
    <w:p w14:paraId="40390CBB">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样本有限</w:t>
      </w:r>
      <w:r>
        <w:rPr>
          <w:rFonts w:hint="eastAsia" w:ascii="宋体" w:hAnsi="宋体" w:eastAsia="宋体" w:cs="宋体"/>
          <w:sz w:val="24"/>
          <w:szCs w:val="24"/>
        </w:rPr>
        <w:t>：股票池仅20只，每月选5只，结论可能不具普适性，难以推广至全市场。</w:t>
      </w:r>
    </w:p>
    <w:p w14:paraId="71BEAA4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未考虑交易成本</w:t>
      </w:r>
      <w:r>
        <w:rPr>
          <w:rFonts w:hint="eastAsia" w:ascii="宋体" w:hAnsi="宋体" w:eastAsia="宋体" w:cs="宋体"/>
          <w:sz w:val="24"/>
          <w:szCs w:val="24"/>
        </w:rPr>
        <w:t>：实际交易中印花税、佣金、滑点会降低净收益，月度调仓的换手率较高时影响尤为显著。</w:t>
      </w:r>
    </w:p>
    <w:p w14:paraId="2A8F07AC">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数据区间较短</w:t>
      </w:r>
      <w:r>
        <w:rPr>
          <w:rFonts w:hint="eastAsia" w:ascii="宋体" w:hAnsi="宋体" w:eastAsia="宋体" w:cs="宋体"/>
          <w:sz w:val="24"/>
          <w:szCs w:val="24"/>
        </w:rPr>
        <w:t>：策略有效回测期仅约1.5年（2025-01至2026-07），未经历完整牛熊周期，策略在极端行情下的表现有待验证。</w:t>
      </w:r>
    </w:p>
    <w:p w14:paraId="3E6ADB25">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基本面因子静态化</w:t>
      </w:r>
      <w:r>
        <w:rPr>
          <w:rFonts w:hint="eastAsia" w:ascii="宋体" w:hAnsi="宋体" w:eastAsia="宋体" w:cs="宋体"/>
          <w:sz w:val="24"/>
          <w:szCs w:val="24"/>
        </w:rPr>
        <w:t>：PE和ROE为回测期内获取的快照值，未随季报更新动态调整，可能高估了质量与价值因子的截面区分度</w:t>
      </w:r>
      <w:r>
        <w:rPr>
          <w:rFonts w:hint="eastAsia" w:ascii="宋体" w:hAnsi="宋体" w:eastAsia="宋体" w:cs="宋体"/>
          <w:sz w:val="24"/>
          <w:szCs w:val="24"/>
        </w:rPr>
        <w:t xml:space="preserve"> (Novy-Marx, 2013; Lakonishok, Shleifer &amp; Vishny, 1994)。</w:t>
      </w:r>
    </w:p>
    <w:p w14:paraId="3C6FDB94">
      <w:pPr>
        <w:pStyle w:val="24"/>
        <w:numPr>
          <w:ilvl w:val="0"/>
          <w:numId w:val="1"/>
        </w:numPr>
        <w:rPr>
          <w:rFonts w:hint="eastAsia" w:ascii="宋体" w:hAnsi="宋体" w:eastAsia="宋体" w:cs="宋体"/>
          <w:sz w:val="24"/>
          <w:szCs w:val="24"/>
        </w:rPr>
      </w:pPr>
      <w:r>
        <w:rPr>
          <w:rFonts w:hint="eastAsia" w:ascii="宋体" w:hAnsi="宋体" w:eastAsia="宋体" w:cs="宋体"/>
          <w:b/>
          <w:bCs/>
          <w:sz w:val="24"/>
          <w:szCs w:val="24"/>
        </w:rPr>
        <w:t>风格集中</w:t>
      </w:r>
      <w:r>
        <w:rPr>
          <w:rFonts w:hint="eastAsia" w:ascii="宋体" w:hAnsi="宋体" w:eastAsia="宋体" w:cs="宋体"/>
          <w:sz w:val="24"/>
          <w:szCs w:val="24"/>
        </w:rPr>
        <w:t>：策略对半导体板块暴露过度集中，在板块系统性回调时（如2026年7月）面临较大压力。当前策略的攻防切换完全由动量因子隐式驱动，存在两个结构性问题：（1）在市场拐点处滞后，如2026Q1在下跌市中仍全面进攻</w:t>
      </w:r>
      <w:r>
        <w:rPr>
          <w:rFonts w:hint="eastAsia" w:ascii="宋体" w:hAnsi="宋体" w:eastAsia="宋体" w:cs="宋体"/>
          <w:sz w:val="24"/>
          <w:szCs w:val="24"/>
        </w:rPr>
        <w:t xml:space="preserve"> (Jegadeesh &amp; Titman, </w:t>
      </w:r>
      <w:r>
        <w:rPr>
          <w:rFonts w:hint="eastAsia" w:ascii="宋体" w:hAnsi="宋体" w:eastAsia="宋体" w:cs="宋体"/>
          <w:sz w:val="24"/>
          <w:szCs w:val="24"/>
        </w:rPr>
        <w:t>1993)；（2）15%回撤控制是”一刀切”式全仓转现金，缺乏渐进式防御过渡。</w:t>
      </w:r>
    </w:p>
    <w:bookmarkEnd w:id="35"/>
    <w:p w14:paraId="706AEA5D">
      <w:pPr>
        <w:pStyle w:val="4"/>
        <w:rPr>
          <w:rFonts w:hint="eastAsia" w:ascii="宋体" w:hAnsi="宋体" w:eastAsia="宋体" w:cs="宋体"/>
          <w:sz w:val="24"/>
          <w:szCs w:val="24"/>
        </w:rPr>
      </w:pPr>
      <w:bookmarkStart w:id="36" w:name="下一步"/>
      <w:r>
        <w:rPr>
          <w:rFonts w:hint="eastAsia" w:ascii="宋体" w:hAnsi="宋体" w:eastAsia="宋体" w:cs="宋体"/>
          <w:sz w:val="24"/>
          <w:szCs w:val="24"/>
        </w:rPr>
        <w:t xml:space="preserve">6.3 </w:t>
      </w:r>
      <w:r>
        <w:rPr>
          <w:rFonts w:hint="eastAsia" w:ascii="宋体" w:hAnsi="宋体" w:eastAsia="宋体" w:cs="宋体"/>
          <w:sz w:val="24"/>
          <w:szCs w:val="24"/>
        </w:rPr>
        <w:t>下一步</w:t>
      </w:r>
    </w:p>
    <w:p w14:paraId="189F2018">
      <w:pPr>
        <w:numPr>
          <w:ilvl w:val="0"/>
          <w:numId w:val="1"/>
        </w:numPr>
        <w:rPr>
          <w:rFonts w:hint="eastAsia" w:ascii="宋体" w:hAnsi="宋体" w:eastAsia="宋体" w:cs="宋体"/>
          <w:sz w:val="24"/>
          <w:szCs w:val="24"/>
        </w:rPr>
      </w:pPr>
      <w:r>
        <w:rPr>
          <w:rFonts w:hint="eastAsia" w:ascii="宋体" w:hAnsi="宋体" w:eastAsia="宋体" w:cs="宋体"/>
          <w:b/>
          <w:bCs/>
          <w:sz w:val="24"/>
          <w:szCs w:val="24"/>
        </w:rPr>
        <w:t>加入风格约束</w:t>
      </w:r>
      <w:r>
        <w:rPr>
          <w:rFonts w:hint="eastAsia" w:ascii="宋体" w:hAnsi="宋体" w:eastAsia="宋体" w:cs="宋体"/>
          <w:sz w:val="24"/>
          <w:szCs w:val="24"/>
        </w:rPr>
        <w:t>：在选股规则中限制进攻型持仓数量（如最多3只）或要求至少1只防守型持仓，缓解动量因子在趋势拐点的滞后风险。</w:t>
      </w:r>
    </w:p>
    <w:p w14:paraId="1A23CF60">
      <w:pPr>
        <w:numPr>
          <w:ilvl w:val="0"/>
          <w:numId w:val="1"/>
        </w:numPr>
        <w:rPr>
          <w:rFonts w:hint="eastAsia" w:ascii="宋体" w:hAnsi="宋体" w:eastAsia="宋体" w:cs="宋体"/>
          <w:sz w:val="24"/>
          <w:szCs w:val="24"/>
        </w:rPr>
      </w:pPr>
      <w:r>
        <w:rPr>
          <w:rFonts w:hint="eastAsia" w:ascii="宋体" w:hAnsi="宋体" w:eastAsia="宋体" w:cs="宋体"/>
          <w:b/>
          <w:bCs/>
          <w:sz w:val="24"/>
          <w:szCs w:val="24"/>
        </w:rPr>
        <w:t>引入渐进式防御</w:t>
      </w:r>
      <w:r>
        <w:rPr>
          <w:rFonts w:hint="eastAsia" w:ascii="宋体" w:hAnsi="宋体" w:eastAsia="宋体" w:cs="宋体"/>
          <w:sz w:val="24"/>
          <w:szCs w:val="24"/>
        </w:rPr>
        <w:t>：当组合回撤超过10%时，将最弱持仓替换为红利ETF（波动率12.1%、最大回撤-13.6%，全池最低），替代当前15%一刀切全仓转现金的机制。</w:t>
      </w:r>
    </w:p>
    <w:p w14:paraId="0431D97C">
      <w:pPr>
        <w:numPr>
          <w:ilvl w:val="0"/>
          <w:numId w:val="1"/>
        </w:numPr>
        <w:rPr>
          <w:rFonts w:hint="eastAsia" w:ascii="宋体" w:hAnsi="宋体" w:eastAsia="宋体" w:cs="宋体"/>
          <w:sz w:val="24"/>
          <w:szCs w:val="24"/>
        </w:rPr>
      </w:pPr>
      <w:r>
        <w:rPr>
          <w:rFonts w:hint="eastAsia" w:ascii="宋体" w:hAnsi="宋体" w:eastAsia="宋体" w:cs="宋体"/>
          <w:b/>
          <w:bCs/>
          <w:sz w:val="24"/>
          <w:szCs w:val="24"/>
        </w:rPr>
        <w:t>相对动量风格轮动</w:t>
      </w:r>
      <w:r>
        <w:rPr>
          <w:rFonts w:hint="eastAsia" w:ascii="宋体" w:hAnsi="宋体" w:eastAsia="宋体" w:cs="宋体"/>
          <w:sz w:val="24"/>
          <w:szCs w:val="24"/>
        </w:rPr>
        <w:t>：比较进攻组与防守组的近期动量强弱，动态调整配置比例——进攻组动量领先时配置3进攻+2防守，防守组领先时切换为2进攻+3防守。</w:t>
      </w:r>
    </w:p>
    <w:p w14:paraId="6790CBEF">
      <w:pPr>
        <w:numPr>
          <w:ilvl w:val="0"/>
          <w:numId w:val="1"/>
        </w:numPr>
        <w:rPr>
          <w:rFonts w:hint="eastAsia" w:ascii="宋体" w:hAnsi="宋体" w:eastAsia="宋体" w:cs="宋体"/>
          <w:sz w:val="24"/>
          <w:szCs w:val="24"/>
        </w:rPr>
      </w:pPr>
      <w:r>
        <w:rPr>
          <w:rFonts w:hint="eastAsia" w:ascii="宋体" w:hAnsi="宋体" w:eastAsia="宋体" w:cs="宋体"/>
          <w:b/>
          <w:bCs/>
          <w:sz w:val="24"/>
          <w:szCs w:val="24"/>
        </w:rPr>
        <w:t>扩大股票池</w:t>
      </w:r>
      <w:r>
        <w:rPr>
          <w:rFonts w:hint="eastAsia" w:ascii="宋体" w:hAnsi="宋体" w:eastAsia="宋体" w:cs="宋体"/>
          <w:sz w:val="24"/>
          <w:szCs w:val="24"/>
        </w:rPr>
        <w:t>：将候选股票从20只扩展至50只以上，覆盖更多行业，降低单一板块暴露风险，提升结论的普适性。</w:t>
      </w:r>
    </w:p>
    <w:p w14:paraId="61DB9C4A">
      <w:pPr>
        <w:numPr>
          <w:ilvl w:val="0"/>
          <w:numId w:val="1"/>
        </w:numPr>
        <w:rPr>
          <w:rFonts w:hint="eastAsia" w:ascii="宋体" w:hAnsi="宋体" w:eastAsia="宋体" w:cs="宋体"/>
          <w:sz w:val="24"/>
          <w:szCs w:val="24"/>
        </w:rPr>
      </w:pPr>
      <w:r>
        <w:rPr>
          <w:rFonts w:hint="eastAsia" w:ascii="宋体" w:hAnsi="宋体" w:eastAsia="宋体" w:cs="宋体"/>
          <w:b/>
          <w:bCs/>
          <w:sz w:val="24"/>
          <w:szCs w:val="24"/>
        </w:rPr>
        <w:t>纳入交易成本</w:t>
      </w:r>
      <w:r>
        <w:rPr>
          <w:rFonts w:hint="eastAsia" w:ascii="宋体" w:hAnsi="宋体" w:eastAsia="宋体" w:cs="宋体"/>
          <w:sz w:val="24"/>
          <w:szCs w:val="24"/>
        </w:rPr>
        <w:t>：在回测中加入双边千分之一的交易成本假设，评估策略在扣费后的真实超额收益。</w:t>
      </w:r>
    </w:p>
    <w:p w14:paraId="4932A9B6">
      <w:pPr>
        <w:numPr>
          <w:ilvl w:val="0"/>
          <w:numId w:val="1"/>
        </w:numPr>
        <w:rPr>
          <w:rFonts w:hint="eastAsia" w:ascii="宋体" w:hAnsi="宋体" w:eastAsia="宋体" w:cs="宋体"/>
          <w:sz w:val="24"/>
          <w:szCs w:val="24"/>
        </w:rPr>
      </w:pPr>
      <w:r>
        <w:rPr>
          <w:rFonts w:hint="eastAsia" w:ascii="宋体" w:hAnsi="宋体" w:eastAsia="宋体" w:cs="宋体"/>
          <w:b/>
          <w:bCs/>
          <w:sz w:val="24"/>
          <w:szCs w:val="24"/>
        </w:rPr>
        <w:t>动态基本面因子</w:t>
      </w:r>
      <w:r>
        <w:rPr>
          <w:rFonts w:hint="eastAsia" w:ascii="宋体" w:hAnsi="宋体" w:eastAsia="宋体" w:cs="宋体"/>
          <w:sz w:val="24"/>
          <w:szCs w:val="24"/>
        </w:rPr>
        <w:t>：按季报发布时间滚动更新PE和ROE，使质量与价值因子反映最新的基本面信息。</w:t>
      </w:r>
    </w:p>
    <w:p w14:paraId="5DF3B655">
      <w:pPr>
        <w:numPr>
          <w:ilvl w:val="0"/>
          <w:numId w:val="1"/>
        </w:numPr>
        <w:rPr>
          <w:rFonts w:hint="eastAsia" w:ascii="宋体" w:hAnsi="宋体" w:eastAsia="宋体" w:cs="宋体"/>
          <w:sz w:val="24"/>
          <w:szCs w:val="24"/>
        </w:rPr>
      </w:pPr>
      <w:r>
        <w:rPr>
          <w:rFonts w:hint="eastAsia" w:ascii="宋体" w:hAnsi="宋体" w:eastAsia="宋体" w:cs="宋体"/>
          <w:b/>
          <w:bCs/>
          <w:sz w:val="24"/>
          <w:szCs w:val="24"/>
        </w:rPr>
        <w:t>空仓期替代资产测试</w:t>
      </w:r>
      <w:r>
        <w:rPr>
          <w:rFonts w:hint="eastAsia" w:ascii="宋体" w:hAnsi="宋体" w:eastAsia="宋体" w:cs="宋体"/>
          <w:sz w:val="24"/>
          <w:szCs w:val="24"/>
        </w:rPr>
        <w:t>：当前策略在回撤超过15%时全仓转现金。我们测试了在6个空仓期（共119个交易日）改为持有红利ETF（515100）的替代方案，结果如下：</w:t>
      </w:r>
    </w:p>
    <w:tbl>
      <w:tblPr>
        <w:tblStyle w:val="41"/>
        <w:tblW w:w="0" w:type="auto"/>
        <w:tblInd w:w="720" w:type="dxa"/>
        <w:tblLayout w:type="autofit"/>
        <w:tblCellMar>
          <w:top w:w="0" w:type="dxa"/>
          <w:left w:w="108" w:type="dxa"/>
          <w:bottom w:w="0" w:type="dxa"/>
          <w:right w:w="108" w:type="dxa"/>
        </w:tblCellMar>
      </w:tblPr>
      <w:tblGrid>
        <w:gridCol w:w="1176"/>
        <w:gridCol w:w="2616"/>
        <w:gridCol w:w="2796"/>
        <w:gridCol w:w="1056"/>
      </w:tblGrid>
      <w:tr w14:paraId="450548D7">
        <w:trPr>
          <w:tblHeader/>
        </w:trPr>
        <w:tc>
          <w:p w14:paraId="042DB7A3">
            <w:pPr>
              <w:pStyle w:val="24"/>
              <w:jc w:val="left"/>
              <w:rPr>
                <w:rFonts w:hint="eastAsia" w:ascii="宋体" w:hAnsi="宋体" w:eastAsia="宋体" w:cs="宋体"/>
                <w:sz w:val="24"/>
                <w:szCs w:val="24"/>
              </w:rPr>
            </w:pPr>
            <w:r>
              <w:rPr>
                <w:rFonts w:hint="eastAsia" w:ascii="宋体" w:hAnsi="宋体" w:eastAsia="宋体" w:cs="宋体"/>
                <w:sz w:val="24"/>
                <w:szCs w:val="24"/>
              </w:rPr>
              <w:t>指标</w:t>
            </w:r>
          </w:p>
        </w:tc>
        <w:tc>
          <w:p w14:paraId="70850A97">
            <w:pPr>
              <w:pStyle w:val="24"/>
              <w:jc w:val="right"/>
              <w:rPr>
                <w:rFonts w:hint="eastAsia" w:ascii="宋体" w:hAnsi="宋体" w:eastAsia="宋体" w:cs="宋体"/>
                <w:sz w:val="24"/>
                <w:szCs w:val="24"/>
              </w:rPr>
            </w:pPr>
            <w:r>
              <w:rPr>
                <w:rFonts w:hint="eastAsia" w:ascii="宋体" w:hAnsi="宋体" w:eastAsia="宋体" w:cs="宋体"/>
                <w:sz w:val="24"/>
                <w:szCs w:val="24"/>
              </w:rPr>
              <w:t>空仓持现金（原策略）</w:t>
            </w:r>
          </w:p>
        </w:tc>
        <w:tc>
          <w:p w14:paraId="0161B01F">
            <w:pPr>
              <w:pStyle w:val="24"/>
              <w:jc w:val="right"/>
              <w:rPr>
                <w:rFonts w:hint="eastAsia" w:ascii="宋体" w:hAnsi="宋体" w:eastAsia="宋体" w:cs="宋体"/>
                <w:sz w:val="24"/>
                <w:szCs w:val="24"/>
              </w:rPr>
            </w:pPr>
            <w:r>
              <w:rPr>
                <w:rFonts w:hint="eastAsia" w:ascii="宋体" w:hAnsi="宋体" w:eastAsia="宋体" w:cs="宋体"/>
                <w:sz w:val="24"/>
                <w:szCs w:val="24"/>
              </w:rPr>
              <w:t>空仓持ETF（替代方案）</w:t>
            </w:r>
          </w:p>
        </w:tc>
        <w:tc>
          <w:p w14:paraId="30E348B3">
            <w:pPr>
              <w:pStyle w:val="24"/>
              <w:jc w:val="right"/>
              <w:rPr>
                <w:rFonts w:hint="eastAsia" w:ascii="宋体" w:hAnsi="宋体" w:eastAsia="宋体" w:cs="宋体"/>
                <w:sz w:val="24"/>
                <w:szCs w:val="24"/>
              </w:rPr>
            </w:pPr>
            <w:r>
              <w:rPr>
                <w:rFonts w:hint="eastAsia" w:ascii="宋体" w:hAnsi="宋体" w:eastAsia="宋体" w:cs="宋体"/>
                <w:sz w:val="24"/>
                <w:szCs w:val="24"/>
              </w:rPr>
              <w:t>差异</w:t>
            </w:r>
          </w:p>
        </w:tc>
      </w:tr>
      <w:tr w14:paraId="7448300E">
        <w:tc>
          <w:p w14:paraId="16DEB293">
            <w:pPr>
              <w:pStyle w:val="24"/>
              <w:jc w:val="left"/>
              <w:rPr>
                <w:rFonts w:hint="eastAsia" w:ascii="宋体" w:hAnsi="宋体" w:eastAsia="宋体" w:cs="宋体"/>
                <w:sz w:val="24"/>
                <w:szCs w:val="24"/>
              </w:rPr>
            </w:pPr>
            <w:r>
              <w:rPr>
                <w:rFonts w:hint="eastAsia" w:ascii="宋体" w:hAnsi="宋体" w:eastAsia="宋体" w:cs="宋体"/>
                <w:sz w:val="24"/>
                <w:szCs w:val="24"/>
              </w:rPr>
              <w:t>总收益</w:t>
            </w:r>
          </w:p>
        </w:tc>
        <w:tc>
          <w:p w14:paraId="2DD1D83F">
            <w:pPr>
              <w:pStyle w:val="24"/>
              <w:jc w:val="right"/>
              <w:rPr>
                <w:rFonts w:hint="eastAsia" w:ascii="宋体" w:hAnsi="宋体" w:eastAsia="宋体" w:cs="宋体"/>
                <w:sz w:val="24"/>
                <w:szCs w:val="24"/>
              </w:rPr>
            </w:pPr>
            <w:r>
              <w:rPr>
                <w:rFonts w:hint="eastAsia" w:ascii="宋体" w:hAnsi="宋体" w:eastAsia="宋体" w:cs="宋体"/>
                <w:sz w:val="24"/>
                <w:szCs w:val="24"/>
              </w:rPr>
              <w:t>210.8%</w:t>
            </w:r>
          </w:p>
        </w:tc>
        <w:tc>
          <w:p w14:paraId="66D28670">
            <w:pPr>
              <w:pStyle w:val="24"/>
              <w:jc w:val="right"/>
              <w:rPr>
                <w:rFonts w:hint="eastAsia" w:ascii="宋体" w:hAnsi="宋体" w:eastAsia="宋体" w:cs="宋体"/>
                <w:sz w:val="24"/>
                <w:szCs w:val="24"/>
              </w:rPr>
            </w:pPr>
            <w:r>
              <w:rPr>
                <w:rFonts w:hint="eastAsia" w:ascii="宋体" w:hAnsi="宋体" w:eastAsia="宋体" w:cs="宋体"/>
                <w:sz w:val="24"/>
                <w:szCs w:val="24"/>
              </w:rPr>
              <w:t>224.2%</w:t>
            </w:r>
          </w:p>
        </w:tc>
        <w:tc>
          <w:p w14:paraId="20A4127F">
            <w:pPr>
              <w:pStyle w:val="24"/>
              <w:jc w:val="right"/>
              <w:rPr>
                <w:rFonts w:hint="eastAsia" w:ascii="宋体" w:hAnsi="宋体" w:eastAsia="宋体" w:cs="宋体"/>
                <w:sz w:val="24"/>
                <w:szCs w:val="24"/>
              </w:rPr>
            </w:pPr>
            <w:r>
              <w:rPr>
                <w:rFonts w:hint="eastAsia" w:ascii="宋体" w:hAnsi="宋体" w:eastAsia="宋体" w:cs="宋体"/>
                <w:sz w:val="24"/>
                <w:szCs w:val="24"/>
              </w:rPr>
              <w:t>+13.4pp</w:t>
            </w:r>
          </w:p>
        </w:tc>
      </w:tr>
      <w:tr w14:paraId="7E891BE0">
        <w:tc>
          <w:p w14:paraId="22B67406">
            <w:pPr>
              <w:pStyle w:val="24"/>
              <w:jc w:val="left"/>
              <w:rPr>
                <w:rFonts w:hint="eastAsia" w:ascii="宋体" w:hAnsi="宋体" w:eastAsia="宋体" w:cs="宋体"/>
                <w:sz w:val="24"/>
                <w:szCs w:val="24"/>
              </w:rPr>
            </w:pPr>
            <w:r>
              <w:rPr>
                <w:rFonts w:hint="eastAsia" w:ascii="宋体" w:hAnsi="宋体" w:eastAsia="宋体" w:cs="宋体"/>
                <w:sz w:val="24"/>
                <w:szCs w:val="24"/>
              </w:rPr>
              <w:t>年化收益</w:t>
            </w:r>
          </w:p>
        </w:tc>
        <w:tc>
          <w:p w14:paraId="6B8D60F3">
            <w:pPr>
              <w:pStyle w:val="24"/>
              <w:jc w:val="right"/>
              <w:rPr>
                <w:rFonts w:hint="eastAsia" w:ascii="宋体" w:hAnsi="宋体" w:eastAsia="宋体" w:cs="宋体"/>
                <w:sz w:val="24"/>
                <w:szCs w:val="24"/>
              </w:rPr>
            </w:pPr>
            <w:r>
              <w:rPr>
                <w:rFonts w:hint="eastAsia" w:ascii="宋体" w:hAnsi="宋体" w:eastAsia="宋体" w:cs="宋体"/>
                <w:sz w:val="24"/>
                <w:szCs w:val="24"/>
              </w:rPr>
              <w:t>118.8%</w:t>
            </w:r>
          </w:p>
        </w:tc>
        <w:tc>
          <w:p w14:paraId="1FACA619">
            <w:pPr>
              <w:pStyle w:val="24"/>
              <w:jc w:val="right"/>
              <w:rPr>
                <w:rFonts w:hint="eastAsia" w:ascii="宋体" w:hAnsi="宋体" w:eastAsia="宋体" w:cs="宋体"/>
                <w:sz w:val="24"/>
                <w:szCs w:val="24"/>
              </w:rPr>
            </w:pPr>
            <w:r>
              <w:rPr>
                <w:rFonts w:hint="eastAsia" w:ascii="宋体" w:hAnsi="宋体" w:eastAsia="宋体" w:cs="宋体"/>
                <w:sz w:val="24"/>
                <w:szCs w:val="24"/>
              </w:rPr>
              <w:t>125.3%</w:t>
            </w:r>
          </w:p>
        </w:tc>
        <w:tc>
          <w:p w14:paraId="2E3BD12F">
            <w:pPr>
              <w:pStyle w:val="24"/>
              <w:jc w:val="right"/>
              <w:rPr>
                <w:rFonts w:hint="eastAsia" w:ascii="宋体" w:hAnsi="宋体" w:eastAsia="宋体" w:cs="宋体"/>
                <w:sz w:val="24"/>
                <w:szCs w:val="24"/>
              </w:rPr>
            </w:pPr>
            <w:r>
              <w:rPr>
                <w:rFonts w:hint="eastAsia" w:ascii="宋体" w:hAnsi="宋体" w:eastAsia="宋体" w:cs="宋体"/>
                <w:sz w:val="24"/>
                <w:szCs w:val="24"/>
              </w:rPr>
              <w:t>+6.5pp</w:t>
            </w:r>
          </w:p>
        </w:tc>
      </w:tr>
      <w:tr w14:paraId="29B1532F">
        <w:tc>
          <w:p w14:paraId="56A1BCBA">
            <w:pPr>
              <w:pStyle w:val="24"/>
              <w:jc w:val="left"/>
              <w:rPr>
                <w:rFonts w:hint="eastAsia" w:ascii="宋体" w:hAnsi="宋体" w:eastAsia="宋体" w:cs="宋体"/>
                <w:sz w:val="24"/>
                <w:szCs w:val="24"/>
              </w:rPr>
            </w:pPr>
            <w:r>
              <w:rPr>
                <w:rFonts w:hint="eastAsia" w:ascii="宋体" w:hAnsi="宋体" w:eastAsia="宋体" w:cs="宋体"/>
                <w:sz w:val="24"/>
                <w:szCs w:val="24"/>
              </w:rPr>
              <w:t>年化波动</w:t>
            </w:r>
          </w:p>
        </w:tc>
        <w:tc>
          <w:p w14:paraId="2AEEE9B3">
            <w:pPr>
              <w:pStyle w:val="24"/>
              <w:jc w:val="right"/>
              <w:rPr>
                <w:rFonts w:hint="eastAsia" w:ascii="宋体" w:hAnsi="宋体" w:eastAsia="宋体" w:cs="宋体"/>
                <w:sz w:val="24"/>
                <w:szCs w:val="24"/>
              </w:rPr>
            </w:pPr>
            <w:r>
              <w:rPr>
                <w:rFonts w:hint="eastAsia" w:ascii="宋体" w:hAnsi="宋体" w:eastAsia="宋体" w:cs="宋体"/>
                <w:sz w:val="24"/>
                <w:szCs w:val="24"/>
              </w:rPr>
              <w:t>36.0%</w:t>
            </w:r>
          </w:p>
        </w:tc>
        <w:tc>
          <w:p w14:paraId="6B9FBBE8">
            <w:pPr>
              <w:pStyle w:val="24"/>
              <w:jc w:val="right"/>
              <w:rPr>
                <w:rFonts w:hint="eastAsia" w:ascii="宋体" w:hAnsi="宋体" w:eastAsia="宋体" w:cs="宋体"/>
                <w:sz w:val="24"/>
                <w:szCs w:val="24"/>
              </w:rPr>
            </w:pPr>
            <w:r>
              <w:rPr>
                <w:rFonts w:hint="eastAsia" w:ascii="宋体" w:hAnsi="宋体" w:eastAsia="宋体" w:cs="宋体"/>
                <w:sz w:val="24"/>
                <w:szCs w:val="24"/>
              </w:rPr>
              <w:t>37.1%</w:t>
            </w:r>
          </w:p>
        </w:tc>
        <w:tc>
          <w:p w14:paraId="4CD74642">
            <w:pPr>
              <w:pStyle w:val="24"/>
              <w:jc w:val="right"/>
              <w:rPr>
                <w:rFonts w:hint="eastAsia" w:ascii="宋体" w:hAnsi="宋体" w:eastAsia="宋体" w:cs="宋体"/>
                <w:sz w:val="24"/>
                <w:szCs w:val="24"/>
              </w:rPr>
            </w:pPr>
            <w:r>
              <w:rPr>
                <w:rFonts w:hint="eastAsia" w:ascii="宋体" w:hAnsi="宋体" w:eastAsia="宋体" w:cs="宋体"/>
                <w:sz w:val="24"/>
                <w:szCs w:val="24"/>
              </w:rPr>
              <w:t>+1.0pp</w:t>
            </w:r>
          </w:p>
        </w:tc>
      </w:tr>
      <w:tr w14:paraId="31BDFB9C">
        <w:tc>
          <w:p w14:paraId="327C2340">
            <w:pPr>
              <w:pStyle w:val="24"/>
              <w:jc w:val="left"/>
              <w:rPr>
                <w:rFonts w:hint="eastAsia" w:ascii="宋体" w:hAnsi="宋体" w:eastAsia="宋体" w:cs="宋体"/>
                <w:sz w:val="24"/>
                <w:szCs w:val="24"/>
              </w:rPr>
            </w:pPr>
            <w:r>
              <w:rPr>
                <w:rFonts w:hint="eastAsia" w:ascii="宋体" w:hAnsi="宋体" w:eastAsia="宋体" w:cs="宋体"/>
                <w:sz w:val="24"/>
                <w:szCs w:val="24"/>
              </w:rPr>
              <w:t>最大回撤</w:t>
            </w:r>
          </w:p>
        </w:tc>
        <w:tc>
          <w:p w14:paraId="15CDBD94">
            <w:pPr>
              <w:pStyle w:val="24"/>
              <w:jc w:val="right"/>
              <w:rPr>
                <w:rFonts w:hint="eastAsia" w:ascii="宋体" w:hAnsi="宋体" w:eastAsia="宋体" w:cs="宋体"/>
                <w:sz w:val="24"/>
                <w:szCs w:val="24"/>
              </w:rPr>
            </w:pPr>
            <w:r>
              <w:rPr>
                <w:rFonts w:hint="eastAsia" w:ascii="宋体" w:hAnsi="宋体" w:eastAsia="宋体" w:cs="宋体"/>
                <w:sz w:val="24"/>
                <w:szCs w:val="24"/>
              </w:rPr>
              <w:t>-14.7%</w:t>
            </w:r>
          </w:p>
        </w:tc>
        <w:tc>
          <w:p w14:paraId="74ADF520">
            <w:pPr>
              <w:pStyle w:val="24"/>
              <w:jc w:val="right"/>
              <w:rPr>
                <w:rFonts w:hint="eastAsia" w:ascii="宋体" w:hAnsi="宋体" w:eastAsia="宋体" w:cs="宋体"/>
                <w:sz w:val="24"/>
                <w:szCs w:val="24"/>
              </w:rPr>
            </w:pPr>
            <w:r>
              <w:rPr>
                <w:rFonts w:hint="eastAsia" w:ascii="宋体" w:hAnsi="宋体" w:eastAsia="宋体" w:cs="宋体"/>
                <w:sz w:val="24"/>
                <w:szCs w:val="24"/>
              </w:rPr>
              <w:t>-17.6%</w:t>
            </w:r>
          </w:p>
        </w:tc>
        <w:tc>
          <w:p w14:paraId="4A27742F">
            <w:pPr>
              <w:pStyle w:val="24"/>
              <w:jc w:val="right"/>
              <w:rPr>
                <w:rFonts w:hint="eastAsia" w:ascii="宋体" w:hAnsi="宋体" w:eastAsia="宋体" w:cs="宋体"/>
                <w:sz w:val="24"/>
                <w:szCs w:val="24"/>
              </w:rPr>
            </w:pPr>
            <w:r>
              <w:rPr>
                <w:rFonts w:hint="eastAsia" w:ascii="宋体" w:hAnsi="宋体" w:eastAsia="宋体" w:cs="宋体"/>
                <w:sz w:val="24"/>
                <w:szCs w:val="24"/>
              </w:rPr>
              <w:t>-2.9pp</w:t>
            </w:r>
          </w:p>
        </w:tc>
      </w:tr>
      <w:tr w14:paraId="5D67078D">
        <w:tc>
          <w:p w14:paraId="01DA8B0F">
            <w:pPr>
              <w:pStyle w:val="24"/>
              <w:jc w:val="left"/>
              <w:rPr>
                <w:rFonts w:hint="eastAsia" w:ascii="宋体" w:hAnsi="宋体" w:eastAsia="宋体" w:cs="宋体"/>
                <w:sz w:val="24"/>
                <w:szCs w:val="24"/>
              </w:rPr>
            </w:pPr>
            <w:r>
              <w:rPr>
                <w:rFonts w:hint="eastAsia" w:ascii="宋体" w:hAnsi="宋体" w:eastAsia="宋体" w:cs="宋体"/>
                <w:sz w:val="24"/>
                <w:szCs w:val="24"/>
              </w:rPr>
              <w:t>夏普比率</w:t>
            </w:r>
          </w:p>
        </w:tc>
        <w:tc>
          <w:p w14:paraId="64F8451E">
            <w:pPr>
              <w:pStyle w:val="24"/>
              <w:jc w:val="right"/>
              <w:rPr>
                <w:rFonts w:hint="eastAsia" w:ascii="宋体" w:hAnsi="宋体" w:eastAsia="宋体" w:cs="宋体"/>
                <w:sz w:val="24"/>
                <w:szCs w:val="24"/>
              </w:rPr>
            </w:pPr>
            <w:r>
              <w:rPr>
                <w:rFonts w:hint="eastAsia" w:ascii="宋体" w:hAnsi="宋体" w:eastAsia="宋体" w:cs="宋体"/>
                <w:sz w:val="24"/>
                <w:szCs w:val="24"/>
              </w:rPr>
              <w:t>3.24</w:t>
            </w:r>
          </w:p>
        </w:tc>
        <w:tc>
          <w:p w14:paraId="3BED915E">
            <w:pPr>
              <w:pStyle w:val="24"/>
              <w:jc w:val="right"/>
              <w:rPr>
                <w:rFonts w:hint="eastAsia" w:ascii="宋体" w:hAnsi="宋体" w:eastAsia="宋体" w:cs="宋体"/>
                <w:sz w:val="24"/>
                <w:szCs w:val="24"/>
              </w:rPr>
            </w:pPr>
            <w:r>
              <w:rPr>
                <w:rFonts w:hint="eastAsia" w:ascii="宋体" w:hAnsi="宋体" w:eastAsia="宋体" w:cs="宋体"/>
                <w:sz w:val="24"/>
                <w:szCs w:val="24"/>
              </w:rPr>
              <w:t>3.33</w:t>
            </w:r>
          </w:p>
        </w:tc>
        <w:tc>
          <w:p w14:paraId="4B77EE8F">
            <w:pPr>
              <w:pStyle w:val="24"/>
              <w:jc w:val="right"/>
              <w:rPr>
                <w:rFonts w:hint="eastAsia" w:ascii="宋体" w:hAnsi="宋体" w:eastAsia="宋体" w:cs="宋体"/>
                <w:sz w:val="24"/>
                <w:szCs w:val="24"/>
              </w:rPr>
            </w:pPr>
            <w:r>
              <w:rPr>
                <w:rFonts w:hint="eastAsia" w:ascii="宋体" w:hAnsi="宋体" w:eastAsia="宋体" w:cs="宋体"/>
                <w:sz w:val="24"/>
                <w:szCs w:val="24"/>
              </w:rPr>
              <w:t>+0.08</w:t>
            </w:r>
          </w:p>
        </w:tc>
      </w:tr>
      <w:tr w14:paraId="4E383ECB">
        <w:tc>
          <w:p w14:paraId="383B1A08">
            <w:pPr>
              <w:pStyle w:val="24"/>
              <w:jc w:val="left"/>
              <w:rPr>
                <w:rFonts w:hint="eastAsia" w:ascii="宋体" w:hAnsi="宋体" w:eastAsia="宋体" w:cs="宋体"/>
                <w:sz w:val="24"/>
                <w:szCs w:val="24"/>
              </w:rPr>
            </w:pPr>
            <w:r>
              <w:rPr>
                <w:rFonts w:hint="eastAsia" w:ascii="宋体" w:hAnsi="宋体" w:eastAsia="宋体" w:cs="宋体"/>
                <w:sz w:val="24"/>
                <w:szCs w:val="24"/>
              </w:rPr>
              <w:t>卡玛比率</w:t>
            </w:r>
          </w:p>
        </w:tc>
        <w:tc>
          <w:p w14:paraId="228E66BD">
            <w:pPr>
              <w:pStyle w:val="24"/>
              <w:jc w:val="right"/>
              <w:rPr>
                <w:rFonts w:hint="eastAsia" w:ascii="宋体" w:hAnsi="宋体" w:eastAsia="宋体" w:cs="宋体"/>
                <w:sz w:val="24"/>
                <w:szCs w:val="24"/>
              </w:rPr>
            </w:pPr>
            <w:r>
              <w:rPr>
                <w:rFonts w:hint="eastAsia" w:ascii="宋体" w:hAnsi="宋体" w:eastAsia="宋体" w:cs="宋体"/>
                <w:sz w:val="24"/>
                <w:szCs w:val="24"/>
              </w:rPr>
              <w:t>8.07</w:t>
            </w:r>
          </w:p>
        </w:tc>
        <w:tc>
          <w:p w14:paraId="54E508F6">
            <w:pPr>
              <w:pStyle w:val="24"/>
              <w:jc w:val="right"/>
              <w:rPr>
                <w:rFonts w:hint="eastAsia" w:ascii="宋体" w:hAnsi="宋体" w:eastAsia="宋体" w:cs="宋体"/>
                <w:sz w:val="24"/>
                <w:szCs w:val="24"/>
              </w:rPr>
            </w:pPr>
            <w:r>
              <w:rPr>
                <w:rFonts w:hint="eastAsia" w:ascii="宋体" w:hAnsi="宋体" w:eastAsia="宋体" w:cs="宋体"/>
                <w:sz w:val="24"/>
                <w:szCs w:val="24"/>
              </w:rPr>
              <w:t>7.13</w:t>
            </w:r>
          </w:p>
        </w:tc>
        <w:tc>
          <w:p w14:paraId="693FFCEE">
            <w:pPr>
              <w:pStyle w:val="24"/>
              <w:jc w:val="right"/>
              <w:rPr>
                <w:rFonts w:hint="eastAsia" w:ascii="宋体" w:hAnsi="宋体" w:eastAsia="宋体" w:cs="宋体"/>
                <w:sz w:val="24"/>
                <w:szCs w:val="24"/>
              </w:rPr>
            </w:pPr>
            <w:r>
              <w:rPr>
                <w:rFonts w:hint="eastAsia" w:ascii="宋体" w:hAnsi="宋体" w:eastAsia="宋体" w:cs="宋体"/>
                <w:sz w:val="24"/>
                <w:szCs w:val="24"/>
              </w:rPr>
              <w:t>-0.94</w:t>
            </w:r>
          </w:p>
        </w:tc>
      </w:tr>
    </w:tbl>
    <w:p w14:paraId="629A8975">
      <w:pPr>
        <w:numPr>
          <w:ilvl w:val="0"/>
          <w:numId w:val="4"/>
        </w:numPr>
        <w:rPr>
          <w:rFonts w:hint="eastAsia" w:ascii="宋体" w:hAnsi="宋体" w:eastAsia="宋体" w:cs="宋体"/>
          <w:sz w:val="24"/>
          <w:szCs w:val="24"/>
        </w:rPr>
      </w:pPr>
      <w:r>
        <w:rPr>
          <w:rFonts w:hint="eastAsia" w:ascii="宋体" w:hAnsi="宋体" w:eastAsia="宋体" w:cs="宋体"/>
          <w:sz w:val="24"/>
          <w:szCs w:val="24"/>
        </w:rPr>
        <w:t>ETF方案在6个空仓期中有5期录得正收益（仅2026年3–4月为-1.35%），累计贡献+13.4pp额外收益，夏普比率小幅提升。但根本矛盾在于：回撤触发往往发生在市场急跌日（如2025-04-07触发日ETF单日下跌-6.2%），ETF与市场仍有相关性，在组合最脆弱的时刻追加了风险敞口，导致最大回撤从-14.7%扩大至-17.6%，突破了15%回撤红线，卡玛比率下降0.94。后续可探索延迟1–2个交易日再切换ETF、或使用国债逆回购等低相关性资产作为替代，在收益与回撤之间寻找更优平衡点。</w:t>
      </w:r>
    </w:p>
    <w:p w14:paraId="4F5F7E94">
      <w:pPr>
        <w:pStyle w:val="47"/>
        <w:numPr>
          <w:ilvl w:val="0"/>
          <w:numId w:val="4"/>
        </w:num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34000" cy="3251200"/>
            <wp:effectExtent l="0" t="0" r="0" b="0"/>
            <wp:docPr id="60" name="Picture" descr="图5：空仓期持有现金 vs 红利ETF 净值与回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5：空仓期持有现金 vs 红利ETF 净值与回撤对比"/>
                    <pic:cNvPicPr>
                      <a:picLocks noChangeAspect="1" noChangeArrowheads="1"/>
                    </pic:cNvPicPr>
                  </pic:nvPicPr>
                  <pic:blipFill>
                    <a:blip r:embed="rId10"/>
                    <a:stretch>
                      <a:fillRect/>
                    </a:stretch>
                  </pic:blipFill>
                  <pic:spPr>
                    <a:xfrm>
                      <a:off x="0" y="0"/>
                      <a:ext cx="5334000" cy="3251463"/>
                    </a:xfrm>
                    <a:prstGeom prst="rect">
                      <a:avLst/>
                    </a:prstGeom>
                    <a:noFill/>
                    <a:ln w="9525">
                      <a:noFill/>
                    </a:ln>
                  </pic:spPr>
                </pic:pic>
              </a:graphicData>
            </a:graphic>
          </wp:inline>
        </w:drawing>
      </w:r>
    </w:p>
    <w:p w14:paraId="5DFABF50">
      <w:pPr>
        <w:pStyle w:val="45"/>
        <w:numPr>
          <w:ilvl w:val="0"/>
          <w:numId w:val="4"/>
        </w:numPr>
        <w:rPr>
          <w:rFonts w:hint="eastAsia" w:ascii="宋体" w:hAnsi="宋体" w:eastAsia="宋体" w:cs="宋体"/>
          <w:sz w:val="24"/>
          <w:szCs w:val="24"/>
        </w:rPr>
      </w:pPr>
      <w:r>
        <w:rPr>
          <w:rFonts w:hint="eastAsia" w:ascii="宋体" w:hAnsi="宋体" w:eastAsia="宋体" w:cs="宋体"/>
          <w:sz w:val="24"/>
          <w:szCs w:val="24"/>
        </w:rPr>
        <w:t>图5：空仓期持有现金</w:t>
      </w:r>
      <w:r>
        <w:rPr>
          <w:rFonts w:hint="eastAsia" w:ascii="宋体" w:hAnsi="宋体" w:eastAsia="宋体" w:cs="宋体"/>
          <w:sz w:val="24"/>
          <w:szCs w:val="24"/>
        </w:rPr>
        <w:t xml:space="preserve"> vs </w:t>
      </w:r>
      <w:r>
        <w:rPr>
          <w:rFonts w:hint="eastAsia" w:ascii="宋体" w:hAnsi="宋体" w:eastAsia="宋体" w:cs="宋体"/>
          <w:sz w:val="24"/>
          <w:szCs w:val="24"/>
        </w:rPr>
        <w:t>红利ETF</w:t>
      </w:r>
      <w:r>
        <w:rPr>
          <w:rFonts w:hint="eastAsia" w:ascii="宋体" w:hAnsi="宋体" w:eastAsia="宋体" w:cs="宋体"/>
          <w:sz w:val="24"/>
          <w:szCs w:val="24"/>
        </w:rPr>
        <w:t xml:space="preserve"> </w:t>
      </w:r>
      <w:r>
        <w:rPr>
          <w:rFonts w:hint="eastAsia" w:ascii="宋体" w:hAnsi="宋体" w:eastAsia="宋体" w:cs="宋体"/>
          <w:sz w:val="24"/>
          <w:szCs w:val="24"/>
        </w:rPr>
        <w:t>净值与回撤对比</w:t>
      </w:r>
    </w:p>
    <w:p w14:paraId="63B1FC35">
      <w:pPr>
        <w:numPr>
          <w:ilvl w:val="0"/>
          <w:numId w:val="4"/>
        </w:numPr>
        <w:rPr>
          <w:rFonts w:hint="eastAsia" w:ascii="宋体" w:hAnsi="宋体" w:eastAsia="宋体" w:cs="宋体"/>
          <w:sz w:val="24"/>
          <w:szCs w:val="24"/>
        </w:rPr>
      </w:pPr>
      <w:r>
        <w:rPr>
          <w:rFonts w:hint="eastAsia" w:ascii="宋体" w:hAnsi="宋体" w:eastAsia="宋体" w:cs="宋体"/>
          <w:b/>
          <w:bCs/>
          <w:sz w:val="24"/>
          <w:szCs w:val="24"/>
        </w:rPr>
        <w:t>现象</w:t>
      </w:r>
      <w:r>
        <w:rPr>
          <w:rFonts w:hint="eastAsia" w:ascii="宋体" w:hAnsi="宋体" w:eastAsia="宋体" w:cs="宋体"/>
          <w:sz w:val="24"/>
          <w:szCs w:val="24"/>
        </w:rPr>
        <w:t>：净值方面，两条曲线在持仓期完全重合，差异仅出现在6段灰色空仓区间内。ETF方案净值最终约3.24倍，高于现金方案的3.11倍。回撤方面，现金方案最大回撤-14.7%（2025年12月5日），始终未触及-15%红线；ETF方案最大回撤-17.6%（2025年4月7日），有40个交易日突破-15%红线，集中在2025年4月和2025年12月至2026年4月两段。</w:t>
      </w:r>
    </w:p>
    <w:p w14:paraId="50EABD16">
      <w:pPr>
        <w:numPr>
          <w:ilvl w:val="0"/>
          <w:numId w:val="4"/>
        </w:numPr>
        <w:rPr>
          <w:rFonts w:hint="eastAsia" w:ascii="宋体" w:hAnsi="宋体" w:eastAsia="宋体" w:cs="宋体"/>
          <w:sz w:val="24"/>
          <w:szCs w:val="24"/>
        </w:rPr>
      </w:pPr>
      <w:r>
        <w:rPr>
          <w:rFonts w:hint="eastAsia" w:ascii="宋体" w:hAnsi="宋体" w:eastAsia="宋体" w:cs="宋体"/>
          <w:b/>
          <w:bCs/>
          <w:sz w:val="24"/>
          <w:szCs w:val="24"/>
        </w:rPr>
        <w:t>解释</w:t>
      </w:r>
      <w:r>
        <w:rPr>
          <w:rFonts w:hint="eastAsia" w:ascii="宋体" w:hAnsi="宋体" w:eastAsia="宋体" w:cs="宋体"/>
          <w:sz w:val="24"/>
          <w:szCs w:val="24"/>
        </w:rPr>
        <w:t>：回撤触发往往发生在市场急跌日，而红利ETF与A股市场仍有显著相关性。2025年4月7日策略触发空仓当天，ETF单日下跌-6.2%，现金方案收益为0、ETF方案承受了全部跌幅，直接将组合回撤从-12.1%推至-17.6%。6个空仓期中有5期ETF最终录得正收益（累计+13.4pp），说明ETF在空仓期整体上是涨的——问题不在方向，而在触发瞬间的冲击。</w:t>
      </w:r>
    </w:p>
    <w:p w14:paraId="716E0C43">
      <w:pPr>
        <w:numPr>
          <w:ilvl w:val="0"/>
          <w:numId w:val="4"/>
        </w:numPr>
        <w:rPr>
          <w:rFonts w:hint="eastAsia" w:ascii="宋体" w:hAnsi="宋体" w:eastAsia="宋体" w:cs="宋体"/>
          <w:sz w:val="24"/>
          <w:szCs w:val="24"/>
        </w:rPr>
      </w:pPr>
      <w:r>
        <w:rPr>
          <w:rFonts w:hint="eastAsia" w:ascii="宋体" w:hAnsi="宋体" w:eastAsia="宋体" w:cs="宋体"/>
          <w:b/>
          <w:bCs/>
          <w:sz w:val="24"/>
          <w:szCs w:val="24"/>
        </w:rPr>
        <w:t>含义</w:t>
      </w:r>
      <w:r>
        <w:rPr>
          <w:rFonts w:hint="eastAsia" w:ascii="宋体" w:hAnsi="宋体" w:eastAsia="宋体" w:cs="宋体"/>
          <w:sz w:val="24"/>
          <w:szCs w:val="24"/>
        </w:rPr>
        <w:t>：空仓期持有ETF能在收益端带来改善（+13.4pp），但在风控端突破了预设的15%回撤约束，夏普比率小幅上升而卡玛比率下降，说明风险调整后的下行保护变差。后续可探索延迟1–2个交易日再切换ETF以规避触发日冲击，或使用国债逆回购等低相关性资产替代，在收益与回撤之间寻找更优平衡点。</w:t>
      </w:r>
    </w:p>
    <w:bookmarkEnd w:id="33"/>
    <w:bookmarkEnd w:id="36"/>
    <w:p w14:paraId="17B90F95">
      <w:pPr>
        <w:pStyle w:val="2"/>
        <w:rPr>
          <w:rFonts w:hint="eastAsia" w:ascii="宋体" w:hAnsi="宋体" w:eastAsia="宋体" w:cs="宋体"/>
          <w:sz w:val="24"/>
          <w:szCs w:val="24"/>
        </w:rPr>
      </w:pPr>
      <w:bookmarkStart w:id="37" w:name="参考文献"/>
      <w:r>
        <w:rPr>
          <w:rFonts w:hint="eastAsia" w:ascii="宋体" w:hAnsi="宋体" w:eastAsia="宋体" w:cs="宋体"/>
          <w:sz w:val="24"/>
          <w:szCs w:val="24"/>
        </w:rPr>
        <w:t>参考文献</w:t>
      </w:r>
    </w:p>
    <w:p w14:paraId="005A18B9">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Asness, C. S., Frazzini, A., &amp; Pedersen, L. H. (2019). Quality minus junk. </w:t>
      </w:r>
      <w:r>
        <w:rPr>
          <w:rFonts w:hint="eastAsia" w:ascii="宋体" w:hAnsi="宋体" w:eastAsia="宋体" w:cs="宋体"/>
          <w:i/>
          <w:iCs/>
          <w:sz w:val="24"/>
          <w:szCs w:val="24"/>
        </w:rPr>
        <w:t>Review of Accounting Studies</w:t>
      </w:r>
      <w:r>
        <w:rPr>
          <w:rFonts w:hint="eastAsia" w:ascii="宋体" w:hAnsi="宋体" w:eastAsia="宋体" w:cs="宋体"/>
          <w:sz w:val="24"/>
          <w:szCs w:val="24"/>
        </w:rPr>
        <w:t>, 24(1), 34–112.</w:t>
      </w:r>
    </w:p>
    <w:p w14:paraId="6F2C0E9F">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Asness, C. S., Moskowitz, T. J., &amp; Pedersen, L. H. (2013). Value and momentum everywhere. </w:t>
      </w:r>
      <w:r>
        <w:rPr>
          <w:rFonts w:hint="eastAsia" w:ascii="宋体" w:hAnsi="宋体" w:eastAsia="宋体" w:cs="宋体"/>
          <w:i/>
          <w:iCs/>
          <w:sz w:val="24"/>
          <w:szCs w:val="24"/>
        </w:rPr>
        <w:t>Journal of Finance</w:t>
      </w:r>
      <w:r>
        <w:rPr>
          <w:rFonts w:hint="eastAsia" w:ascii="宋体" w:hAnsi="宋体" w:eastAsia="宋体" w:cs="宋体"/>
          <w:sz w:val="24"/>
          <w:szCs w:val="24"/>
        </w:rPr>
        <w:t>, 68(3), 929–985.</w:t>
      </w:r>
    </w:p>
    <w:p w14:paraId="57A0D4D3">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Bachelet, D., Marot, D., &amp; Marot, J. (2024). </w:t>
      </w:r>
      <w:r>
        <w:rPr>
          <w:rFonts w:hint="eastAsia" w:ascii="宋体" w:hAnsi="宋体" w:eastAsia="宋体" w:cs="宋体"/>
          <w:i/>
          <w:iCs/>
          <w:sz w:val="24"/>
          <w:szCs w:val="24"/>
        </w:rPr>
        <w:t>Multi-factor models: A practitioner’s guide to Z-score standardization and portfolio construction</w:t>
      </w:r>
      <w:r>
        <w:rPr>
          <w:rFonts w:hint="eastAsia" w:ascii="宋体" w:hAnsi="宋体" w:eastAsia="宋体" w:cs="宋体"/>
          <w:sz w:val="24"/>
          <w:szCs w:val="24"/>
        </w:rPr>
        <w:t>. SSRN Working Paper.</w:t>
      </w:r>
    </w:p>
    <w:p w14:paraId="593DCC7E">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Carhart, M. M. (1997). On persistence in mutual fund performance. </w:t>
      </w:r>
      <w:r>
        <w:rPr>
          <w:rFonts w:hint="eastAsia" w:ascii="宋体" w:hAnsi="宋体" w:eastAsia="宋体" w:cs="宋体"/>
          <w:i/>
          <w:iCs/>
          <w:sz w:val="24"/>
          <w:szCs w:val="24"/>
        </w:rPr>
        <w:t>Journal of Finance</w:t>
      </w:r>
      <w:r>
        <w:rPr>
          <w:rFonts w:hint="eastAsia" w:ascii="宋体" w:hAnsi="宋体" w:eastAsia="宋体" w:cs="宋体"/>
          <w:sz w:val="24"/>
          <w:szCs w:val="24"/>
        </w:rPr>
        <w:t>, 52(1), 57–82.</w:t>
      </w:r>
    </w:p>
    <w:p w14:paraId="398559B8">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Fama, E. F., &amp; French, K. R. (1993). Common risk factors in the returns on stocks and bonds. </w:t>
      </w:r>
      <w:r>
        <w:rPr>
          <w:rFonts w:hint="eastAsia" w:ascii="宋体" w:hAnsi="宋体" w:eastAsia="宋体" w:cs="宋体"/>
          <w:i/>
          <w:iCs/>
          <w:sz w:val="24"/>
          <w:szCs w:val="24"/>
        </w:rPr>
        <w:t>Journal of Financial Economics</w:t>
      </w:r>
      <w:r>
        <w:rPr>
          <w:rFonts w:hint="eastAsia" w:ascii="宋体" w:hAnsi="宋体" w:eastAsia="宋体" w:cs="宋体"/>
          <w:sz w:val="24"/>
          <w:szCs w:val="24"/>
        </w:rPr>
        <w:t>, 33(1), 3–56.</w:t>
      </w:r>
    </w:p>
    <w:p w14:paraId="4E1B6C91">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Jegadeesh, N., &amp; Titman, S. (1993). Returns to buying winners and selling losers: Implications for stock market efficiency. </w:t>
      </w:r>
      <w:r>
        <w:rPr>
          <w:rFonts w:hint="eastAsia" w:ascii="宋体" w:hAnsi="宋体" w:eastAsia="宋体" w:cs="宋体"/>
          <w:i/>
          <w:iCs/>
          <w:sz w:val="24"/>
          <w:szCs w:val="24"/>
        </w:rPr>
        <w:t>Journal of Finance</w:t>
      </w:r>
      <w:r>
        <w:rPr>
          <w:rFonts w:hint="eastAsia" w:ascii="宋体" w:hAnsi="宋体" w:eastAsia="宋体" w:cs="宋体"/>
          <w:sz w:val="24"/>
          <w:szCs w:val="24"/>
        </w:rPr>
        <w:t>, 48(1), 65–91.</w:t>
      </w:r>
    </w:p>
    <w:p w14:paraId="5EC7D1C2">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Lakonishok, J., Shleifer, A., &amp; Vishny, R. W. (1994). Contrarian investment, extrapolation, and risk. </w:t>
      </w:r>
      <w:r>
        <w:rPr>
          <w:rFonts w:hint="eastAsia" w:ascii="宋体" w:hAnsi="宋体" w:eastAsia="宋体" w:cs="宋体"/>
          <w:i/>
          <w:iCs/>
          <w:sz w:val="24"/>
          <w:szCs w:val="24"/>
        </w:rPr>
        <w:t>Journal of Finance</w:t>
      </w:r>
      <w:r>
        <w:rPr>
          <w:rFonts w:hint="eastAsia" w:ascii="宋体" w:hAnsi="宋体" w:eastAsia="宋体" w:cs="宋体"/>
          <w:sz w:val="24"/>
          <w:szCs w:val="24"/>
        </w:rPr>
        <w:t>, 49(5), 1541–1578.</w:t>
      </w:r>
    </w:p>
    <w:p w14:paraId="21ED1C9A">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Novy-Marx, R. (2013). The other side of value: The gross profitability premium. </w:t>
      </w:r>
      <w:r>
        <w:rPr>
          <w:rFonts w:hint="eastAsia" w:ascii="宋体" w:hAnsi="宋体" w:eastAsia="宋体" w:cs="宋体"/>
          <w:i/>
          <w:iCs/>
          <w:sz w:val="24"/>
          <w:szCs w:val="24"/>
        </w:rPr>
        <w:t>Journal of Financial Economics</w:t>
      </w:r>
      <w:r>
        <w:rPr>
          <w:rFonts w:hint="eastAsia" w:ascii="宋体" w:hAnsi="宋体" w:eastAsia="宋体" w:cs="宋体"/>
          <w:sz w:val="24"/>
          <w:szCs w:val="24"/>
        </w:rPr>
        <w:t>, 108(1), 1–28.</w:t>
      </w:r>
    </w:p>
    <w:p w14:paraId="627B6263">
      <w:pPr>
        <w:numPr>
          <w:ilvl w:val="0"/>
          <w:numId w:val="5"/>
        </w:numPr>
        <w:rPr>
          <w:rFonts w:hint="eastAsia" w:ascii="宋体" w:hAnsi="宋体" w:eastAsia="宋体" w:cs="宋体"/>
          <w:sz w:val="24"/>
          <w:szCs w:val="24"/>
        </w:rPr>
      </w:pPr>
      <w:r>
        <w:rPr>
          <w:rFonts w:hint="eastAsia" w:ascii="宋体" w:hAnsi="宋体" w:eastAsia="宋体" w:cs="宋体"/>
          <w:sz w:val="24"/>
          <w:szCs w:val="24"/>
        </w:rPr>
        <w:t xml:space="preserve">Wilks, S. S. (1938). Weighting systems for linear functions of correlated variables. </w:t>
      </w:r>
      <w:r>
        <w:rPr>
          <w:rFonts w:hint="eastAsia" w:ascii="宋体" w:hAnsi="宋体" w:eastAsia="宋体" w:cs="宋体"/>
          <w:i/>
          <w:iCs/>
          <w:sz w:val="24"/>
          <w:szCs w:val="24"/>
        </w:rPr>
        <w:t>Psychometrika</w:t>
      </w:r>
      <w:r>
        <w:rPr>
          <w:rFonts w:hint="eastAsia" w:ascii="宋体" w:hAnsi="宋体" w:eastAsia="宋体" w:cs="宋体"/>
          <w:sz w:val="24"/>
          <w:szCs w:val="24"/>
        </w:rPr>
        <w:t>, 3(1), 23–40.</w:t>
      </w:r>
    </w:p>
    <w:p w14:paraId="771A0D26">
      <w:pPr>
        <w:numPr>
          <w:ilvl w:val="0"/>
          <w:numId w:val="0"/>
        </w:numPr>
        <w:spacing w:after="200"/>
        <w:rPr>
          <w:rFonts w:hint="eastAsia" w:ascii="宋体" w:hAnsi="宋体" w:eastAsia="宋体" w:cs="宋体"/>
          <w:sz w:val="24"/>
          <w:szCs w:val="24"/>
        </w:rPr>
      </w:pPr>
    </w:p>
    <w:p w14:paraId="65885696">
      <w:pPr>
        <w:numPr>
          <w:ilvl w:val="0"/>
          <w:numId w:val="0"/>
        </w:numPr>
        <w:spacing w:after="200"/>
        <w:rPr>
          <w:rFonts w:hint="eastAsia" w:ascii="宋体" w:hAnsi="宋体" w:eastAsia="宋体" w:cs="宋体"/>
          <w:sz w:val="24"/>
          <w:szCs w:val="24"/>
        </w:rPr>
      </w:pPr>
    </w:p>
    <w:p w14:paraId="62A6B2B8">
      <w:pPr>
        <w:numPr>
          <w:ilvl w:val="0"/>
          <w:numId w:val="0"/>
        </w:numPr>
        <w:spacing w:after="200"/>
        <w:rPr>
          <w:rFonts w:hint="eastAsia" w:ascii="宋体" w:hAnsi="宋体" w:eastAsia="宋体" w:cs="宋体"/>
          <w:sz w:val="24"/>
          <w:szCs w:val="24"/>
        </w:rPr>
      </w:pPr>
    </w:p>
    <w:p w14:paraId="2BEFDD13">
      <w:pPr>
        <w:numPr>
          <w:ilvl w:val="0"/>
          <w:numId w:val="0"/>
        </w:numPr>
        <w:spacing w:after="200"/>
        <w:rPr>
          <w:rFonts w:hint="eastAsia" w:ascii="宋体" w:hAnsi="宋体" w:eastAsia="宋体" w:cs="宋体"/>
          <w:sz w:val="24"/>
          <w:szCs w:val="24"/>
        </w:rPr>
      </w:pPr>
    </w:p>
    <w:bookmarkEnd w:id="37"/>
    <w:p w14:paraId="520C9A22">
      <w:pPr>
        <w:pStyle w:val="2"/>
        <w:rPr>
          <w:rFonts w:hint="eastAsia" w:ascii="宋体" w:hAnsi="宋体" w:eastAsia="宋体" w:cs="宋体"/>
          <w:sz w:val="24"/>
          <w:szCs w:val="24"/>
        </w:rPr>
      </w:pPr>
      <w:bookmarkStart w:id="38" w:name="附录"/>
      <w:r>
        <w:rPr>
          <w:rFonts w:hint="eastAsia" w:ascii="宋体" w:hAnsi="宋体" w:eastAsia="宋体" w:cs="宋体"/>
          <w:sz w:val="24"/>
          <w:szCs w:val="24"/>
        </w:rPr>
        <w:t>附录</w:t>
      </w:r>
    </w:p>
    <w:p w14:paraId="41D4740C">
      <w:pPr>
        <w:pStyle w:val="4"/>
        <w:rPr>
          <w:rFonts w:hint="eastAsia" w:ascii="宋体" w:hAnsi="宋体" w:eastAsia="宋体" w:cs="宋体"/>
          <w:sz w:val="24"/>
          <w:szCs w:val="24"/>
        </w:rPr>
      </w:pPr>
      <w:bookmarkStart w:id="39" w:name="附录a20只股票完整列表与数据文件"/>
      <w:r>
        <w:rPr>
          <w:rFonts w:hint="eastAsia" w:ascii="宋体" w:hAnsi="宋体" w:eastAsia="宋体" w:cs="宋体"/>
          <w:sz w:val="24"/>
          <w:szCs w:val="24"/>
        </w:rPr>
        <w:t>附录A：20只股票完整列表与数据文件</w:t>
      </w:r>
    </w:p>
    <w:p w14:paraId="5B7FAAB1">
      <w:pPr>
        <w:pStyle w:val="23"/>
        <w:rPr>
          <w:rFonts w:hint="eastAsia" w:ascii="宋体" w:hAnsi="宋体" w:eastAsia="宋体" w:cs="宋体"/>
          <w:sz w:val="24"/>
          <w:szCs w:val="24"/>
        </w:rPr>
      </w:pPr>
      <w:r>
        <w:rPr>
          <w:rFonts w:hint="eastAsia" w:ascii="宋体" w:hAnsi="宋体" w:eastAsia="宋体" w:cs="宋体"/>
          <w:sz w:val="24"/>
          <w:szCs w:val="24"/>
        </w:rPr>
        <w:t>详见正文</w:t>
      </w:r>
      <w:r>
        <w:rPr>
          <w:rFonts w:hint="eastAsia" w:ascii="宋体" w:hAnsi="宋体" w:eastAsia="宋体" w:cs="宋体"/>
          <w:sz w:val="24"/>
          <w:szCs w:val="24"/>
        </w:rPr>
        <w:t xml:space="preserve"> §2.1 </w:t>
      </w:r>
      <w:r>
        <w:rPr>
          <w:rFonts w:hint="eastAsia" w:ascii="宋体" w:hAnsi="宋体" w:eastAsia="宋体" w:cs="宋体"/>
          <w:sz w:val="24"/>
          <w:szCs w:val="24"/>
        </w:rPr>
        <w:t>股票池与聚焦10只个股表。</w:t>
      </w:r>
    </w:p>
    <w:p w14:paraId="3607AB87">
      <w:pPr>
        <w:pStyle w:val="5"/>
        <w:rPr>
          <w:rFonts w:hint="eastAsia" w:ascii="宋体" w:hAnsi="宋体" w:eastAsia="宋体" w:cs="宋体"/>
          <w:sz w:val="24"/>
          <w:szCs w:val="24"/>
        </w:rPr>
      </w:pPr>
      <w:bookmarkStart w:id="40" w:name="数据文件"/>
      <w:r>
        <w:rPr>
          <w:rFonts w:hint="eastAsia" w:ascii="宋体" w:hAnsi="宋体" w:eastAsia="宋体" w:cs="宋体"/>
          <w:sz w:val="24"/>
          <w:szCs w:val="24"/>
        </w:rPr>
        <w:t>数据文件</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6D78DB84">
        <w:trPr>
          <w:tblHeader/>
        </w:trPr>
        <w:tc>
          <w:p w14:paraId="3D7433DC">
            <w:pPr>
              <w:pStyle w:val="24"/>
              <w:jc w:val="left"/>
              <w:rPr>
                <w:rFonts w:hint="eastAsia" w:ascii="宋体" w:hAnsi="宋体" w:eastAsia="宋体" w:cs="宋体"/>
                <w:sz w:val="24"/>
                <w:szCs w:val="24"/>
              </w:rPr>
            </w:pPr>
            <w:r>
              <w:rPr>
                <w:rFonts w:hint="eastAsia" w:ascii="宋体" w:hAnsi="宋体" w:eastAsia="宋体" w:cs="宋体"/>
                <w:sz w:val="24"/>
                <w:szCs w:val="24"/>
              </w:rPr>
              <w:t>文件名</w:t>
            </w:r>
          </w:p>
        </w:tc>
        <w:tc>
          <w:p w14:paraId="1BF63915">
            <w:pPr>
              <w:pStyle w:val="24"/>
              <w:jc w:val="left"/>
              <w:rPr>
                <w:rFonts w:hint="eastAsia" w:ascii="宋体" w:hAnsi="宋体" w:eastAsia="宋体" w:cs="宋体"/>
                <w:sz w:val="24"/>
                <w:szCs w:val="24"/>
              </w:rPr>
            </w:pPr>
            <w:r>
              <w:rPr>
                <w:rFonts w:hint="eastAsia" w:ascii="宋体" w:hAnsi="宋体" w:eastAsia="宋体" w:cs="宋体"/>
                <w:sz w:val="24"/>
                <w:szCs w:val="24"/>
              </w:rPr>
              <w:t>内容</w:t>
            </w:r>
          </w:p>
        </w:tc>
        <w:tc>
          <w:p w14:paraId="2C1D9762">
            <w:pPr>
              <w:pStyle w:val="24"/>
              <w:jc w:val="right"/>
              <w:rPr>
                <w:rFonts w:hint="eastAsia" w:ascii="宋体" w:hAnsi="宋体" w:eastAsia="宋体" w:cs="宋体"/>
                <w:sz w:val="24"/>
                <w:szCs w:val="24"/>
              </w:rPr>
            </w:pPr>
            <w:r>
              <w:rPr>
                <w:rFonts w:hint="eastAsia" w:ascii="宋体" w:hAnsi="宋体" w:eastAsia="宋体" w:cs="宋体"/>
                <w:sz w:val="24"/>
                <w:szCs w:val="24"/>
              </w:rPr>
              <w:t>记录数</w:t>
            </w:r>
          </w:p>
        </w:tc>
        <w:tc>
          <w:p w14:paraId="4C6FFF26">
            <w:pPr>
              <w:pStyle w:val="24"/>
              <w:jc w:val="left"/>
              <w:rPr>
                <w:rFonts w:hint="eastAsia" w:ascii="宋体" w:hAnsi="宋体" w:eastAsia="宋体" w:cs="宋体"/>
                <w:sz w:val="24"/>
                <w:szCs w:val="24"/>
              </w:rPr>
            </w:pPr>
            <w:r>
              <w:rPr>
                <w:rFonts w:hint="eastAsia" w:ascii="宋体" w:hAnsi="宋体" w:eastAsia="宋体" w:cs="宋体"/>
                <w:sz w:val="24"/>
                <w:szCs w:val="24"/>
              </w:rPr>
              <w:t>说明</w:t>
            </w:r>
          </w:p>
        </w:tc>
      </w:tr>
      <w:tr w14:paraId="0900C796">
        <w:tc>
          <w:p w14:paraId="227D7E8E">
            <w:pPr>
              <w:pStyle w:val="24"/>
              <w:jc w:val="left"/>
              <w:rPr>
                <w:rFonts w:hint="eastAsia" w:ascii="宋体" w:hAnsi="宋体" w:eastAsia="宋体" w:cs="宋体"/>
                <w:sz w:val="24"/>
                <w:szCs w:val="24"/>
              </w:rPr>
            </w:pPr>
            <w:r>
              <w:rPr>
                <w:rStyle w:val="48"/>
                <w:rFonts w:hint="eastAsia" w:ascii="宋体" w:hAnsi="宋体" w:eastAsia="宋体" w:cs="宋体"/>
                <w:sz w:val="24"/>
                <w:szCs w:val="24"/>
              </w:rPr>
              <w:t>price_qfq_20240719_20260721.csv</w:t>
            </w:r>
          </w:p>
        </w:tc>
        <w:tc>
          <w:p w14:paraId="4A0679FA">
            <w:pPr>
              <w:pStyle w:val="24"/>
              <w:jc w:val="left"/>
              <w:rPr>
                <w:rFonts w:hint="eastAsia" w:ascii="宋体" w:hAnsi="宋体" w:eastAsia="宋体" w:cs="宋体"/>
                <w:sz w:val="24"/>
                <w:szCs w:val="24"/>
              </w:rPr>
            </w:pPr>
            <w:r>
              <w:rPr>
                <w:rFonts w:hint="eastAsia" w:ascii="宋体" w:hAnsi="宋体" w:eastAsia="宋体" w:cs="宋体"/>
                <w:sz w:val="24"/>
                <w:szCs w:val="24"/>
              </w:rPr>
              <w:t>前复权日线数据</w:t>
            </w:r>
          </w:p>
        </w:tc>
        <w:tc>
          <w:p w14:paraId="3429DC20">
            <w:pPr>
              <w:pStyle w:val="24"/>
              <w:jc w:val="right"/>
              <w:rPr>
                <w:rFonts w:hint="eastAsia" w:ascii="宋体" w:hAnsi="宋体" w:eastAsia="宋体" w:cs="宋体"/>
                <w:sz w:val="24"/>
                <w:szCs w:val="24"/>
              </w:rPr>
            </w:pPr>
            <w:r>
              <w:rPr>
                <w:rFonts w:hint="eastAsia" w:ascii="宋体" w:hAnsi="宋体" w:eastAsia="宋体" w:cs="宋体"/>
                <w:sz w:val="24"/>
                <w:szCs w:val="24"/>
              </w:rPr>
              <w:t xml:space="preserve">9,702 </w:t>
            </w:r>
            <w:r>
              <w:rPr>
                <w:rFonts w:hint="eastAsia" w:ascii="宋体" w:hAnsi="宋体" w:eastAsia="宋体" w:cs="宋体"/>
                <w:sz w:val="24"/>
                <w:szCs w:val="24"/>
              </w:rPr>
              <w:t>行</w:t>
            </w:r>
          </w:p>
        </w:tc>
        <w:tc>
          <w:p w14:paraId="2C6AB238">
            <w:pPr>
              <w:pStyle w:val="24"/>
              <w:jc w:val="left"/>
              <w:rPr>
                <w:rFonts w:hint="eastAsia" w:ascii="宋体" w:hAnsi="宋体" w:eastAsia="宋体" w:cs="宋体"/>
                <w:sz w:val="24"/>
                <w:szCs w:val="24"/>
              </w:rPr>
            </w:pPr>
            <w:r>
              <w:rPr>
                <w:rFonts w:hint="eastAsia" w:ascii="宋体" w:hAnsi="宋体" w:eastAsia="宋体" w:cs="宋体"/>
                <w:sz w:val="24"/>
                <w:szCs w:val="24"/>
              </w:rPr>
              <w:t xml:space="preserve">20 </w:t>
            </w:r>
            <w:r>
              <w:rPr>
                <w:rFonts w:hint="eastAsia" w:ascii="宋体" w:hAnsi="宋体" w:eastAsia="宋体" w:cs="宋体"/>
                <w:sz w:val="24"/>
                <w:szCs w:val="24"/>
              </w:rPr>
              <w:t>只股票</w:t>
            </w:r>
            <w:r>
              <w:rPr>
                <w:rFonts w:hint="eastAsia" w:ascii="宋体" w:hAnsi="宋体" w:eastAsia="宋体" w:cs="宋体"/>
                <w:sz w:val="24"/>
                <w:szCs w:val="24"/>
              </w:rPr>
              <w:t xml:space="preserve"> 2024-07-19 </w:t>
            </w:r>
            <w:r>
              <w:rPr>
                <w:rFonts w:hint="eastAsia" w:ascii="宋体" w:hAnsi="宋体" w:eastAsia="宋体" w:cs="宋体"/>
                <w:sz w:val="24"/>
                <w:szCs w:val="24"/>
              </w:rPr>
              <w:t>至</w:t>
            </w:r>
            <w:r>
              <w:rPr>
                <w:rFonts w:hint="eastAsia" w:ascii="宋体" w:hAnsi="宋体" w:eastAsia="宋体" w:cs="宋体"/>
                <w:sz w:val="24"/>
                <w:szCs w:val="24"/>
              </w:rPr>
              <w:t xml:space="preserve"> 2026-07-21 </w:t>
            </w:r>
            <w:r>
              <w:rPr>
                <w:rFonts w:hint="eastAsia" w:ascii="宋体" w:hAnsi="宋体" w:eastAsia="宋体" w:cs="宋体"/>
                <w:sz w:val="24"/>
                <w:szCs w:val="24"/>
              </w:rPr>
              <w:t>的前复权收盘价，策略核心数据源，由</w:t>
            </w:r>
            <w:r>
              <w:rPr>
                <w:rFonts w:hint="eastAsia" w:ascii="宋体" w:hAnsi="宋体" w:eastAsia="宋体" w:cs="宋体"/>
                <w:sz w:val="24"/>
                <w:szCs w:val="24"/>
              </w:rPr>
              <w:t xml:space="preserve"> </w:t>
            </w:r>
            <w:r>
              <w:rPr>
                <w:rStyle w:val="48"/>
                <w:rFonts w:hint="eastAsia" w:ascii="宋体" w:hAnsi="宋体" w:eastAsia="宋体" w:cs="宋体"/>
                <w:sz w:val="24"/>
                <w:szCs w:val="24"/>
              </w:rPr>
              <w:t>analysis.ipynb</w:t>
            </w:r>
            <w:r>
              <w:rPr>
                <w:rFonts w:hint="eastAsia" w:ascii="宋体" w:hAnsi="宋体" w:eastAsia="宋体" w:cs="宋体"/>
                <w:sz w:val="24"/>
                <w:szCs w:val="24"/>
              </w:rPr>
              <w:t xml:space="preserve"> </w:t>
            </w:r>
            <w:r>
              <w:rPr>
                <w:rFonts w:hint="eastAsia" w:ascii="宋体" w:hAnsi="宋体" w:eastAsia="宋体" w:cs="宋体"/>
                <w:sz w:val="24"/>
                <w:szCs w:val="24"/>
              </w:rPr>
              <w:t>第一步生成</w:t>
            </w:r>
          </w:p>
        </w:tc>
      </w:tr>
      <w:tr w14:paraId="5C43724D">
        <w:tc>
          <w:p w14:paraId="5F400C51">
            <w:pPr>
              <w:pStyle w:val="24"/>
              <w:jc w:val="left"/>
              <w:rPr>
                <w:rFonts w:hint="eastAsia" w:ascii="宋体" w:hAnsi="宋体" w:eastAsia="宋体" w:cs="宋体"/>
                <w:sz w:val="24"/>
                <w:szCs w:val="24"/>
              </w:rPr>
            </w:pPr>
            <w:r>
              <w:rPr>
                <w:rStyle w:val="48"/>
                <w:rFonts w:hint="eastAsia" w:ascii="宋体" w:hAnsi="宋体" w:eastAsia="宋体" w:cs="宋体"/>
                <w:sz w:val="24"/>
                <w:szCs w:val="24"/>
              </w:rPr>
              <w:t>monthly_selection.csv</w:t>
            </w:r>
          </w:p>
        </w:tc>
        <w:tc>
          <w:p w14:paraId="3007CEE9">
            <w:pPr>
              <w:pStyle w:val="24"/>
              <w:jc w:val="left"/>
              <w:rPr>
                <w:rFonts w:hint="eastAsia" w:ascii="宋体" w:hAnsi="宋体" w:eastAsia="宋体" w:cs="宋体"/>
                <w:sz w:val="24"/>
                <w:szCs w:val="24"/>
              </w:rPr>
            </w:pPr>
            <w:r>
              <w:rPr>
                <w:rFonts w:hint="eastAsia" w:ascii="宋体" w:hAnsi="宋体" w:eastAsia="宋体" w:cs="宋体"/>
                <w:sz w:val="24"/>
                <w:szCs w:val="24"/>
              </w:rPr>
              <w:t>月度选股调仓表</w:t>
            </w:r>
          </w:p>
        </w:tc>
        <w:tc>
          <w:p w14:paraId="0D591878">
            <w:pPr>
              <w:pStyle w:val="24"/>
              <w:jc w:val="right"/>
              <w:rPr>
                <w:rFonts w:hint="eastAsia" w:ascii="宋体" w:hAnsi="宋体" w:eastAsia="宋体" w:cs="宋体"/>
                <w:sz w:val="24"/>
                <w:szCs w:val="24"/>
              </w:rPr>
            </w:pPr>
            <w:r>
              <w:rPr>
                <w:rFonts w:hint="eastAsia" w:ascii="宋体" w:hAnsi="宋体" w:eastAsia="宋体" w:cs="宋体"/>
                <w:sz w:val="24"/>
                <w:szCs w:val="24"/>
              </w:rPr>
              <w:t xml:space="preserve">95 </w:t>
            </w:r>
            <w:r>
              <w:rPr>
                <w:rFonts w:hint="eastAsia" w:ascii="宋体" w:hAnsi="宋体" w:eastAsia="宋体" w:cs="宋体"/>
                <w:sz w:val="24"/>
                <w:szCs w:val="24"/>
              </w:rPr>
              <w:t>行</w:t>
            </w:r>
          </w:p>
        </w:tc>
        <w:tc>
          <w:p w14:paraId="1E81A7D9">
            <w:pPr>
              <w:pStyle w:val="24"/>
              <w:jc w:val="left"/>
              <w:rPr>
                <w:rFonts w:hint="eastAsia" w:ascii="宋体" w:hAnsi="宋体" w:eastAsia="宋体" w:cs="宋体"/>
                <w:sz w:val="24"/>
                <w:szCs w:val="24"/>
              </w:rPr>
            </w:pPr>
            <w:r>
              <w:rPr>
                <w:rFonts w:hint="eastAsia" w:ascii="宋体" w:hAnsi="宋体" w:eastAsia="宋体" w:cs="宋体"/>
                <w:sz w:val="24"/>
                <w:szCs w:val="24"/>
              </w:rPr>
              <w:t xml:space="preserve">19 </w:t>
            </w:r>
            <w:r>
              <w:rPr>
                <w:rFonts w:hint="eastAsia" w:ascii="宋体" w:hAnsi="宋体" w:eastAsia="宋体" w:cs="宋体"/>
                <w:sz w:val="24"/>
                <w:szCs w:val="24"/>
              </w:rPr>
              <w:t>个调仓月（2025-01-27</w:t>
            </w:r>
            <w:r>
              <w:rPr>
                <w:rFonts w:hint="eastAsia" w:ascii="宋体" w:hAnsi="宋体" w:eastAsia="宋体" w:cs="宋体"/>
                <w:sz w:val="24"/>
                <w:szCs w:val="24"/>
              </w:rPr>
              <w:t xml:space="preserve"> </w:t>
            </w:r>
            <w:r>
              <w:rPr>
                <w:rFonts w:hint="eastAsia" w:ascii="宋体" w:hAnsi="宋体" w:eastAsia="宋体" w:cs="宋体"/>
                <w:sz w:val="24"/>
                <w:szCs w:val="24"/>
              </w:rPr>
              <w:t>至</w:t>
            </w:r>
            <w:r>
              <w:rPr>
                <w:rFonts w:hint="eastAsia" w:ascii="宋体" w:hAnsi="宋体" w:eastAsia="宋体" w:cs="宋体"/>
                <w:sz w:val="24"/>
                <w:szCs w:val="24"/>
              </w:rPr>
              <w:t xml:space="preserve"> </w:t>
            </w:r>
            <w:r>
              <w:rPr>
                <w:rFonts w:hint="eastAsia" w:ascii="宋体" w:hAnsi="宋体" w:eastAsia="宋体" w:cs="宋体"/>
                <w:sz w:val="24"/>
                <w:szCs w:val="24"/>
              </w:rPr>
              <w:t>2026-07-21）每月选出</w:t>
            </w:r>
            <w:r>
              <w:rPr>
                <w:rFonts w:hint="eastAsia" w:ascii="宋体" w:hAnsi="宋体" w:eastAsia="宋体" w:cs="宋体"/>
                <w:sz w:val="24"/>
                <w:szCs w:val="24"/>
              </w:rPr>
              <w:t xml:space="preserve"> 5 </w:t>
            </w:r>
            <w:r>
              <w:rPr>
                <w:rFonts w:hint="eastAsia" w:ascii="宋体" w:hAnsi="宋体" w:eastAsia="宋体" w:cs="宋体"/>
                <w:sz w:val="24"/>
                <w:szCs w:val="24"/>
              </w:rPr>
              <w:t>只股票，含动量、PE、ROE、Z-score</w:t>
            </w:r>
            <w:r>
              <w:rPr>
                <w:rFonts w:hint="eastAsia" w:ascii="宋体" w:hAnsi="宋体" w:eastAsia="宋体" w:cs="宋体"/>
                <w:sz w:val="24"/>
                <w:szCs w:val="24"/>
              </w:rPr>
              <w:t xml:space="preserve"> </w:t>
            </w:r>
            <w:r>
              <w:rPr>
                <w:rFonts w:hint="eastAsia" w:ascii="宋体" w:hAnsi="宋体" w:eastAsia="宋体" w:cs="宋体"/>
                <w:sz w:val="24"/>
                <w:szCs w:val="24"/>
              </w:rPr>
              <w:t>及综合评分，由</w:t>
            </w:r>
            <w:r>
              <w:rPr>
                <w:rFonts w:hint="eastAsia" w:ascii="宋体" w:hAnsi="宋体" w:eastAsia="宋体" w:cs="宋体"/>
                <w:sz w:val="24"/>
                <w:szCs w:val="24"/>
              </w:rPr>
              <w:t xml:space="preserve"> </w:t>
            </w:r>
            <w:r>
              <w:rPr>
                <w:rStyle w:val="48"/>
                <w:rFonts w:hint="eastAsia" w:ascii="宋体" w:hAnsi="宋体" w:eastAsia="宋体" w:cs="宋体"/>
                <w:sz w:val="24"/>
                <w:szCs w:val="24"/>
              </w:rPr>
              <w:t>analysis.ipynb</w:t>
            </w:r>
            <w:r>
              <w:rPr>
                <w:rFonts w:hint="eastAsia" w:ascii="宋体" w:hAnsi="宋体" w:eastAsia="宋体" w:cs="宋体"/>
                <w:sz w:val="24"/>
                <w:szCs w:val="24"/>
              </w:rPr>
              <w:t xml:space="preserve"> </w:t>
            </w:r>
            <w:r>
              <w:rPr>
                <w:rFonts w:hint="eastAsia" w:ascii="宋体" w:hAnsi="宋体" w:eastAsia="宋体" w:cs="宋体"/>
                <w:sz w:val="24"/>
                <w:szCs w:val="24"/>
              </w:rPr>
              <w:t>第三步生成</w:t>
            </w:r>
          </w:p>
        </w:tc>
      </w:tr>
      <w:bookmarkEnd w:id="39"/>
      <w:bookmarkEnd w:id="40"/>
    </w:tbl>
    <w:p w14:paraId="249615C8">
      <w:pPr>
        <w:pStyle w:val="4"/>
        <w:rPr>
          <w:rFonts w:hint="eastAsia" w:ascii="宋体" w:hAnsi="宋体" w:eastAsia="宋体" w:cs="宋体"/>
          <w:sz w:val="24"/>
          <w:szCs w:val="24"/>
        </w:rPr>
      </w:pPr>
      <w:bookmarkStart w:id="41" w:name="附录bcsv字段与文件路径见2.2和2.3"/>
      <w:r>
        <w:rPr>
          <w:rFonts w:hint="eastAsia" w:ascii="宋体" w:hAnsi="宋体" w:eastAsia="宋体" w:cs="宋体"/>
          <w:sz w:val="24"/>
          <w:szCs w:val="24"/>
        </w:rPr>
        <w:t>附录B：CSV字段与文件路径（见2.2和2.3）</w:t>
      </w:r>
    </w:p>
    <w:p w14:paraId="3A817949">
      <w:pPr>
        <w:pStyle w:val="23"/>
        <w:rPr>
          <w:rFonts w:hint="eastAsia" w:ascii="宋体" w:hAnsi="宋体" w:eastAsia="宋体" w:cs="宋体"/>
          <w:sz w:val="24"/>
          <w:szCs w:val="24"/>
        </w:rPr>
      </w:pPr>
      <w:r>
        <w:rPr>
          <w:rFonts w:hint="eastAsia" w:ascii="宋体" w:hAnsi="宋体" w:eastAsia="宋体" w:cs="宋体"/>
          <w:sz w:val="24"/>
          <w:szCs w:val="24"/>
        </w:rPr>
        <w:t>详见正文</w:t>
      </w:r>
      <w:r>
        <w:rPr>
          <w:rFonts w:hint="eastAsia" w:ascii="宋体" w:hAnsi="宋体" w:eastAsia="宋体" w:cs="宋体"/>
          <w:sz w:val="24"/>
          <w:szCs w:val="24"/>
        </w:rPr>
        <w:t xml:space="preserve"> §2.2 </w:t>
      </w:r>
      <w:r>
        <w:rPr>
          <w:rFonts w:hint="eastAsia" w:ascii="宋体" w:hAnsi="宋体" w:eastAsia="宋体" w:cs="宋体"/>
          <w:sz w:val="24"/>
          <w:szCs w:val="24"/>
        </w:rPr>
        <w:t>数据来源与字段字典表及</w:t>
      </w:r>
      <w:r>
        <w:rPr>
          <w:rFonts w:hint="eastAsia" w:ascii="宋体" w:hAnsi="宋体" w:eastAsia="宋体" w:cs="宋体"/>
          <w:sz w:val="24"/>
          <w:szCs w:val="24"/>
        </w:rPr>
        <w:t xml:space="preserve"> §2.3 </w:t>
      </w:r>
      <w:r>
        <w:rPr>
          <w:rFonts w:hint="eastAsia" w:ascii="宋体" w:hAnsi="宋体" w:eastAsia="宋体" w:cs="宋体"/>
          <w:sz w:val="24"/>
          <w:szCs w:val="24"/>
        </w:rPr>
        <w:t>文件说明。以下补充两个数据文件的详细说明。</w:t>
      </w:r>
    </w:p>
    <w:p w14:paraId="4ADDE3D4">
      <w:pPr>
        <w:pStyle w:val="5"/>
        <w:rPr>
          <w:rFonts w:hint="eastAsia" w:ascii="宋体" w:hAnsi="宋体" w:eastAsia="宋体" w:cs="宋体"/>
          <w:sz w:val="24"/>
          <w:szCs w:val="24"/>
        </w:rPr>
      </w:pPr>
      <w:bookmarkStart w:id="42" w:name="price_qfq_20240719_20260721.csv-前复权日线数据"/>
      <w:r>
        <w:rPr>
          <w:rFonts w:hint="eastAsia" w:ascii="宋体" w:hAnsi="宋体" w:eastAsia="宋体" w:cs="宋体"/>
          <w:sz w:val="24"/>
          <w:szCs w:val="24"/>
        </w:rPr>
        <w:t xml:space="preserve">price_qfq_20240719_20260721.csv — </w:t>
      </w:r>
      <w:r>
        <w:rPr>
          <w:rFonts w:hint="eastAsia" w:ascii="宋体" w:hAnsi="宋体" w:eastAsia="宋体" w:cs="宋体"/>
          <w:sz w:val="24"/>
          <w:szCs w:val="24"/>
        </w:rPr>
        <w:t>前复权日线数据</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8AA5F1A">
        <w:trPr>
          <w:tblHeader/>
        </w:trPr>
        <w:tc>
          <w:p w14:paraId="1855595B">
            <w:pPr>
              <w:pStyle w:val="24"/>
              <w:jc w:val="left"/>
              <w:rPr>
                <w:rFonts w:hint="eastAsia" w:ascii="宋体" w:hAnsi="宋体" w:eastAsia="宋体" w:cs="宋体"/>
                <w:sz w:val="24"/>
                <w:szCs w:val="24"/>
              </w:rPr>
            </w:pPr>
            <w:r>
              <w:rPr>
                <w:rFonts w:hint="eastAsia" w:ascii="宋体" w:hAnsi="宋体" w:eastAsia="宋体" w:cs="宋体"/>
                <w:sz w:val="24"/>
                <w:szCs w:val="24"/>
              </w:rPr>
              <w:t>项目</w:t>
            </w:r>
          </w:p>
        </w:tc>
        <w:tc>
          <w:p w14:paraId="44F286B7">
            <w:pPr>
              <w:pStyle w:val="24"/>
              <w:jc w:val="left"/>
              <w:rPr>
                <w:rFonts w:hint="eastAsia" w:ascii="宋体" w:hAnsi="宋体" w:eastAsia="宋体" w:cs="宋体"/>
                <w:sz w:val="24"/>
                <w:szCs w:val="24"/>
              </w:rPr>
            </w:pPr>
            <w:r>
              <w:rPr>
                <w:rFonts w:hint="eastAsia" w:ascii="宋体" w:hAnsi="宋体" w:eastAsia="宋体" w:cs="宋体"/>
                <w:sz w:val="24"/>
                <w:szCs w:val="24"/>
              </w:rPr>
              <w:t>说明</w:t>
            </w:r>
          </w:p>
        </w:tc>
      </w:tr>
      <w:tr w14:paraId="1BB4FE56">
        <w:tc>
          <w:p w14:paraId="34693D2C">
            <w:pPr>
              <w:pStyle w:val="24"/>
              <w:jc w:val="left"/>
              <w:rPr>
                <w:rFonts w:hint="eastAsia" w:ascii="宋体" w:hAnsi="宋体" w:eastAsia="宋体" w:cs="宋体"/>
                <w:sz w:val="24"/>
                <w:szCs w:val="24"/>
              </w:rPr>
            </w:pPr>
            <w:r>
              <w:rPr>
                <w:rFonts w:hint="eastAsia" w:ascii="宋体" w:hAnsi="宋体" w:eastAsia="宋体" w:cs="宋体"/>
                <w:sz w:val="24"/>
                <w:szCs w:val="24"/>
              </w:rPr>
              <w:t>文件名</w:t>
            </w:r>
          </w:p>
        </w:tc>
        <w:tc>
          <w:p w14:paraId="6F2F5FBB">
            <w:pPr>
              <w:pStyle w:val="24"/>
              <w:jc w:val="left"/>
              <w:rPr>
                <w:rFonts w:hint="eastAsia" w:ascii="宋体" w:hAnsi="宋体" w:eastAsia="宋体" w:cs="宋体"/>
                <w:sz w:val="24"/>
                <w:szCs w:val="24"/>
              </w:rPr>
            </w:pPr>
            <w:r>
              <w:rPr>
                <w:rStyle w:val="48"/>
                <w:rFonts w:hint="eastAsia" w:ascii="宋体" w:hAnsi="宋体" w:eastAsia="宋体" w:cs="宋体"/>
                <w:sz w:val="24"/>
                <w:szCs w:val="24"/>
              </w:rPr>
              <w:t>price_qfq_20240719_20260721.csv</w:t>
            </w:r>
          </w:p>
        </w:tc>
      </w:tr>
      <w:tr w14:paraId="0795F4FE">
        <w:tc>
          <w:p w14:paraId="789ECCD8">
            <w:pPr>
              <w:pStyle w:val="24"/>
              <w:jc w:val="left"/>
              <w:rPr>
                <w:rFonts w:hint="eastAsia" w:ascii="宋体" w:hAnsi="宋体" w:eastAsia="宋体" w:cs="宋体"/>
                <w:sz w:val="24"/>
                <w:szCs w:val="24"/>
              </w:rPr>
            </w:pPr>
            <w:r>
              <w:rPr>
                <w:rFonts w:hint="eastAsia" w:ascii="宋体" w:hAnsi="宋体" w:eastAsia="宋体" w:cs="宋体"/>
                <w:sz w:val="24"/>
                <w:szCs w:val="24"/>
              </w:rPr>
              <w:t>记录数</w:t>
            </w:r>
          </w:p>
        </w:tc>
        <w:tc>
          <w:p w14:paraId="2CCC58E7">
            <w:pPr>
              <w:pStyle w:val="24"/>
              <w:jc w:val="left"/>
              <w:rPr>
                <w:rFonts w:hint="eastAsia" w:ascii="宋体" w:hAnsi="宋体" w:eastAsia="宋体" w:cs="宋体"/>
                <w:sz w:val="24"/>
                <w:szCs w:val="24"/>
              </w:rPr>
            </w:pPr>
            <w:r>
              <w:rPr>
                <w:rFonts w:hint="eastAsia" w:ascii="宋体" w:hAnsi="宋体" w:eastAsia="宋体" w:cs="宋体"/>
                <w:sz w:val="24"/>
                <w:szCs w:val="24"/>
              </w:rPr>
              <w:t xml:space="preserve">9,702 </w:t>
            </w:r>
            <w:r>
              <w:rPr>
                <w:rFonts w:hint="eastAsia" w:ascii="宋体" w:hAnsi="宋体" w:eastAsia="宋体" w:cs="宋体"/>
                <w:sz w:val="24"/>
                <w:szCs w:val="24"/>
              </w:rPr>
              <w:t>行</w:t>
            </w:r>
          </w:p>
        </w:tc>
      </w:tr>
      <w:tr w14:paraId="7F6AC2B3">
        <w:tc>
          <w:p w14:paraId="785373D8">
            <w:pPr>
              <w:pStyle w:val="24"/>
              <w:jc w:val="left"/>
              <w:rPr>
                <w:rFonts w:hint="eastAsia" w:ascii="宋体" w:hAnsi="宋体" w:eastAsia="宋体" w:cs="宋体"/>
                <w:sz w:val="24"/>
                <w:szCs w:val="24"/>
              </w:rPr>
            </w:pPr>
            <w:r>
              <w:rPr>
                <w:rFonts w:hint="eastAsia" w:ascii="宋体" w:hAnsi="宋体" w:eastAsia="宋体" w:cs="宋体"/>
                <w:sz w:val="24"/>
                <w:szCs w:val="24"/>
              </w:rPr>
              <w:t>列数</w:t>
            </w:r>
          </w:p>
        </w:tc>
        <w:tc>
          <w:p w14:paraId="5D4126F3">
            <w:pPr>
              <w:pStyle w:val="24"/>
              <w:jc w:val="left"/>
              <w:rPr>
                <w:rFonts w:hint="eastAsia" w:ascii="宋体" w:hAnsi="宋体" w:eastAsia="宋体" w:cs="宋体"/>
                <w:sz w:val="24"/>
                <w:szCs w:val="24"/>
              </w:rPr>
            </w:pPr>
            <w:r>
              <w:rPr>
                <w:rFonts w:hint="eastAsia" w:ascii="宋体" w:hAnsi="宋体" w:eastAsia="宋体" w:cs="宋体"/>
                <w:sz w:val="24"/>
                <w:szCs w:val="24"/>
              </w:rPr>
              <w:t xml:space="preserve">29 </w:t>
            </w:r>
            <w:r>
              <w:rPr>
                <w:rFonts w:hint="eastAsia" w:ascii="宋体" w:hAnsi="宋体" w:eastAsia="宋体" w:cs="宋体"/>
                <w:sz w:val="24"/>
                <w:szCs w:val="24"/>
              </w:rPr>
              <w:t>列</w:t>
            </w:r>
          </w:p>
        </w:tc>
      </w:tr>
      <w:tr w14:paraId="62D6DB3C">
        <w:tc>
          <w:p w14:paraId="26E08BBE">
            <w:pPr>
              <w:pStyle w:val="24"/>
              <w:jc w:val="left"/>
              <w:rPr>
                <w:rFonts w:hint="eastAsia" w:ascii="宋体" w:hAnsi="宋体" w:eastAsia="宋体" w:cs="宋体"/>
                <w:sz w:val="24"/>
                <w:szCs w:val="24"/>
              </w:rPr>
            </w:pPr>
            <w:r>
              <w:rPr>
                <w:rFonts w:hint="eastAsia" w:ascii="宋体" w:hAnsi="宋体" w:eastAsia="宋体" w:cs="宋体"/>
                <w:sz w:val="24"/>
                <w:szCs w:val="24"/>
              </w:rPr>
              <w:t>时间范围</w:t>
            </w:r>
          </w:p>
        </w:tc>
        <w:tc>
          <w:p w14:paraId="237DF22E">
            <w:pPr>
              <w:pStyle w:val="24"/>
              <w:jc w:val="left"/>
              <w:rPr>
                <w:rFonts w:hint="eastAsia" w:ascii="宋体" w:hAnsi="宋体" w:eastAsia="宋体" w:cs="宋体"/>
                <w:sz w:val="24"/>
                <w:szCs w:val="24"/>
              </w:rPr>
            </w:pPr>
            <w:r>
              <w:rPr>
                <w:rFonts w:hint="eastAsia" w:ascii="宋体" w:hAnsi="宋体" w:eastAsia="宋体" w:cs="宋体"/>
                <w:sz w:val="24"/>
                <w:szCs w:val="24"/>
              </w:rPr>
              <w:t xml:space="preserve">2024-07-19 </w:t>
            </w:r>
            <w:r>
              <w:rPr>
                <w:rFonts w:hint="eastAsia" w:ascii="宋体" w:hAnsi="宋体" w:eastAsia="宋体" w:cs="宋体"/>
                <w:sz w:val="24"/>
                <w:szCs w:val="24"/>
              </w:rPr>
              <w:t>至</w:t>
            </w:r>
            <w:r>
              <w:rPr>
                <w:rFonts w:hint="eastAsia" w:ascii="宋体" w:hAnsi="宋体" w:eastAsia="宋体" w:cs="宋体"/>
                <w:sz w:val="24"/>
                <w:szCs w:val="24"/>
              </w:rPr>
              <w:t xml:space="preserve"> 2026-07-21</w:t>
            </w:r>
          </w:p>
        </w:tc>
      </w:tr>
      <w:tr w14:paraId="550FCBB5">
        <w:tc>
          <w:p w14:paraId="3A21FA5D">
            <w:pPr>
              <w:pStyle w:val="24"/>
              <w:jc w:val="left"/>
              <w:rPr>
                <w:rFonts w:hint="eastAsia" w:ascii="宋体" w:hAnsi="宋体" w:eastAsia="宋体" w:cs="宋体"/>
                <w:sz w:val="24"/>
                <w:szCs w:val="24"/>
              </w:rPr>
            </w:pPr>
            <w:r>
              <w:rPr>
                <w:rFonts w:hint="eastAsia" w:ascii="宋体" w:hAnsi="宋体" w:eastAsia="宋体" w:cs="宋体"/>
                <w:sz w:val="24"/>
                <w:szCs w:val="24"/>
              </w:rPr>
              <w:t>覆盖股票</w:t>
            </w:r>
          </w:p>
        </w:tc>
        <w:tc>
          <w:p w14:paraId="559AB323">
            <w:pPr>
              <w:pStyle w:val="24"/>
              <w:jc w:val="left"/>
              <w:rPr>
                <w:rFonts w:hint="eastAsia" w:ascii="宋体" w:hAnsi="宋体" w:eastAsia="宋体" w:cs="宋体"/>
                <w:sz w:val="24"/>
                <w:szCs w:val="24"/>
              </w:rPr>
            </w:pPr>
            <w:r>
              <w:rPr>
                <w:rFonts w:hint="eastAsia" w:ascii="宋体" w:hAnsi="宋体" w:eastAsia="宋体" w:cs="宋体"/>
                <w:sz w:val="24"/>
                <w:szCs w:val="24"/>
              </w:rPr>
              <w:t xml:space="preserve">20 </w:t>
            </w:r>
            <w:r>
              <w:rPr>
                <w:rFonts w:hint="eastAsia" w:ascii="宋体" w:hAnsi="宋体" w:eastAsia="宋体" w:cs="宋体"/>
                <w:sz w:val="24"/>
                <w:szCs w:val="24"/>
              </w:rPr>
              <w:t>只（17</w:t>
            </w:r>
            <w:r>
              <w:rPr>
                <w:rFonts w:hint="eastAsia" w:ascii="宋体" w:hAnsi="宋体" w:eastAsia="宋体" w:cs="宋体"/>
                <w:sz w:val="24"/>
                <w:szCs w:val="24"/>
              </w:rPr>
              <w:t xml:space="preserve"> </w:t>
            </w:r>
            <w:r>
              <w:rPr>
                <w:rFonts w:hint="eastAsia" w:ascii="宋体" w:hAnsi="宋体" w:eastAsia="宋体" w:cs="宋体"/>
                <w:sz w:val="24"/>
                <w:szCs w:val="24"/>
              </w:rPr>
              <w:t>只</w:t>
            </w:r>
            <w:r>
              <w:rPr>
                <w:rFonts w:hint="eastAsia" w:ascii="宋体" w:hAnsi="宋体" w:eastAsia="宋体" w:cs="宋体"/>
                <w:sz w:val="24"/>
                <w:szCs w:val="24"/>
              </w:rPr>
              <w:t xml:space="preserve"> A </w:t>
            </w:r>
            <w:r>
              <w:rPr>
                <w:rFonts w:hint="eastAsia" w:ascii="宋体" w:hAnsi="宋体" w:eastAsia="宋体" w:cs="宋体"/>
                <w:sz w:val="24"/>
                <w:szCs w:val="24"/>
              </w:rPr>
              <w:t>股</w:t>
            </w:r>
            <w:r>
              <w:rPr>
                <w:rFonts w:hint="eastAsia" w:ascii="宋体" w:hAnsi="宋体" w:eastAsia="宋体" w:cs="宋体"/>
                <w:sz w:val="24"/>
                <w:szCs w:val="24"/>
              </w:rPr>
              <w:t xml:space="preserve"> + 2 </w:t>
            </w:r>
            <w:r>
              <w:rPr>
                <w:rFonts w:hint="eastAsia" w:ascii="宋体" w:hAnsi="宋体" w:eastAsia="宋体" w:cs="宋体"/>
                <w:sz w:val="24"/>
                <w:szCs w:val="24"/>
              </w:rPr>
              <w:t>只港股</w:t>
            </w:r>
            <w:r>
              <w:rPr>
                <w:rFonts w:hint="eastAsia" w:ascii="宋体" w:hAnsi="宋体" w:eastAsia="宋体" w:cs="宋体"/>
                <w:sz w:val="24"/>
                <w:szCs w:val="24"/>
              </w:rPr>
              <w:t xml:space="preserve"> + 1 </w:t>
            </w:r>
            <w:r>
              <w:rPr>
                <w:rFonts w:hint="eastAsia" w:ascii="宋体" w:hAnsi="宋体" w:eastAsia="宋体" w:cs="宋体"/>
                <w:sz w:val="24"/>
                <w:szCs w:val="24"/>
              </w:rPr>
              <w:t>只</w:t>
            </w:r>
            <w:r>
              <w:rPr>
                <w:rFonts w:hint="eastAsia" w:ascii="宋体" w:hAnsi="宋体" w:eastAsia="宋体" w:cs="宋体"/>
                <w:sz w:val="24"/>
                <w:szCs w:val="24"/>
              </w:rPr>
              <w:t xml:space="preserve"> </w:t>
            </w:r>
            <w:r>
              <w:rPr>
                <w:rFonts w:hint="eastAsia" w:ascii="宋体" w:hAnsi="宋体" w:eastAsia="宋体" w:cs="宋体"/>
                <w:sz w:val="24"/>
                <w:szCs w:val="24"/>
              </w:rPr>
              <w:t>ETF）</w:t>
            </w:r>
          </w:p>
        </w:tc>
      </w:tr>
      <w:tr w14:paraId="1017D052">
        <w:tc>
          <w:p w14:paraId="03A29FC9">
            <w:pPr>
              <w:pStyle w:val="24"/>
              <w:jc w:val="left"/>
              <w:rPr>
                <w:rFonts w:hint="eastAsia" w:ascii="宋体" w:hAnsi="宋体" w:eastAsia="宋体" w:cs="宋体"/>
                <w:sz w:val="24"/>
                <w:szCs w:val="24"/>
              </w:rPr>
            </w:pPr>
            <w:r>
              <w:rPr>
                <w:rFonts w:hint="eastAsia" w:ascii="宋体" w:hAnsi="宋体" w:eastAsia="宋体" w:cs="宋体"/>
                <w:sz w:val="24"/>
                <w:szCs w:val="24"/>
              </w:rPr>
              <w:t>数据来源</w:t>
            </w:r>
          </w:p>
        </w:tc>
        <w:tc>
          <w:p w14:paraId="370EEF92">
            <w:pPr>
              <w:pStyle w:val="24"/>
              <w:jc w:val="left"/>
              <w:rPr>
                <w:rFonts w:hint="eastAsia" w:ascii="宋体" w:hAnsi="宋体" w:eastAsia="宋体" w:cs="宋体"/>
                <w:sz w:val="24"/>
                <w:szCs w:val="24"/>
              </w:rPr>
            </w:pPr>
            <w:r>
              <w:rPr>
                <w:rFonts w:hint="eastAsia" w:ascii="宋体" w:hAnsi="宋体" w:eastAsia="宋体" w:cs="宋体"/>
                <w:sz w:val="24"/>
                <w:szCs w:val="24"/>
              </w:rPr>
              <w:t xml:space="preserve">A </w:t>
            </w:r>
            <w:r>
              <w:rPr>
                <w:rFonts w:hint="eastAsia" w:ascii="宋体" w:hAnsi="宋体" w:eastAsia="宋体" w:cs="宋体"/>
                <w:sz w:val="24"/>
                <w:szCs w:val="24"/>
              </w:rPr>
              <w:t>股为本地</w:t>
            </w:r>
            <w:r>
              <w:rPr>
                <w:rFonts w:hint="eastAsia" w:ascii="宋体" w:hAnsi="宋体" w:eastAsia="宋体" w:cs="宋体"/>
                <w:sz w:val="24"/>
                <w:szCs w:val="24"/>
              </w:rPr>
              <w:t xml:space="preserve"> Tushare </w:t>
            </w:r>
            <w:r>
              <w:rPr>
                <w:rFonts w:hint="eastAsia" w:ascii="宋体" w:hAnsi="宋体" w:eastAsia="宋体" w:cs="宋体"/>
                <w:sz w:val="24"/>
                <w:szCs w:val="24"/>
              </w:rPr>
              <w:t>导出</w:t>
            </w:r>
            <w:r>
              <w:rPr>
                <w:rFonts w:hint="eastAsia" w:ascii="宋体" w:hAnsi="宋体" w:eastAsia="宋体" w:cs="宋体"/>
                <w:sz w:val="24"/>
                <w:szCs w:val="24"/>
              </w:rPr>
              <w:t xml:space="preserve"> </w:t>
            </w:r>
            <w:r>
              <w:rPr>
                <w:rFonts w:hint="eastAsia" w:ascii="宋体" w:hAnsi="宋体" w:eastAsia="宋体" w:cs="宋体"/>
                <w:sz w:val="24"/>
                <w:szCs w:val="24"/>
              </w:rPr>
              <w:t>CSV，港股为</w:t>
            </w:r>
            <w:r>
              <w:rPr>
                <w:rFonts w:hint="eastAsia" w:ascii="宋体" w:hAnsi="宋体" w:eastAsia="宋体" w:cs="宋体"/>
                <w:sz w:val="24"/>
                <w:szCs w:val="24"/>
              </w:rPr>
              <w:t xml:space="preserve"> AKShare </w:t>
            </w:r>
            <w:r>
              <w:rPr>
                <w:rStyle w:val="48"/>
                <w:rFonts w:hint="eastAsia" w:ascii="宋体" w:hAnsi="宋体" w:eastAsia="宋体" w:cs="宋体"/>
                <w:sz w:val="24"/>
                <w:szCs w:val="24"/>
              </w:rPr>
              <w:t>stock_hk_daily(adjust="qfq")</w:t>
            </w:r>
            <w:r>
              <w:rPr>
                <w:rFonts w:hint="eastAsia" w:ascii="宋体" w:hAnsi="宋体" w:eastAsia="宋体" w:cs="宋体"/>
                <w:sz w:val="24"/>
                <w:szCs w:val="24"/>
              </w:rPr>
              <w:t xml:space="preserve"> </w:t>
            </w:r>
            <w:r>
              <w:rPr>
                <w:rFonts w:hint="eastAsia" w:ascii="宋体" w:hAnsi="宋体" w:eastAsia="宋体" w:cs="宋体"/>
                <w:sz w:val="24"/>
                <w:szCs w:val="24"/>
              </w:rPr>
              <w:t>在线获取，ETF</w:t>
            </w:r>
            <w:r>
              <w:rPr>
                <w:rFonts w:hint="eastAsia" w:ascii="宋体" w:hAnsi="宋体" w:eastAsia="宋体" w:cs="宋体"/>
                <w:sz w:val="24"/>
                <w:szCs w:val="24"/>
              </w:rPr>
              <w:t xml:space="preserve"> </w:t>
            </w:r>
            <w:r>
              <w:rPr>
                <w:rFonts w:hint="eastAsia" w:ascii="宋体" w:hAnsi="宋体" w:eastAsia="宋体" w:cs="宋体"/>
                <w:sz w:val="24"/>
                <w:szCs w:val="24"/>
              </w:rPr>
              <w:t>为</w:t>
            </w:r>
            <w:r>
              <w:rPr>
                <w:rFonts w:hint="eastAsia" w:ascii="宋体" w:hAnsi="宋体" w:eastAsia="宋体" w:cs="宋体"/>
                <w:sz w:val="24"/>
                <w:szCs w:val="24"/>
              </w:rPr>
              <w:t xml:space="preserve"> AKShare </w:t>
            </w:r>
            <w:r>
              <w:rPr>
                <w:rStyle w:val="48"/>
                <w:rFonts w:hint="eastAsia" w:ascii="宋体" w:hAnsi="宋体" w:eastAsia="宋体" w:cs="宋体"/>
                <w:sz w:val="24"/>
                <w:szCs w:val="24"/>
              </w:rPr>
              <w:t>fund_etf_hist_sina</w:t>
            </w:r>
            <w:r>
              <w:rPr>
                <w:rFonts w:hint="eastAsia" w:ascii="宋体" w:hAnsi="宋体" w:eastAsia="宋体" w:cs="宋体"/>
                <w:sz w:val="24"/>
                <w:szCs w:val="24"/>
              </w:rPr>
              <w:t xml:space="preserve"> + </w:t>
            </w:r>
            <w:r>
              <w:rPr>
                <w:rFonts w:hint="eastAsia" w:ascii="宋体" w:hAnsi="宋体" w:eastAsia="宋体" w:cs="宋体"/>
                <w:sz w:val="24"/>
                <w:szCs w:val="24"/>
              </w:rPr>
              <w:t>分红数据手动前复权</w:t>
            </w:r>
          </w:p>
        </w:tc>
      </w:tr>
      <w:tr w14:paraId="5FEC5AE5">
        <w:tc>
          <w:p w14:paraId="7C11EF04">
            <w:pPr>
              <w:pStyle w:val="24"/>
              <w:jc w:val="left"/>
              <w:rPr>
                <w:rFonts w:hint="eastAsia" w:ascii="宋体" w:hAnsi="宋体" w:eastAsia="宋体" w:cs="宋体"/>
                <w:sz w:val="24"/>
                <w:szCs w:val="24"/>
              </w:rPr>
            </w:pPr>
            <w:r>
              <w:rPr>
                <w:rFonts w:hint="eastAsia" w:ascii="宋体" w:hAnsi="宋体" w:eastAsia="宋体" w:cs="宋体"/>
                <w:sz w:val="24"/>
                <w:szCs w:val="24"/>
              </w:rPr>
              <w:t>编码</w:t>
            </w:r>
          </w:p>
        </w:tc>
        <w:tc>
          <w:p w14:paraId="32C4381C">
            <w:pPr>
              <w:pStyle w:val="24"/>
              <w:jc w:val="left"/>
              <w:rPr>
                <w:rFonts w:hint="eastAsia" w:ascii="宋体" w:hAnsi="宋体" w:eastAsia="宋体" w:cs="宋体"/>
                <w:sz w:val="24"/>
                <w:szCs w:val="24"/>
              </w:rPr>
            </w:pPr>
            <w:r>
              <w:rPr>
                <w:rFonts w:hint="eastAsia" w:ascii="宋体" w:hAnsi="宋体" w:eastAsia="宋体" w:cs="宋体"/>
                <w:sz w:val="24"/>
                <w:szCs w:val="24"/>
              </w:rPr>
              <w:t xml:space="preserve">UTF-8 with </w:t>
            </w:r>
            <w:r>
              <w:rPr>
                <w:rFonts w:hint="eastAsia" w:ascii="宋体" w:hAnsi="宋体" w:eastAsia="宋体" w:cs="宋体"/>
                <w:sz w:val="24"/>
                <w:szCs w:val="24"/>
              </w:rPr>
              <w:t>BOM（utf-8-sig）</w:t>
            </w:r>
          </w:p>
        </w:tc>
      </w:tr>
      <w:tr w14:paraId="4E3DCE58">
        <w:tc>
          <w:p w14:paraId="7A7906E2">
            <w:pPr>
              <w:pStyle w:val="24"/>
              <w:jc w:val="left"/>
              <w:rPr>
                <w:rFonts w:hint="eastAsia" w:ascii="宋体" w:hAnsi="宋体" w:eastAsia="宋体" w:cs="宋体"/>
                <w:sz w:val="24"/>
                <w:szCs w:val="24"/>
              </w:rPr>
            </w:pPr>
            <w:r>
              <w:rPr>
                <w:rFonts w:hint="eastAsia" w:ascii="宋体" w:hAnsi="宋体" w:eastAsia="宋体" w:cs="宋体"/>
                <w:sz w:val="24"/>
                <w:szCs w:val="24"/>
              </w:rPr>
              <w:t>策略使用字段</w:t>
            </w:r>
          </w:p>
        </w:tc>
        <w:tc>
          <w:p w14:paraId="2EC1CD0D">
            <w:pPr>
              <w:pStyle w:val="24"/>
              <w:jc w:val="left"/>
              <w:rPr>
                <w:rFonts w:hint="eastAsia" w:ascii="宋体" w:hAnsi="宋体" w:eastAsia="宋体" w:cs="宋体"/>
                <w:sz w:val="24"/>
                <w:szCs w:val="24"/>
              </w:rPr>
            </w:pPr>
            <w:r>
              <w:rPr>
                <w:rStyle w:val="48"/>
                <w:rFonts w:hint="eastAsia" w:ascii="宋体" w:hAnsi="宋体" w:eastAsia="宋体" w:cs="宋体"/>
                <w:sz w:val="24"/>
                <w:szCs w:val="24"/>
              </w:rPr>
              <w:t>ts_code</w:t>
            </w:r>
            <w:r>
              <w:rPr>
                <w:rFonts w:hint="eastAsia" w:ascii="宋体" w:hAnsi="宋体" w:eastAsia="宋体" w:cs="宋体"/>
                <w:sz w:val="24"/>
                <w:szCs w:val="24"/>
              </w:rPr>
              <w:t>、</w:t>
            </w:r>
            <w:r>
              <w:rPr>
                <w:rStyle w:val="48"/>
                <w:rFonts w:hint="eastAsia" w:ascii="宋体" w:hAnsi="宋体" w:eastAsia="宋体" w:cs="宋体"/>
                <w:sz w:val="24"/>
                <w:szCs w:val="24"/>
              </w:rPr>
              <w:t>trade_date</w:t>
            </w:r>
            <w:r>
              <w:rPr>
                <w:rFonts w:hint="eastAsia" w:ascii="宋体" w:hAnsi="宋体" w:eastAsia="宋体" w:cs="宋体"/>
                <w:sz w:val="24"/>
                <w:szCs w:val="24"/>
              </w:rPr>
              <w:t>、</w:t>
            </w:r>
            <w:r>
              <w:rPr>
                <w:rStyle w:val="48"/>
                <w:rFonts w:hint="eastAsia" w:ascii="宋体" w:hAnsi="宋体" w:eastAsia="宋体" w:cs="宋体"/>
                <w:sz w:val="24"/>
                <w:szCs w:val="24"/>
              </w:rPr>
              <w:t>close_qfq</w:t>
            </w:r>
            <w:r>
              <w:rPr>
                <w:rFonts w:hint="eastAsia" w:ascii="宋体" w:hAnsi="宋体" w:eastAsia="宋体" w:cs="宋体"/>
                <w:sz w:val="24"/>
                <w:szCs w:val="24"/>
              </w:rPr>
              <w:t>（前复权收盘价，策略核心字段）</w:t>
            </w:r>
          </w:p>
        </w:tc>
      </w:tr>
      <w:tr w14:paraId="5454A95E">
        <w:tc>
          <w:p w14:paraId="7981971E">
            <w:pPr>
              <w:pStyle w:val="24"/>
              <w:jc w:val="left"/>
              <w:rPr>
                <w:rFonts w:hint="eastAsia" w:ascii="宋体" w:hAnsi="宋体" w:eastAsia="宋体" w:cs="宋体"/>
                <w:sz w:val="24"/>
                <w:szCs w:val="24"/>
              </w:rPr>
            </w:pPr>
            <w:r>
              <w:rPr>
                <w:rFonts w:hint="eastAsia" w:ascii="宋体" w:hAnsi="宋体" w:eastAsia="宋体" w:cs="宋体"/>
                <w:sz w:val="24"/>
                <w:szCs w:val="24"/>
              </w:rPr>
              <w:t>缺失值说明</w:t>
            </w:r>
          </w:p>
        </w:tc>
        <w:tc>
          <w:p w14:paraId="51002D23">
            <w:pPr>
              <w:pStyle w:val="24"/>
              <w:jc w:val="left"/>
              <w:rPr>
                <w:rFonts w:hint="eastAsia" w:ascii="宋体" w:hAnsi="宋体" w:eastAsia="宋体" w:cs="宋体"/>
                <w:sz w:val="24"/>
                <w:szCs w:val="24"/>
              </w:rPr>
            </w:pPr>
            <w:r>
              <w:rPr>
                <w:rFonts w:hint="eastAsia" w:ascii="宋体" w:hAnsi="宋体" w:eastAsia="宋体" w:cs="宋体"/>
                <w:sz w:val="24"/>
                <w:szCs w:val="24"/>
              </w:rPr>
              <w:t>港股和</w:t>
            </w:r>
            <w:r>
              <w:rPr>
                <w:rFonts w:hint="eastAsia" w:ascii="宋体" w:hAnsi="宋体" w:eastAsia="宋体" w:cs="宋体"/>
                <w:sz w:val="24"/>
                <w:szCs w:val="24"/>
              </w:rPr>
              <w:t xml:space="preserve"> ETF </w:t>
            </w:r>
            <w:r>
              <w:rPr>
                <w:rFonts w:hint="eastAsia" w:ascii="宋体" w:hAnsi="宋体" w:eastAsia="宋体" w:cs="宋体"/>
                <w:sz w:val="24"/>
                <w:szCs w:val="24"/>
              </w:rPr>
              <w:t>的</w:t>
            </w:r>
            <w:r>
              <w:rPr>
                <w:rFonts w:hint="eastAsia" w:ascii="宋体" w:hAnsi="宋体" w:eastAsia="宋体" w:cs="宋体"/>
                <w:sz w:val="24"/>
                <w:szCs w:val="24"/>
              </w:rPr>
              <w:t xml:space="preserve"> </w:t>
            </w:r>
            <w:r>
              <w:rPr>
                <w:rStyle w:val="48"/>
                <w:rFonts w:hint="eastAsia" w:ascii="宋体" w:hAnsi="宋体" w:eastAsia="宋体" w:cs="宋体"/>
                <w:sz w:val="24"/>
                <w:szCs w:val="24"/>
              </w:rPr>
              <w:t>adj_factor</w:t>
            </w:r>
            <w:r>
              <w:rPr>
                <w:rFonts w:hint="eastAsia" w:ascii="宋体" w:hAnsi="宋体" w:eastAsia="宋体" w:cs="宋体"/>
                <w:sz w:val="24"/>
                <w:szCs w:val="24"/>
              </w:rPr>
              <w:t>、</w:t>
            </w:r>
            <w:r>
              <w:rPr>
                <w:rStyle w:val="48"/>
                <w:rFonts w:hint="eastAsia" w:ascii="宋体" w:hAnsi="宋体" w:eastAsia="宋体" w:cs="宋体"/>
                <w:sz w:val="24"/>
                <w:szCs w:val="24"/>
              </w:rPr>
              <w:t>pre_close</w:t>
            </w:r>
            <w:r>
              <w:rPr>
                <w:rFonts w:hint="eastAsia" w:ascii="宋体" w:hAnsi="宋体" w:eastAsia="宋体" w:cs="宋体"/>
                <w:sz w:val="24"/>
                <w:szCs w:val="24"/>
              </w:rPr>
              <w:t>、</w:t>
            </w:r>
            <w:r>
              <w:rPr>
                <w:rStyle w:val="48"/>
                <w:rFonts w:hint="eastAsia" w:ascii="宋体" w:hAnsi="宋体" w:eastAsia="宋体" w:cs="宋体"/>
                <w:sz w:val="24"/>
                <w:szCs w:val="24"/>
              </w:rPr>
              <w:t>change</w:t>
            </w:r>
            <w:r>
              <w:rPr>
                <w:rFonts w:hint="eastAsia" w:ascii="宋体" w:hAnsi="宋体" w:eastAsia="宋体" w:cs="宋体"/>
                <w:sz w:val="24"/>
                <w:szCs w:val="24"/>
              </w:rPr>
              <w:t xml:space="preserve"> </w:t>
            </w:r>
            <w:r>
              <w:rPr>
                <w:rFonts w:hint="eastAsia" w:ascii="宋体" w:hAnsi="宋体" w:eastAsia="宋体" w:cs="宋体"/>
                <w:sz w:val="24"/>
                <w:szCs w:val="24"/>
              </w:rPr>
              <w:t>及全部</w:t>
            </w:r>
            <w:r>
              <w:rPr>
                <w:rFonts w:hint="eastAsia" w:ascii="宋体" w:hAnsi="宋体" w:eastAsia="宋体" w:cs="宋体"/>
                <w:sz w:val="24"/>
                <w:szCs w:val="24"/>
              </w:rPr>
              <w:t xml:space="preserve"> hfq </w:t>
            </w:r>
            <w:r>
              <w:rPr>
                <w:rFonts w:hint="eastAsia" w:ascii="宋体" w:hAnsi="宋体" w:eastAsia="宋体" w:cs="宋体"/>
                <w:sz w:val="24"/>
                <w:szCs w:val="24"/>
              </w:rPr>
              <w:t>列为</w:t>
            </w:r>
            <w:r>
              <w:rPr>
                <w:rFonts w:hint="eastAsia" w:ascii="宋体" w:hAnsi="宋体" w:eastAsia="宋体" w:cs="宋体"/>
                <w:sz w:val="24"/>
                <w:szCs w:val="24"/>
              </w:rPr>
              <w:t xml:space="preserve"> </w:t>
            </w:r>
            <w:r>
              <w:rPr>
                <w:rFonts w:hint="eastAsia" w:ascii="宋体" w:hAnsi="宋体" w:eastAsia="宋体" w:cs="宋体"/>
                <w:sz w:val="24"/>
                <w:szCs w:val="24"/>
              </w:rPr>
              <w:t>NaN（共</w:t>
            </w:r>
            <w:r>
              <w:rPr>
                <w:rFonts w:hint="eastAsia" w:ascii="宋体" w:hAnsi="宋体" w:eastAsia="宋体" w:cs="宋体"/>
                <w:sz w:val="24"/>
                <w:szCs w:val="24"/>
              </w:rPr>
              <w:t xml:space="preserve"> 1,468 </w:t>
            </w:r>
            <w:r>
              <w:rPr>
                <w:rFonts w:hint="eastAsia" w:ascii="宋体" w:hAnsi="宋体" w:eastAsia="宋体" w:cs="宋体"/>
                <w:sz w:val="24"/>
                <w:szCs w:val="24"/>
              </w:rPr>
              <w:t>行，占</w:t>
            </w:r>
            <w:r>
              <w:rPr>
                <w:rFonts w:hint="eastAsia" w:ascii="宋体" w:hAnsi="宋体" w:eastAsia="宋体" w:cs="宋体"/>
                <w:sz w:val="24"/>
                <w:szCs w:val="24"/>
              </w:rPr>
              <w:t xml:space="preserve"> </w:t>
            </w:r>
            <w:r>
              <w:rPr>
                <w:rFonts w:hint="eastAsia" w:ascii="宋体" w:hAnsi="宋体" w:eastAsia="宋体" w:cs="宋体"/>
                <w:sz w:val="24"/>
                <w:szCs w:val="24"/>
              </w:rPr>
              <w:t>15.1%），策略不受影响</w:t>
            </w:r>
          </w:p>
        </w:tc>
      </w:tr>
      <w:tr w14:paraId="1A00C60C">
        <w:tc>
          <w:p w14:paraId="1096582D">
            <w:pPr>
              <w:pStyle w:val="24"/>
              <w:jc w:val="left"/>
              <w:rPr>
                <w:rFonts w:hint="eastAsia" w:ascii="宋体" w:hAnsi="宋体" w:eastAsia="宋体" w:cs="宋体"/>
                <w:sz w:val="24"/>
                <w:szCs w:val="24"/>
              </w:rPr>
            </w:pPr>
            <w:r>
              <w:rPr>
                <w:rFonts w:hint="eastAsia" w:ascii="宋体" w:hAnsi="宋体" w:eastAsia="宋体" w:cs="宋体"/>
                <w:sz w:val="24"/>
                <w:szCs w:val="24"/>
              </w:rPr>
              <w:t>生成方式</w:t>
            </w:r>
          </w:p>
        </w:tc>
        <w:tc>
          <w:p w14:paraId="02309C0B">
            <w:pPr>
              <w:pStyle w:val="24"/>
              <w:jc w:val="left"/>
              <w:rPr>
                <w:rFonts w:hint="eastAsia" w:ascii="宋体" w:hAnsi="宋体" w:eastAsia="宋体" w:cs="宋体"/>
                <w:sz w:val="24"/>
                <w:szCs w:val="24"/>
              </w:rPr>
            </w:pPr>
            <w:r>
              <w:rPr>
                <w:rStyle w:val="48"/>
                <w:rFonts w:hint="eastAsia" w:ascii="宋体" w:hAnsi="宋体" w:eastAsia="宋体" w:cs="宋体"/>
                <w:sz w:val="24"/>
                <w:szCs w:val="24"/>
              </w:rPr>
              <w:t>analysis.ipynb</w:t>
            </w:r>
            <w:r>
              <w:rPr>
                <w:rFonts w:hint="eastAsia" w:ascii="宋体" w:hAnsi="宋体" w:eastAsia="宋体" w:cs="宋体"/>
                <w:sz w:val="24"/>
                <w:szCs w:val="24"/>
              </w:rPr>
              <w:t xml:space="preserve"> </w:t>
            </w:r>
            <w:r>
              <w:rPr>
                <w:rFonts w:hint="eastAsia" w:ascii="宋体" w:hAnsi="宋体" w:eastAsia="宋体" w:cs="宋体"/>
                <w:sz w:val="24"/>
                <w:szCs w:val="24"/>
              </w:rPr>
              <w:t>第一步生成并导出</w:t>
            </w:r>
          </w:p>
        </w:tc>
      </w:tr>
      <w:bookmarkEnd w:id="42"/>
    </w:tbl>
    <w:p w14:paraId="5DCD1CC9">
      <w:pPr>
        <w:pStyle w:val="5"/>
        <w:rPr>
          <w:rFonts w:hint="eastAsia" w:ascii="宋体" w:hAnsi="宋体" w:eastAsia="宋体" w:cs="宋体"/>
          <w:sz w:val="24"/>
          <w:szCs w:val="24"/>
        </w:rPr>
      </w:pPr>
      <w:bookmarkStart w:id="43" w:name="monthly_selection.csv-月度选股调仓表"/>
      <w:r>
        <w:rPr>
          <w:rFonts w:hint="eastAsia" w:ascii="宋体" w:hAnsi="宋体" w:eastAsia="宋体" w:cs="宋体"/>
          <w:sz w:val="24"/>
          <w:szCs w:val="24"/>
        </w:rPr>
        <w:t xml:space="preserve">monthly_selection.csv — </w:t>
      </w:r>
      <w:r>
        <w:rPr>
          <w:rFonts w:hint="eastAsia" w:ascii="宋体" w:hAnsi="宋体" w:eastAsia="宋体" w:cs="宋体"/>
          <w:sz w:val="24"/>
          <w:szCs w:val="24"/>
        </w:rPr>
        <w:t>月度选股调仓表</w:t>
      </w:r>
    </w:p>
    <w:tbl>
      <w:tblPr>
        <w:tblStyle w:val="41"/>
        <w:tblW w:w="0" w:type="auto"/>
        <w:tblInd w:w="0" w:type="dxa"/>
        <w:tblLayout w:type="autofit"/>
        <w:tblCellMar>
          <w:top w:w="0" w:type="dxa"/>
          <w:left w:w="108" w:type="dxa"/>
          <w:bottom w:w="0" w:type="dxa"/>
          <w:right w:w="108" w:type="dxa"/>
        </w:tblCellMar>
      </w:tblPr>
      <w:tblGrid>
        <w:gridCol w:w="1176"/>
        <w:gridCol w:w="4896"/>
      </w:tblGrid>
      <w:tr w14:paraId="01DAF8A4">
        <w:trPr>
          <w:tblHeader/>
        </w:trPr>
        <w:tc>
          <w:p w14:paraId="6911B176">
            <w:pPr>
              <w:pStyle w:val="24"/>
              <w:jc w:val="left"/>
              <w:rPr>
                <w:rFonts w:hint="eastAsia" w:ascii="宋体" w:hAnsi="宋体" w:eastAsia="宋体" w:cs="宋体"/>
                <w:sz w:val="24"/>
                <w:szCs w:val="24"/>
              </w:rPr>
            </w:pPr>
            <w:r>
              <w:rPr>
                <w:rFonts w:hint="eastAsia" w:ascii="宋体" w:hAnsi="宋体" w:eastAsia="宋体" w:cs="宋体"/>
                <w:sz w:val="24"/>
                <w:szCs w:val="24"/>
              </w:rPr>
              <w:t>项目</w:t>
            </w:r>
          </w:p>
        </w:tc>
        <w:tc>
          <w:p w14:paraId="10628D1E">
            <w:pPr>
              <w:pStyle w:val="24"/>
              <w:jc w:val="left"/>
              <w:rPr>
                <w:rFonts w:hint="eastAsia" w:ascii="宋体" w:hAnsi="宋体" w:eastAsia="宋体" w:cs="宋体"/>
                <w:sz w:val="24"/>
                <w:szCs w:val="24"/>
              </w:rPr>
            </w:pPr>
            <w:r>
              <w:rPr>
                <w:rFonts w:hint="eastAsia" w:ascii="宋体" w:hAnsi="宋体" w:eastAsia="宋体" w:cs="宋体"/>
                <w:sz w:val="24"/>
                <w:szCs w:val="24"/>
              </w:rPr>
              <w:t>说明</w:t>
            </w:r>
          </w:p>
        </w:tc>
      </w:tr>
      <w:tr w14:paraId="444E0178">
        <w:tc>
          <w:p w14:paraId="4AE3D3E9">
            <w:pPr>
              <w:pStyle w:val="24"/>
              <w:jc w:val="left"/>
              <w:rPr>
                <w:rFonts w:hint="eastAsia" w:ascii="宋体" w:hAnsi="宋体" w:eastAsia="宋体" w:cs="宋体"/>
                <w:sz w:val="24"/>
                <w:szCs w:val="24"/>
              </w:rPr>
            </w:pPr>
            <w:r>
              <w:rPr>
                <w:rFonts w:hint="eastAsia" w:ascii="宋体" w:hAnsi="宋体" w:eastAsia="宋体" w:cs="宋体"/>
                <w:sz w:val="24"/>
                <w:szCs w:val="24"/>
              </w:rPr>
              <w:t>文件名</w:t>
            </w:r>
          </w:p>
        </w:tc>
        <w:tc>
          <w:p w14:paraId="6882A2FC">
            <w:pPr>
              <w:pStyle w:val="24"/>
              <w:jc w:val="left"/>
              <w:rPr>
                <w:rFonts w:hint="eastAsia" w:ascii="宋体" w:hAnsi="宋体" w:eastAsia="宋体" w:cs="宋体"/>
                <w:sz w:val="24"/>
                <w:szCs w:val="24"/>
              </w:rPr>
            </w:pPr>
            <w:r>
              <w:rPr>
                <w:rStyle w:val="48"/>
                <w:rFonts w:hint="eastAsia" w:ascii="宋体" w:hAnsi="宋体" w:eastAsia="宋体" w:cs="宋体"/>
                <w:sz w:val="24"/>
                <w:szCs w:val="24"/>
              </w:rPr>
              <w:t>monthly_selection.csv</w:t>
            </w:r>
          </w:p>
        </w:tc>
      </w:tr>
      <w:tr w14:paraId="366A8A74">
        <w:tc>
          <w:p w14:paraId="20FBDCDA">
            <w:pPr>
              <w:pStyle w:val="24"/>
              <w:jc w:val="left"/>
              <w:rPr>
                <w:rFonts w:hint="eastAsia" w:ascii="宋体" w:hAnsi="宋体" w:eastAsia="宋体" w:cs="宋体"/>
                <w:sz w:val="24"/>
                <w:szCs w:val="24"/>
              </w:rPr>
            </w:pPr>
            <w:r>
              <w:rPr>
                <w:rFonts w:hint="eastAsia" w:ascii="宋体" w:hAnsi="宋体" w:eastAsia="宋体" w:cs="宋体"/>
                <w:sz w:val="24"/>
                <w:szCs w:val="24"/>
              </w:rPr>
              <w:t>记录数</w:t>
            </w:r>
          </w:p>
        </w:tc>
        <w:tc>
          <w:p w14:paraId="147A39C9">
            <w:pPr>
              <w:pStyle w:val="24"/>
              <w:jc w:val="left"/>
              <w:rPr>
                <w:rFonts w:hint="eastAsia" w:ascii="宋体" w:hAnsi="宋体" w:eastAsia="宋体" w:cs="宋体"/>
                <w:sz w:val="24"/>
                <w:szCs w:val="24"/>
              </w:rPr>
            </w:pPr>
            <w:r>
              <w:rPr>
                <w:rFonts w:hint="eastAsia" w:ascii="宋体" w:hAnsi="宋体" w:eastAsia="宋体" w:cs="宋体"/>
                <w:sz w:val="24"/>
                <w:szCs w:val="24"/>
              </w:rPr>
              <w:t xml:space="preserve">95 </w:t>
            </w:r>
            <w:r>
              <w:rPr>
                <w:rFonts w:hint="eastAsia" w:ascii="宋体" w:hAnsi="宋体" w:eastAsia="宋体" w:cs="宋体"/>
                <w:sz w:val="24"/>
                <w:szCs w:val="24"/>
              </w:rPr>
              <w:t>行（19</w:t>
            </w:r>
            <w:r>
              <w:rPr>
                <w:rFonts w:hint="eastAsia" w:ascii="宋体" w:hAnsi="宋体" w:eastAsia="宋体" w:cs="宋体"/>
                <w:sz w:val="24"/>
                <w:szCs w:val="24"/>
              </w:rPr>
              <w:t xml:space="preserve"> </w:t>
            </w:r>
            <w:r>
              <w:rPr>
                <w:rFonts w:hint="eastAsia" w:ascii="宋体" w:hAnsi="宋体" w:eastAsia="宋体" w:cs="宋体"/>
                <w:sz w:val="24"/>
                <w:szCs w:val="24"/>
              </w:rPr>
              <w:t>个调仓月</w:t>
            </w:r>
            <w:r>
              <w:rPr>
                <w:rFonts w:hint="eastAsia" w:ascii="宋体" w:hAnsi="宋体" w:eastAsia="宋体" w:cs="宋体"/>
                <w:sz w:val="24"/>
                <w:szCs w:val="24"/>
              </w:rPr>
              <w:t xml:space="preserve"> × </w:t>
            </w:r>
            <w:r>
              <w:rPr>
                <w:rFonts w:hint="eastAsia" w:ascii="宋体" w:hAnsi="宋体" w:eastAsia="宋体" w:cs="宋体"/>
                <w:sz w:val="24"/>
                <w:szCs w:val="24"/>
              </w:rPr>
              <w:t>每月</w:t>
            </w:r>
            <w:r>
              <w:rPr>
                <w:rFonts w:hint="eastAsia" w:ascii="宋体" w:hAnsi="宋体" w:eastAsia="宋体" w:cs="宋体"/>
                <w:sz w:val="24"/>
                <w:szCs w:val="24"/>
              </w:rPr>
              <w:t xml:space="preserve"> 5 </w:t>
            </w:r>
            <w:r>
              <w:rPr>
                <w:rFonts w:hint="eastAsia" w:ascii="宋体" w:hAnsi="宋体" w:eastAsia="宋体" w:cs="宋体"/>
                <w:sz w:val="24"/>
                <w:szCs w:val="24"/>
              </w:rPr>
              <w:t>只）</w:t>
            </w:r>
          </w:p>
        </w:tc>
      </w:tr>
      <w:tr w14:paraId="19A3A5F4">
        <w:tc>
          <w:p w14:paraId="57D92DD1">
            <w:pPr>
              <w:pStyle w:val="24"/>
              <w:jc w:val="left"/>
              <w:rPr>
                <w:rFonts w:hint="eastAsia" w:ascii="宋体" w:hAnsi="宋体" w:eastAsia="宋体" w:cs="宋体"/>
                <w:sz w:val="24"/>
                <w:szCs w:val="24"/>
              </w:rPr>
            </w:pPr>
            <w:r>
              <w:rPr>
                <w:rFonts w:hint="eastAsia" w:ascii="宋体" w:hAnsi="宋体" w:eastAsia="宋体" w:cs="宋体"/>
                <w:sz w:val="24"/>
                <w:szCs w:val="24"/>
              </w:rPr>
              <w:t>列数</w:t>
            </w:r>
          </w:p>
        </w:tc>
        <w:tc>
          <w:p w14:paraId="575645B2">
            <w:pPr>
              <w:pStyle w:val="24"/>
              <w:jc w:val="left"/>
              <w:rPr>
                <w:rFonts w:hint="eastAsia" w:ascii="宋体" w:hAnsi="宋体" w:eastAsia="宋体" w:cs="宋体"/>
                <w:sz w:val="24"/>
                <w:szCs w:val="24"/>
              </w:rPr>
            </w:pPr>
            <w:r>
              <w:rPr>
                <w:rFonts w:hint="eastAsia" w:ascii="宋体" w:hAnsi="宋体" w:eastAsia="宋体" w:cs="宋体"/>
                <w:sz w:val="24"/>
                <w:szCs w:val="24"/>
              </w:rPr>
              <w:t xml:space="preserve">14 </w:t>
            </w:r>
            <w:r>
              <w:rPr>
                <w:rFonts w:hint="eastAsia" w:ascii="宋体" w:hAnsi="宋体" w:eastAsia="宋体" w:cs="宋体"/>
                <w:sz w:val="24"/>
                <w:szCs w:val="24"/>
              </w:rPr>
              <w:t>列</w:t>
            </w:r>
          </w:p>
        </w:tc>
      </w:tr>
      <w:tr w14:paraId="5290970A">
        <w:tc>
          <w:p w14:paraId="38FFE1A4">
            <w:pPr>
              <w:pStyle w:val="24"/>
              <w:jc w:val="left"/>
              <w:rPr>
                <w:rFonts w:hint="eastAsia" w:ascii="宋体" w:hAnsi="宋体" w:eastAsia="宋体" w:cs="宋体"/>
                <w:sz w:val="24"/>
                <w:szCs w:val="24"/>
              </w:rPr>
            </w:pPr>
            <w:r>
              <w:rPr>
                <w:rFonts w:hint="eastAsia" w:ascii="宋体" w:hAnsi="宋体" w:eastAsia="宋体" w:cs="宋体"/>
                <w:sz w:val="24"/>
                <w:szCs w:val="24"/>
              </w:rPr>
              <w:t>时间范围</w:t>
            </w:r>
          </w:p>
        </w:tc>
        <w:tc>
          <w:p w14:paraId="1EAAA032">
            <w:pPr>
              <w:pStyle w:val="24"/>
              <w:jc w:val="left"/>
              <w:rPr>
                <w:rFonts w:hint="eastAsia" w:ascii="宋体" w:hAnsi="宋体" w:eastAsia="宋体" w:cs="宋体"/>
                <w:sz w:val="24"/>
                <w:szCs w:val="24"/>
              </w:rPr>
            </w:pPr>
            <w:r>
              <w:rPr>
                <w:rFonts w:hint="eastAsia" w:ascii="宋体" w:hAnsi="宋体" w:eastAsia="宋体" w:cs="宋体"/>
                <w:sz w:val="24"/>
                <w:szCs w:val="24"/>
              </w:rPr>
              <w:t xml:space="preserve">2025-01-27 </w:t>
            </w:r>
            <w:r>
              <w:rPr>
                <w:rFonts w:hint="eastAsia" w:ascii="宋体" w:hAnsi="宋体" w:eastAsia="宋体" w:cs="宋体"/>
                <w:sz w:val="24"/>
                <w:szCs w:val="24"/>
              </w:rPr>
              <w:t>至</w:t>
            </w:r>
            <w:r>
              <w:rPr>
                <w:rFonts w:hint="eastAsia" w:ascii="宋体" w:hAnsi="宋体" w:eastAsia="宋体" w:cs="宋体"/>
                <w:sz w:val="24"/>
                <w:szCs w:val="24"/>
              </w:rPr>
              <w:t xml:space="preserve"> </w:t>
            </w:r>
            <w:r>
              <w:rPr>
                <w:rFonts w:hint="eastAsia" w:ascii="宋体" w:hAnsi="宋体" w:eastAsia="宋体" w:cs="宋体"/>
                <w:sz w:val="24"/>
                <w:szCs w:val="24"/>
              </w:rPr>
              <w:t>2026-07-21（19</w:t>
            </w:r>
            <w:r>
              <w:rPr>
                <w:rFonts w:hint="eastAsia" w:ascii="宋体" w:hAnsi="宋体" w:eastAsia="宋体" w:cs="宋体"/>
                <w:sz w:val="24"/>
                <w:szCs w:val="24"/>
              </w:rPr>
              <w:t xml:space="preserve"> </w:t>
            </w:r>
            <w:r>
              <w:rPr>
                <w:rFonts w:hint="eastAsia" w:ascii="宋体" w:hAnsi="宋体" w:eastAsia="宋体" w:cs="宋体"/>
                <w:sz w:val="24"/>
                <w:szCs w:val="24"/>
              </w:rPr>
              <w:t>个调仓月）</w:t>
            </w:r>
          </w:p>
        </w:tc>
      </w:tr>
      <w:tr w14:paraId="11C82C88">
        <w:tc>
          <w:p w14:paraId="0026BF1E">
            <w:pPr>
              <w:pStyle w:val="24"/>
              <w:jc w:val="left"/>
              <w:rPr>
                <w:rFonts w:hint="eastAsia" w:ascii="宋体" w:hAnsi="宋体" w:eastAsia="宋体" w:cs="宋体"/>
                <w:sz w:val="24"/>
                <w:szCs w:val="24"/>
              </w:rPr>
            </w:pPr>
            <w:r>
              <w:rPr>
                <w:rFonts w:hint="eastAsia" w:ascii="宋体" w:hAnsi="宋体" w:eastAsia="宋体" w:cs="宋体"/>
                <w:sz w:val="24"/>
                <w:szCs w:val="24"/>
              </w:rPr>
              <w:t>编码</w:t>
            </w:r>
          </w:p>
        </w:tc>
        <w:tc>
          <w:p w14:paraId="703A385D">
            <w:pPr>
              <w:pStyle w:val="24"/>
              <w:jc w:val="left"/>
              <w:rPr>
                <w:rFonts w:hint="eastAsia" w:ascii="宋体" w:hAnsi="宋体" w:eastAsia="宋体" w:cs="宋体"/>
                <w:sz w:val="24"/>
                <w:szCs w:val="24"/>
              </w:rPr>
            </w:pPr>
            <w:r>
              <w:rPr>
                <w:rFonts w:hint="eastAsia" w:ascii="宋体" w:hAnsi="宋体" w:eastAsia="宋体" w:cs="宋体"/>
                <w:sz w:val="24"/>
                <w:szCs w:val="24"/>
              </w:rPr>
              <w:t xml:space="preserve">UTF-8 with </w:t>
            </w:r>
            <w:r>
              <w:rPr>
                <w:rFonts w:hint="eastAsia" w:ascii="宋体" w:hAnsi="宋体" w:eastAsia="宋体" w:cs="宋体"/>
                <w:sz w:val="24"/>
                <w:szCs w:val="24"/>
              </w:rPr>
              <w:t>BOM（utf-8-sig）</w:t>
            </w:r>
          </w:p>
        </w:tc>
      </w:tr>
      <w:tr w14:paraId="7927EAB9">
        <w:tc>
          <w:p w14:paraId="693F543B">
            <w:pPr>
              <w:pStyle w:val="24"/>
              <w:jc w:val="left"/>
              <w:rPr>
                <w:rFonts w:hint="eastAsia" w:ascii="宋体" w:hAnsi="宋体" w:eastAsia="宋体" w:cs="宋体"/>
                <w:sz w:val="24"/>
                <w:szCs w:val="24"/>
              </w:rPr>
            </w:pPr>
            <w:r>
              <w:rPr>
                <w:rFonts w:hint="eastAsia" w:ascii="宋体" w:hAnsi="宋体" w:eastAsia="宋体" w:cs="宋体"/>
                <w:sz w:val="24"/>
                <w:szCs w:val="24"/>
              </w:rPr>
              <w:t>生成方式</w:t>
            </w:r>
          </w:p>
        </w:tc>
        <w:tc>
          <w:p w14:paraId="700FB01F">
            <w:pPr>
              <w:pStyle w:val="24"/>
              <w:jc w:val="left"/>
              <w:rPr>
                <w:rFonts w:hint="eastAsia" w:ascii="宋体" w:hAnsi="宋体" w:eastAsia="宋体" w:cs="宋体"/>
                <w:sz w:val="24"/>
                <w:szCs w:val="24"/>
              </w:rPr>
            </w:pPr>
            <w:r>
              <w:rPr>
                <w:rStyle w:val="48"/>
                <w:rFonts w:hint="eastAsia" w:ascii="宋体" w:hAnsi="宋体" w:eastAsia="宋体" w:cs="宋体"/>
                <w:sz w:val="24"/>
                <w:szCs w:val="24"/>
              </w:rPr>
              <w:t>analysis.ipynb</w:t>
            </w:r>
            <w:r>
              <w:rPr>
                <w:rFonts w:hint="eastAsia" w:ascii="宋体" w:hAnsi="宋体" w:eastAsia="宋体" w:cs="宋体"/>
                <w:sz w:val="24"/>
                <w:szCs w:val="24"/>
              </w:rPr>
              <w:t xml:space="preserve"> </w:t>
            </w:r>
            <w:r>
              <w:rPr>
                <w:rFonts w:hint="eastAsia" w:ascii="宋体" w:hAnsi="宋体" w:eastAsia="宋体" w:cs="宋体"/>
                <w:sz w:val="24"/>
                <w:szCs w:val="24"/>
              </w:rPr>
              <w:t>第三步生成并导出</w:t>
            </w:r>
          </w:p>
        </w:tc>
      </w:tr>
    </w:tbl>
    <w:p w14:paraId="5BC84439">
      <w:pPr>
        <w:pStyle w:val="3"/>
        <w:rPr>
          <w:rFonts w:hint="eastAsia" w:ascii="宋体" w:hAnsi="宋体" w:eastAsia="宋体" w:cs="宋体"/>
          <w:sz w:val="24"/>
          <w:szCs w:val="24"/>
        </w:rPr>
      </w:pPr>
      <w:r>
        <w:rPr>
          <w:rFonts w:hint="eastAsia" w:ascii="宋体" w:hAnsi="宋体" w:eastAsia="宋体" w:cs="宋体"/>
          <w:sz w:val="24"/>
          <w:szCs w:val="24"/>
        </w:rPr>
        <w:t>字段说明：</w:t>
      </w:r>
    </w:p>
    <w:tbl>
      <w:tblPr>
        <w:tblStyle w:val="41"/>
        <w:tblW w:w="0" w:type="auto"/>
        <w:tblInd w:w="0" w:type="dxa"/>
        <w:tblLayout w:type="autofit"/>
        <w:tblCellMar>
          <w:top w:w="0" w:type="dxa"/>
          <w:left w:w="108" w:type="dxa"/>
          <w:bottom w:w="0" w:type="dxa"/>
          <w:right w:w="108" w:type="dxa"/>
        </w:tblCellMar>
      </w:tblPr>
      <w:tblGrid>
        <w:gridCol w:w="1296"/>
        <w:gridCol w:w="1842"/>
        <w:gridCol w:w="5718"/>
      </w:tblGrid>
      <w:tr w14:paraId="540A15F5">
        <w:trPr>
          <w:tblHeader/>
        </w:trPr>
        <w:tc>
          <w:p w14:paraId="7D7D78A1">
            <w:pPr>
              <w:pStyle w:val="24"/>
              <w:jc w:val="left"/>
              <w:rPr>
                <w:rFonts w:hint="eastAsia" w:ascii="宋体" w:hAnsi="宋体" w:eastAsia="宋体" w:cs="宋体"/>
                <w:sz w:val="24"/>
                <w:szCs w:val="24"/>
              </w:rPr>
            </w:pPr>
            <w:r>
              <w:rPr>
                <w:rFonts w:hint="eastAsia" w:ascii="宋体" w:hAnsi="宋体" w:eastAsia="宋体" w:cs="宋体"/>
                <w:sz w:val="24"/>
                <w:szCs w:val="24"/>
              </w:rPr>
              <w:t>字段名</w:t>
            </w:r>
          </w:p>
        </w:tc>
        <w:tc>
          <w:p w14:paraId="3E7DD624">
            <w:pPr>
              <w:pStyle w:val="24"/>
              <w:jc w:val="left"/>
              <w:rPr>
                <w:rFonts w:hint="eastAsia" w:ascii="宋体" w:hAnsi="宋体" w:eastAsia="宋体" w:cs="宋体"/>
                <w:sz w:val="24"/>
                <w:szCs w:val="24"/>
              </w:rPr>
            </w:pPr>
            <w:r>
              <w:rPr>
                <w:rFonts w:hint="eastAsia" w:ascii="宋体" w:hAnsi="宋体" w:eastAsia="宋体" w:cs="宋体"/>
                <w:sz w:val="24"/>
                <w:szCs w:val="24"/>
              </w:rPr>
              <w:t>含义</w:t>
            </w:r>
          </w:p>
        </w:tc>
        <w:tc>
          <w:p w14:paraId="5A37753C">
            <w:pPr>
              <w:pStyle w:val="24"/>
              <w:jc w:val="left"/>
              <w:rPr>
                <w:rFonts w:hint="eastAsia" w:ascii="宋体" w:hAnsi="宋体" w:eastAsia="宋体" w:cs="宋体"/>
                <w:sz w:val="24"/>
                <w:szCs w:val="24"/>
              </w:rPr>
            </w:pPr>
            <w:r>
              <w:rPr>
                <w:rFonts w:hint="eastAsia" w:ascii="宋体" w:hAnsi="宋体" w:eastAsia="宋体" w:cs="宋体"/>
                <w:sz w:val="24"/>
                <w:szCs w:val="24"/>
              </w:rPr>
              <w:t>备注</w:t>
            </w:r>
          </w:p>
        </w:tc>
      </w:tr>
      <w:tr w14:paraId="1AC5AADD">
        <w:tc>
          <w:p w14:paraId="752208ED">
            <w:pPr>
              <w:pStyle w:val="24"/>
              <w:jc w:val="left"/>
              <w:rPr>
                <w:rFonts w:hint="eastAsia" w:ascii="宋体" w:hAnsi="宋体" w:eastAsia="宋体" w:cs="宋体"/>
                <w:sz w:val="24"/>
                <w:szCs w:val="24"/>
              </w:rPr>
            </w:pPr>
            <w:r>
              <w:rPr>
                <w:rFonts w:hint="eastAsia" w:ascii="宋体" w:hAnsi="宋体" w:eastAsia="宋体" w:cs="宋体"/>
                <w:sz w:val="24"/>
                <w:szCs w:val="24"/>
              </w:rPr>
              <w:t>date</w:t>
            </w:r>
          </w:p>
        </w:tc>
        <w:tc>
          <w:p w14:paraId="636589CE">
            <w:pPr>
              <w:pStyle w:val="24"/>
              <w:jc w:val="left"/>
              <w:rPr>
                <w:rFonts w:hint="eastAsia" w:ascii="宋体" w:hAnsi="宋体" w:eastAsia="宋体" w:cs="宋体"/>
                <w:sz w:val="24"/>
                <w:szCs w:val="24"/>
              </w:rPr>
            </w:pPr>
            <w:r>
              <w:rPr>
                <w:rFonts w:hint="eastAsia" w:ascii="宋体" w:hAnsi="宋体" w:eastAsia="宋体" w:cs="宋体"/>
                <w:sz w:val="24"/>
                <w:szCs w:val="24"/>
              </w:rPr>
              <w:t>调仓日期</w:t>
            </w:r>
          </w:p>
        </w:tc>
        <w:tc>
          <w:p w14:paraId="7C73CBE2">
            <w:pPr>
              <w:pStyle w:val="24"/>
              <w:jc w:val="left"/>
              <w:rPr>
                <w:rFonts w:hint="eastAsia" w:ascii="宋体" w:hAnsi="宋体" w:eastAsia="宋体" w:cs="宋体"/>
                <w:sz w:val="24"/>
                <w:szCs w:val="24"/>
              </w:rPr>
            </w:pPr>
            <w:r>
              <w:rPr>
                <w:rFonts w:hint="eastAsia" w:ascii="宋体" w:hAnsi="宋体" w:eastAsia="宋体" w:cs="宋体"/>
                <w:sz w:val="24"/>
                <w:szCs w:val="24"/>
              </w:rPr>
              <w:t>每月最后一个所有股票共有的交易日</w:t>
            </w:r>
          </w:p>
        </w:tc>
      </w:tr>
      <w:tr w14:paraId="73703631">
        <w:tc>
          <w:p w14:paraId="1E9F48AE">
            <w:pPr>
              <w:pStyle w:val="24"/>
              <w:jc w:val="left"/>
              <w:rPr>
                <w:rFonts w:hint="eastAsia" w:ascii="宋体" w:hAnsi="宋体" w:eastAsia="宋体" w:cs="宋体"/>
                <w:sz w:val="24"/>
                <w:szCs w:val="24"/>
              </w:rPr>
            </w:pPr>
            <w:r>
              <w:rPr>
                <w:rFonts w:hint="eastAsia" w:ascii="宋体" w:hAnsi="宋体" w:eastAsia="宋体" w:cs="宋体"/>
                <w:sz w:val="24"/>
                <w:szCs w:val="24"/>
              </w:rPr>
              <w:t>code</w:t>
            </w:r>
          </w:p>
        </w:tc>
        <w:tc>
          <w:p w14:paraId="4961A544">
            <w:pPr>
              <w:pStyle w:val="24"/>
              <w:jc w:val="left"/>
              <w:rPr>
                <w:rFonts w:hint="eastAsia" w:ascii="宋体" w:hAnsi="宋体" w:eastAsia="宋体" w:cs="宋体"/>
                <w:sz w:val="24"/>
                <w:szCs w:val="24"/>
              </w:rPr>
            </w:pPr>
            <w:r>
              <w:rPr>
                <w:rFonts w:hint="eastAsia" w:ascii="宋体" w:hAnsi="宋体" w:eastAsia="宋体" w:cs="宋体"/>
                <w:sz w:val="24"/>
                <w:szCs w:val="24"/>
              </w:rPr>
              <w:t>股票代码</w:t>
            </w:r>
          </w:p>
        </w:tc>
        <w:tc>
          <w:p w14:paraId="69E2D9CC">
            <w:pPr>
              <w:pStyle w:val="24"/>
              <w:jc w:val="left"/>
              <w:rPr>
                <w:rFonts w:hint="eastAsia" w:ascii="宋体" w:hAnsi="宋体" w:eastAsia="宋体" w:cs="宋体"/>
                <w:sz w:val="24"/>
                <w:szCs w:val="24"/>
              </w:rPr>
            </w:pPr>
            <w:r>
              <w:rPr>
                <w:rFonts w:hint="eastAsia" w:ascii="宋体" w:hAnsi="宋体" w:eastAsia="宋体" w:cs="宋体"/>
                <w:sz w:val="24"/>
                <w:szCs w:val="24"/>
              </w:rPr>
              <w:t>格式</w:t>
            </w:r>
            <w:r>
              <w:rPr>
                <w:rFonts w:hint="eastAsia" w:ascii="宋体" w:hAnsi="宋体" w:eastAsia="宋体" w:cs="宋体"/>
                <w:sz w:val="24"/>
                <w:szCs w:val="24"/>
              </w:rPr>
              <w:t xml:space="preserve"> </w:t>
            </w:r>
            <w:r>
              <w:rPr>
                <w:rStyle w:val="48"/>
                <w:rFonts w:hint="eastAsia" w:ascii="宋体" w:hAnsi="宋体" w:eastAsia="宋体" w:cs="宋体"/>
                <w:sz w:val="24"/>
                <w:szCs w:val="24"/>
              </w:rPr>
              <w:t>001309.SZ</w:t>
            </w:r>
            <w:r>
              <w:rPr>
                <w:rFonts w:hint="eastAsia" w:ascii="宋体" w:hAnsi="宋体" w:eastAsia="宋体" w:cs="宋体"/>
                <w:sz w:val="24"/>
                <w:szCs w:val="24"/>
              </w:rPr>
              <w:t xml:space="preserve"> / </w:t>
            </w:r>
            <w:r>
              <w:rPr>
                <w:rStyle w:val="48"/>
                <w:rFonts w:hint="eastAsia" w:ascii="宋体" w:hAnsi="宋体" w:eastAsia="宋体" w:cs="宋体"/>
                <w:sz w:val="24"/>
                <w:szCs w:val="24"/>
              </w:rPr>
              <w:t>00700.HK</w:t>
            </w:r>
          </w:p>
        </w:tc>
      </w:tr>
      <w:tr w14:paraId="37C71C10">
        <w:tc>
          <w:p w14:paraId="638DEFCA">
            <w:pPr>
              <w:pStyle w:val="24"/>
              <w:jc w:val="left"/>
              <w:rPr>
                <w:rFonts w:hint="eastAsia" w:ascii="宋体" w:hAnsi="宋体" w:eastAsia="宋体" w:cs="宋体"/>
                <w:sz w:val="24"/>
                <w:szCs w:val="24"/>
              </w:rPr>
            </w:pPr>
            <w:r>
              <w:rPr>
                <w:rFonts w:hint="eastAsia" w:ascii="宋体" w:hAnsi="宋体" w:eastAsia="宋体" w:cs="宋体"/>
                <w:sz w:val="24"/>
                <w:szCs w:val="24"/>
              </w:rPr>
              <w:t>name</w:t>
            </w:r>
          </w:p>
        </w:tc>
        <w:tc>
          <w:p w14:paraId="5E4DCBC9">
            <w:pPr>
              <w:pStyle w:val="24"/>
              <w:jc w:val="left"/>
              <w:rPr>
                <w:rFonts w:hint="eastAsia" w:ascii="宋体" w:hAnsi="宋体" w:eastAsia="宋体" w:cs="宋体"/>
                <w:sz w:val="24"/>
                <w:szCs w:val="24"/>
              </w:rPr>
            </w:pPr>
            <w:r>
              <w:rPr>
                <w:rFonts w:hint="eastAsia" w:ascii="宋体" w:hAnsi="宋体" w:eastAsia="宋体" w:cs="宋体"/>
                <w:sz w:val="24"/>
                <w:szCs w:val="24"/>
              </w:rPr>
              <w:t>股票名称</w:t>
            </w:r>
          </w:p>
        </w:tc>
        <w:tc>
          <w:p w14:paraId="1F0C982A">
            <w:pPr>
              <w:pStyle w:val="24"/>
              <w:jc w:val="left"/>
              <w:rPr>
                <w:rFonts w:hint="eastAsia" w:ascii="宋体" w:hAnsi="宋体" w:eastAsia="宋体" w:cs="宋体"/>
                <w:sz w:val="24"/>
                <w:szCs w:val="24"/>
              </w:rPr>
            </w:pPr>
            <w:r>
              <w:rPr>
                <w:rFonts w:hint="eastAsia" w:ascii="宋体" w:hAnsi="宋体" w:eastAsia="宋体" w:cs="宋体"/>
                <w:sz w:val="24"/>
                <w:szCs w:val="24"/>
              </w:rPr>
              <w:t>—</w:t>
            </w:r>
          </w:p>
        </w:tc>
      </w:tr>
      <w:tr w14:paraId="4BC2162B">
        <w:tc>
          <w:p w14:paraId="5D71F6A5">
            <w:pPr>
              <w:pStyle w:val="24"/>
              <w:jc w:val="left"/>
              <w:rPr>
                <w:rFonts w:hint="eastAsia" w:ascii="宋体" w:hAnsi="宋体" w:eastAsia="宋体" w:cs="宋体"/>
                <w:sz w:val="24"/>
                <w:szCs w:val="24"/>
              </w:rPr>
            </w:pPr>
            <w:r>
              <w:rPr>
                <w:rFonts w:hint="eastAsia" w:ascii="宋体" w:hAnsi="宋体" w:eastAsia="宋体" w:cs="宋体"/>
                <w:sz w:val="24"/>
                <w:szCs w:val="24"/>
              </w:rPr>
              <w:t>close</w:t>
            </w:r>
          </w:p>
        </w:tc>
        <w:tc>
          <w:p w14:paraId="2EE52406">
            <w:pPr>
              <w:pStyle w:val="24"/>
              <w:jc w:val="left"/>
              <w:rPr>
                <w:rFonts w:hint="eastAsia" w:ascii="宋体" w:hAnsi="宋体" w:eastAsia="宋体" w:cs="宋体"/>
                <w:sz w:val="24"/>
                <w:szCs w:val="24"/>
              </w:rPr>
            </w:pPr>
            <w:r>
              <w:rPr>
                <w:rFonts w:hint="eastAsia" w:ascii="宋体" w:hAnsi="宋体" w:eastAsia="宋体" w:cs="宋体"/>
                <w:sz w:val="24"/>
                <w:szCs w:val="24"/>
              </w:rPr>
              <w:t>前复权收盘价</w:t>
            </w:r>
          </w:p>
        </w:tc>
        <w:tc>
          <w:p w14:paraId="776F2B5F">
            <w:pPr>
              <w:pStyle w:val="24"/>
              <w:jc w:val="left"/>
              <w:rPr>
                <w:rFonts w:hint="eastAsia" w:ascii="宋体" w:hAnsi="宋体" w:eastAsia="宋体" w:cs="宋体"/>
                <w:sz w:val="24"/>
                <w:szCs w:val="24"/>
              </w:rPr>
            </w:pPr>
            <w:r>
              <w:rPr>
                <w:rFonts w:hint="eastAsia" w:ascii="宋体" w:hAnsi="宋体" w:eastAsia="宋体" w:cs="宋体"/>
                <w:sz w:val="24"/>
                <w:szCs w:val="24"/>
              </w:rPr>
              <w:t>元，调仓日收盘价</w:t>
            </w:r>
          </w:p>
        </w:tc>
      </w:tr>
      <w:tr w14:paraId="074717A4">
        <w:tc>
          <w:p w14:paraId="79D942C6">
            <w:pPr>
              <w:pStyle w:val="24"/>
              <w:jc w:val="left"/>
              <w:rPr>
                <w:rFonts w:hint="eastAsia" w:ascii="宋体" w:hAnsi="宋体" w:eastAsia="宋体" w:cs="宋体"/>
                <w:sz w:val="24"/>
                <w:szCs w:val="24"/>
              </w:rPr>
            </w:pPr>
            <w:r>
              <w:rPr>
                <w:rFonts w:hint="eastAsia" w:ascii="宋体" w:hAnsi="宋体" w:eastAsia="宋体" w:cs="宋体"/>
                <w:sz w:val="24"/>
                <w:szCs w:val="24"/>
              </w:rPr>
              <w:t>momentum</w:t>
            </w:r>
          </w:p>
        </w:tc>
        <w:tc>
          <w:p w14:paraId="2544C647">
            <w:pPr>
              <w:pStyle w:val="24"/>
              <w:jc w:val="left"/>
              <w:rPr>
                <w:rFonts w:hint="eastAsia" w:ascii="宋体" w:hAnsi="宋体" w:eastAsia="宋体" w:cs="宋体"/>
                <w:sz w:val="24"/>
                <w:szCs w:val="24"/>
              </w:rPr>
            </w:pPr>
            <w:r>
              <w:rPr>
                <w:rFonts w:hint="eastAsia" w:ascii="宋体" w:hAnsi="宋体" w:eastAsia="宋体" w:cs="宋体"/>
                <w:sz w:val="24"/>
                <w:szCs w:val="24"/>
              </w:rPr>
              <w:t>60日动量</w:t>
            </w:r>
          </w:p>
        </w:tc>
        <w:tc>
          <w:p w14:paraId="205A07CF">
            <w:pPr>
              <w:pStyle w:val="24"/>
              <w:jc w:val="left"/>
              <w:rPr>
                <w:rFonts w:hint="eastAsia" w:ascii="宋体" w:hAnsi="宋体" w:eastAsia="宋体" w:cs="宋体"/>
                <w:sz w:val="24"/>
                <w:szCs w:val="24"/>
              </w:rPr>
            </w:pPr>
            <w:r>
              <w:rPr>
                <w:rStyle w:val="48"/>
                <w:rFonts w:hint="eastAsia" w:ascii="宋体" w:hAnsi="宋体" w:eastAsia="宋体" w:cs="宋体"/>
                <w:sz w:val="24"/>
                <w:szCs w:val="24"/>
              </w:rPr>
              <w:t>close_qfq.pct_change(60)</w:t>
            </w:r>
          </w:p>
        </w:tc>
      </w:tr>
      <w:tr w14:paraId="782E122A">
        <w:tc>
          <w:p w14:paraId="18F1DCEC">
            <w:pPr>
              <w:pStyle w:val="24"/>
              <w:jc w:val="left"/>
              <w:rPr>
                <w:rFonts w:hint="eastAsia" w:ascii="宋体" w:hAnsi="宋体" w:eastAsia="宋体" w:cs="宋体"/>
                <w:sz w:val="24"/>
                <w:szCs w:val="24"/>
              </w:rPr>
            </w:pPr>
            <w:r>
              <w:rPr>
                <w:rFonts w:hint="eastAsia" w:ascii="宋体" w:hAnsi="宋体" w:eastAsia="宋体" w:cs="宋体"/>
                <w:sz w:val="24"/>
                <w:szCs w:val="24"/>
              </w:rPr>
              <w:t>pe</w:t>
            </w:r>
          </w:p>
        </w:tc>
        <w:tc>
          <w:p w14:paraId="0AD2F1C4">
            <w:pPr>
              <w:pStyle w:val="24"/>
              <w:jc w:val="left"/>
              <w:rPr>
                <w:rFonts w:hint="eastAsia" w:ascii="宋体" w:hAnsi="宋体" w:eastAsia="宋体" w:cs="宋体"/>
                <w:sz w:val="24"/>
                <w:szCs w:val="24"/>
              </w:rPr>
            </w:pPr>
            <w:r>
              <w:rPr>
                <w:rFonts w:hint="eastAsia" w:ascii="宋体" w:hAnsi="宋体" w:eastAsia="宋体" w:cs="宋体"/>
                <w:sz w:val="24"/>
                <w:szCs w:val="24"/>
              </w:rPr>
              <w:t>市盈率（TTM）</w:t>
            </w:r>
          </w:p>
        </w:tc>
        <w:tc>
          <w:p w14:paraId="15865618">
            <w:pPr>
              <w:pStyle w:val="24"/>
              <w:jc w:val="left"/>
              <w:rPr>
                <w:rFonts w:hint="eastAsia" w:ascii="宋体" w:hAnsi="宋体" w:eastAsia="宋体" w:cs="宋体"/>
                <w:sz w:val="24"/>
                <w:szCs w:val="24"/>
              </w:rPr>
            </w:pPr>
            <w:r>
              <w:rPr>
                <w:rFonts w:hint="eastAsia" w:ascii="宋体" w:hAnsi="宋体" w:eastAsia="宋体" w:cs="宋体"/>
                <w:sz w:val="24"/>
                <w:szCs w:val="24"/>
              </w:rPr>
              <w:t>在线获取，ETF</w:t>
            </w:r>
            <w:r>
              <w:rPr>
                <w:rFonts w:hint="eastAsia" w:ascii="宋体" w:hAnsi="宋体" w:eastAsia="宋体" w:cs="宋体"/>
                <w:sz w:val="24"/>
                <w:szCs w:val="24"/>
              </w:rPr>
              <w:t xml:space="preserve"> </w:t>
            </w:r>
            <w:r>
              <w:rPr>
                <w:rFonts w:hint="eastAsia" w:ascii="宋体" w:hAnsi="宋体" w:eastAsia="宋体" w:cs="宋体"/>
                <w:sz w:val="24"/>
                <w:szCs w:val="24"/>
              </w:rPr>
              <w:t>为</w:t>
            </w:r>
            <w:r>
              <w:rPr>
                <w:rFonts w:hint="eastAsia" w:ascii="宋体" w:hAnsi="宋体" w:eastAsia="宋体" w:cs="宋体"/>
                <w:sz w:val="24"/>
                <w:szCs w:val="24"/>
              </w:rPr>
              <w:t xml:space="preserve"> NaN</w:t>
            </w:r>
          </w:p>
        </w:tc>
      </w:tr>
      <w:tr w14:paraId="3F4B82DE">
        <w:tc>
          <w:p w14:paraId="5BFD3356">
            <w:pPr>
              <w:pStyle w:val="24"/>
              <w:jc w:val="left"/>
              <w:rPr>
                <w:rFonts w:hint="eastAsia" w:ascii="宋体" w:hAnsi="宋体" w:eastAsia="宋体" w:cs="宋体"/>
                <w:sz w:val="24"/>
                <w:szCs w:val="24"/>
              </w:rPr>
            </w:pPr>
            <w:r>
              <w:rPr>
                <w:rFonts w:hint="eastAsia" w:ascii="宋体" w:hAnsi="宋体" w:eastAsia="宋体" w:cs="宋体"/>
                <w:sz w:val="24"/>
                <w:szCs w:val="24"/>
              </w:rPr>
              <w:t>roe</w:t>
            </w:r>
          </w:p>
        </w:tc>
        <w:tc>
          <w:p w14:paraId="621A8AE7">
            <w:pPr>
              <w:pStyle w:val="24"/>
              <w:jc w:val="left"/>
              <w:rPr>
                <w:rFonts w:hint="eastAsia" w:ascii="宋体" w:hAnsi="宋体" w:eastAsia="宋体" w:cs="宋体"/>
                <w:sz w:val="24"/>
                <w:szCs w:val="24"/>
              </w:rPr>
            </w:pPr>
            <w:r>
              <w:rPr>
                <w:rFonts w:hint="eastAsia" w:ascii="宋体" w:hAnsi="宋体" w:eastAsia="宋体" w:cs="宋体"/>
                <w:sz w:val="24"/>
                <w:szCs w:val="24"/>
              </w:rPr>
              <w:t>净资产收益率</w:t>
            </w:r>
          </w:p>
        </w:tc>
        <w:tc>
          <w:p w14:paraId="12C29B0D">
            <w:pPr>
              <w:pStyle w:val="24"/>
              <w:jc w:val="left"/>
              <w:rPr>
                <w:rFonts w:hint="eastAsia" w:ascii="宋体" w:hAnsi="宋体" w:eastAsia="宋体" w:cs="宋体"/>
                <w:sz w:val="24"/>
                <w:szCs w:val="24"/>
              </w:rPr>
            </w:pPr>
            <w:r>
              <w:rPr>
                <w:rFonts w:hint="eastAsia" w:ascii="宋体" w:hAnsi="宋体" w:eastAsia="宋体" w:cs="宋体"/>
                <w:sz w:val="24"/>
                <w:szCs w:val="24"/>
              </w:rPr>
              <w:t>在线获取，ETF</w:t>
            </w:r>
            <w:r>
              <w:rPr>
                <w:rFonts w:hint="eastAsia" w:ascii="宋体" w:hAnsi="宋体" w:eastAsia="宋体" w:cs="宋体"/>
                <w:sz w:val="24"/>
                <w:szCs w:val="24"/>
              </w:rPr>
              <w:t xml:space="preserve"> </w:t>
            </w:r>
            <w:r>
              <w:rPr>
                <w:rFonts w:hint="eastAsia" w:ascii="宋体" w:hAnsi="宋体" w:eastAsia="宋体" w:cs="宋体"/>
                <w:sz w:val="24"/>
                <w:szCs w:val="24"/>
              </w:rPr>
              <w:t>为</w:t>
            </w:r>
            <w:r>
              <w:rPr>
                <w:rFonts w:hint="eastAsia" w:ascii="宋体" w:hAnsi="宋体" w:eastAsia="宋体" w:cs="宋体"/>
                <w:sz w:val="24"/>
                <w:szCs w:val="24"/>
              </w:rPr>
              <w:t xml:space="preserve"> NaN</w:t>
            </w:r>
          </w:p>
        </w:tc>
      </w:tr>
      <w:tr w14:paraId="5B2D44BC">
        <w:tc>
          <w:p w14:paraId="2412AADF">
            <w:pPr>
              <w:pStyle w:val="24"/>
              <w:jc w:val="left"/>
              <w:rPr>
                <w:rFonts w:hint="eastAsia" w:ascii="宋体" w:hAnsi="宋体" w:eastAsia="宋体" w:cs="宋体"/>
                <w:sz w:val="24"/>
                <w:szCs w:val="24"/>
              </w:rPr>
            </w:pPr>
            <w:r>
              <w:rPr>
                <w:rFonts w:hint="eastAsia" w:ascii="宋体" w:hAnsi="宋体" w:eastAsia="宋体" w:cs="宋体"/>
                <w:sz w:val="24"/>
                <w:szCs w:val="24"/>
              </w:rPr>
              <w:t>ma120</w:t>
            </w:r>
          </w:p>
        </w:tc>
        <w:tc>
          <w:p w14:paraId="7FD6F644">
            <w:pPr>
              <w:pStyle w:val="24"/>
              <w:jc w:val="left"/>
              <w:rPr>
                <w:rFonts w:hint="eastAsia" w:ascii="宋体" w:hAnsi="宋体" w:eastAsia="宋体" w:cs="宋体"/>
                <w:sz w:val="24"/>
                <w:szCs w:val="24"/>
              </w:rPr>
            </w:pPr>
            <w:r>
              <w:rPr>
                <w:rFonts w:hint="eastAsia" w:ascii="宋体" w:hAnsi="宋体" w:eastAsia="宋体" w:cs="宋体"/>
                <w:sz w:val="24"/>
                <w:szCs w:val="24"/>
              </w:rPr>
              <w:t>120日均线</w:t>
            </w:r>
          </w:p>
        </w:tc>
        <w:tc>
          <w:p w14:paraId="7B921358">
            <w:pPr>
              <w:pStyle w:val="24"/>
              <w:jc w:val="left"/>
              <w:rPr>
                <w:rFonts w:hint="eastAsia" w:ascii="宋体" w:hAnsi="宋体" w:eastAsia="宋体" w:cs="宋体"/>
                <w:sz w:val="24"/>
                <w:szCs w:val="24"/>
              </w:rPr>
            </w:pPr>
            <w:r>
              <w:rPr>
                <w:rStyle w:val="48"/>
                <w:rFonts w:hint="eastAsia" w:ascii="宋体" w:hAnsi="宋体" w:eastAsia="宋体" w:cs="宋体"/>
                <w:sz w:val="24"/>
                <w:szCs w:val="24"/>
              </w:rPr>
              <w:t>close_qfq.rolling(120).mean()</w:t>
            </w:r>
          </w:p>
        </w:tc>
      </w:tr>
      <w:tr w14:paraId="3AD2C2B0">
        <w:tc>
          <w:p w14:paraId="7AB29283">
            <w:pPr>
              <w:pStyle w:val="24"/>
              <w:jc w:val="left"/>
              <w:rPr>
                <w:rFonts w:hint="eastAsia" w:ascii="宋体" w:hAnsi="宋体" w:eastAsia="宋体" w:cs="宋体"/>
                <w:sz w:val="24"/>
                <w:szCs w:val="24"/>
              </w:rPr>
            </w:pPr>
            <w:r>
              <w:rPr>
                <w:rFonts w:hint="eastAsia" w:ascii="宋体" w:hAnsi="宋体" w:eastAsia="宋体" w:cs="宋体"/>
                <w:sz w:val="24"/>
                <w:szCs w:val="24"/>
              </w:rPr>
              <w:t>month</w:t>
            </w:r>
          </w:p>
        </w:tc>
        <w:tc>
          <w:p w14:paraId="684B1810">
            <w:pPr>
              <w:pStyle w:val="24"/>
              <w:jc w:val="left"/>
              <w:rPr>
                <w:rFonts w:hint="eastAsia" w:ascii="宋体" w:hAnsi="宋体" w:eastAsia="宋体" w:cs="宋体"/>
                <w:sz w:val="24"/>
                <w:szCs w:val="24"/>
              </w:rPr>
            </w:pPr>
            <w:r>
              <w:rPr>
                <w:rFonts w:hint="eastAsia" w:ascii="宋体" w:hAnsi="宋体" w:eastAsia="宋体" w:cs="宋体"/>
                <w:sz w:val="24"/>
                <w:szCs w:val="24"/>
              </w:rPr>
              <w:t>所属月份</w:t>
            </w:r>
          </w:p>
        </w:tc>
        <w:tc>
          <w:p w14:paraId="2845F63E">
            <w:pPr>
              <w:pStyle w:val="24"/>
              <w:jc w:val="left"/>
              <w:rPr>
                <w:rFonts w:hint="eastAsia" w:ascii="宋体" w:hAnsi="宋体" w:eastAsia="宋体" w:cs="宋体"/>
                <w:sz w:val="24"/>
                <w:szCs w:val="24"/>
              </w:rPr>
            </w:pPr>
            <w:r>
              <w:rPr>
                <w:rFonts w:hint="eastAsia" w:ascii="宋体" w:hAnsi="宋体" w:eastAsia="宋体" w:cs="宋体"/>
                <w:sz w:val="24"/>
                <w:szCs w:val="24"/>
              </w:rPr>
              <w:t xml:space="preserve">Period </w:t>
            </w:r>
            <w:r>
              <w:rPr>
                <w:rFonts w:hint="eastAsia" w:ascii="宋体" w:hAnsi="宋体" w:eastAsia="宋体" w:cs="宋体"/>
                <w:sz w:val="24"/>
                <w:szCs w:val="24"/>
              </w:rPr>
              <w:t>对象，格式</w:t>
            </w:r>
            <w:r>
              <w:rPr>
                <w:rFonts w:hint="eastAsia" w:ascii="宋体" w:hAnsi="宋体" w:eastAsia="宋体" w:cs="宋体"/>
                <w:sz w:val="24"/>
                <w:szCs w:val="24"/>
              </w:rPr>
              <w:t xml:space="preserve"> </w:t>
            </w:r>
            <w:r>
              <w:rPr>
                <w:rStyle w:val="48"/>
                <w:rFonts w:hint="eastAsia" w:ascii="宋体" w:hAnsi="宋体" w:eastAsia="宋体" w:cs="宋体"/>
                <w:sz w:val="24"/>
                <w:szCs w:val="24"/>
              </w:rPr>
              <w:t>2025-01</w:t>
            </w:r>
          </w:p>
        </w:tc>
      </w:tr>
      <w:tr w14:paraId="6A69A7E8">
        <w:tc>
          <w:p w14:paraId="58B89405">
            <w:pPr>
              <w:pStyle w:val="24"/>
              <w:jc w:val="left"/>
              <w:rPr>
                <w:rFonts w:hint="eastAsia" w:ascii="宋体" w:hAnsi="宋体" w:eastAsia="宋体" w:cs="宋体"/>
                <w:sz w:val="24"/>
                <w:szCs w:val="24"/>
              </w:rPr>
            </w:pPr>
            <w:r>
              <w:rPr>
                <w:rFonts w:hint="eastAsia" w:ascii="宋体" w:hAnsi="宋体" w:eastAsia="宋体" w:cs="宋体"/>
                <w:sz w:val="24"/>
                <w:szCs w:val="24"/>
              </w:rPr>
              <w:t>pe_score</w:t>
            </w:r>
          </w:p>
        </w:tc>
        <w:tc>
          <w:p w14:paraId="69B5BF6C">
            <w:pPr>
              <w:pStyle w:val="24"/>
              <w:jc w:val="left"/>
              <w:rPr>
                <w:rFonts w:hint="eastAsia" w:ascii="宋体" w:hAnsi="宋体" w:eastAsia="宋体" w:cs="宋体"/>
                <w:sz w:val="24"/>
                <w:szCs w:val="24"/>
              </w:rPr>
            </w:pPr>
            <w:r>
              <w:rPr>
                <w:rFonts w:hint="eastAsia" w:ascii="宋体" w:hAnsi="宋体" w:eastAsia="宋体" w:cs="宋体"/>
                <w:sz w:val="24"/>
                <w:szCs w:val="24"/>
              </w:rPr>
              <w:t xml:space="preserve">PE </w:t>
            </w:r>
            <w:r>
              <w:rPr>
                <w:rFonts w:hint="eastAsia" w:ascii="宋体" w:hAnsi="宋体" w:eastAsia="宋体" w:cs="宋体"/>
                <w:sz w:val="24"/>
                <w:szCs w:val="24"/>
              </w:rPr>
              <w:t>的</w:t>
            </w:r>
            <w:r>
              <w:rPr>
                <w:rFonts w:hint="eastAsia" w:ascii="宋体" w:hAnsi="宋体" w:eastAsia="宋体" w:cs="宋体"/>
                <w:sz w:val="24"/>
                <w:szCs w:val="24"/>
              </w:rPr>
              <w:t xml:space="preserve"> Z-score</w:t>
            </w:r>
          </w:p>
        </w:tc>
        <w:tc>
          <w:p w14:paraId="70758769">
            <w:pPr>
              <w:pStyle w:val="24"/>
              <w:jc w:val="left"/>
              <w:rPr>
                <w:rFonts w:hint="eastAsia" w:ascii="宋体" w:hAnsi="宋体" w:eastAsia="宋体" w:cs="宋体"/>
                <w:sz w:val="24"/>
                <w:szCs w:val="24"/>
              </w:rPr>
            </w:pPr>
            <w:r>
              <w:rPr>
                <w:rFonts w:hint="eastAsia" w:ascii="宋体" w:hAnsi="宋体" w:eastAsia="宋体" w:cs="宋体"/>
                <w:sz w:val="24"/>
                <w:szCs w:val="24"/>
              </w:rPr>
              <w:t>取负值（PE</w:t>
            </w:r>
            <w:r>
              <w:rPr>
                <w:rFonts w:hint="eastAsia" w:ascii="宋体" w:hAnsi="宋体" w:eastAsia="宋体" w:cs="宋体"/>
                <w:sz w:val="24"/>
                <w:szCs w:val="24"/>
              </w:rPr>
              <w:t xml:space="preserve"> </w:t>
            </w:r>
            <w:r>
              <w:rPr>
                <w:rFonts w:hint="eastAsia" w:ascii="宋体" w:hAnsi="宋体" w:eastAsia="宋体" w:cs="宋体"/>
                <w:sz w:val="24"/>
                <w:szCs w:val="24"/>
              </w:rPr>
              <w:t>越低越好）</w:t>
            </w:r>
          </w:p>
        </w:tc>
      </w:tr>
      <w:tr w14:paraId="2B956F75">
        <w:tc>
          <w:p w14:paraId="398FF2A0">
            <w:pPr>
              <w:pStyle w:val="24"/>
              <w:jc w:val="left"/>
              <w:rPr>
                <w:rFonts w:hint="eastAsia" w:ascii="宋体" w:hAnsi="宋体" w:eastAsia="宋体" w:cs="宋体"/>
                <w:sz w:val="24"/>
                <w:szCs w:val="24"/>
              </w:rPr>
            </w:pPr>
            <w:r>
              <w:rPr>
                <w:rFonts w:hint="eastAsia" w:ascii="宋体" w:hAnsi="宋体" w:eastAsia="宋体" w:cs="宋体"/>
                <w:sz w:val="24"/>
                <w:szCs w:val="24"/>
              </w:rPr>
              <w:t>roe_score</w:t>
            </w:r>
          </w:p>
        </w:tc>
        <w:tc>
          <w:p w14:paraId="29779CFC">
            <w:pPr>
              <w:pStyle w:val="24"/>
              <w:jc w:val="left"/>
              <w:rPr>
                <w:rFonts w:hint="eastAsia" w:ascii="宋体" w:hAnsi="宋体" w:eastAsia="宋体" w:cs="宋体"/>
                <w:sz w:val="24"/>
                <w:szCs w:val="24"/>
              </w:rPr>
            </w:pPr>
            <w:r>
              <w:rPr>
                <w:rFonts w:hint="eastAsia" w:ascii="宋体" w:hAnsi="宋体" w:eastAsia="宋体" w:cs="宋体"/>
                <w:sz w:val="24"/>
                <w:szCs w:val="24"/>
              </w:rPr>
              <w:t xml:space="preserve">ROE </w:t>
            </w:r>
            <w:r>
              <w:rPr>
                <w:rFonts w:hint="eastAsia" w:ascii="宋体" w:hAnsi="宋体" w:eastAsia="宋体" w:cs="宋体"/>
                <w:sz w:val="24"/>
                <w:szCs w:val="24"/>
              </w:rPr>
              <w:t>的</w:t>
            </w:r>
            <w:r>
              <w:rPr>
                <w:rFonts w:hint="eastAsia" w:ascii="宋体" w:hAnsi="宋体" w:eastAsia="宋体" w:cs="宋体"/>
                <w:sz w:val="24"/>
                <w:szCs w:val="24"/>
              </w:rPr>
              <w:t xml:space="preserve"> Z-score</w:t>
            </w:r>
          </w:p>
        </w:tc>
        <w:tc>
          <w:p w14:paraId="546A7EC1">
            <w:pPr>
              <w:pStyle w:val="24"/>
              <w:jc w:val="left"/>
              <w:rPr>
                <w:rFonts w:hint="eastAsia" w:ascii="宋体" w:hAnsi="宋体" w:eastAsia="宋体" w:cs="宋体"/>
                <w:sz w:val="24"/>
                <w:szCs w:val="24"/>
              </w:rPr>
            </w:pPr>
            <w:r>
              <w:rPr>
                <w:rFonts w:hint="eastAsia" w:ascii="宋体" w:hAnsi="宋体" w:eastAsia="宋体" w:cs="宋体"/>
                <w:sz w:val="24"/>
                <w:szCs w:val="24"/>
              </w:rPr>
              <w:t>—</w:t>
            </w:r>
          </w:p>
        </w:tc>
      </w:tr>
      <w:tr w14:paraId="240B59C8">
        <w:tc>
          <w:p w14:paraId="4F0E37A8">
            <w:pPr>
              <w:pStyle w:val="24"/>
              <w:jc w:val="left"/>
              <w:rPr>
                <w:rFonts w:hint="eastAsia" w:ascii="宋体" w:hAnsi="宋体" w:eastAsia="宋体" w:cs="宋体"/>
                <w:sz w:val="24"/>
                <w:szCs w:val="24"/>
              </w:rPr>
            </w:pPr>
            <w:r>
              <w:rPr>
                <w:rFonts w:hint="eastAsia" w:ascii="宋体" w:hAnsi="宋体" w:eastAsia="宋体" w:cs="宋体"/>
                <w:sz w:val="24"/>
                <w:szCs w:val="24"/>
              </w:rPr>
              <w:t>mom_score</w:t>
            </w:r>
          </w:p>
        </w:tc>
        <w:tc>
          <w:p w14:paraId="0AC0067B">
            <w:pPr>
              <w:pStyle w:val="24"/>
              <w:jc w:val="left"/>
              <w:rPr>
                <w:rFonts w:hint="eastAsia" w:ascii="宋体" w:hAnsi="宋体" w:eastAsia="宋体" w:cs="宋体"/>
                <w:sz w:val="24"/>
                <w:szCs w:val="24"/>
              </w:rPr>
            </w:pPr>
            <w:r>
              <w:rPr>
                <w:rFonts w:hint="eastAsia" w:ascii="宋体" w:hAnsi="宋体" w:eastAsia="宋体" w:cs="宋体"/>
                <w:sz w:val="24"/>
                <w:szCs w:val="24"/>
              </w:rPr>
              <w:t>动量的</w:t>
            </w:r>
            <w:r>
              <w:rPr>
                <w:rFonts w:hint="eastAsia" w:ascii="宋体" w:hAnsi="宋体" w:eastAsia="宋体" w:cs="宋体"/>
                <w:sz w:val="24"/>
                <w:szCs w:val="24"/>
              </w:rPr>
              <w:t xml:space="preserve"> Z-score</w:t>
            </w:r>
          </w:p>
        </w:tc>
        <w:tc>
          <w:p w14:paraId="037A721D">
            <w:pPr>
              <w:pStyle w:val="24"/>
              <w:jc w:val="left"/>
              <w:rPr>
                <w:rFonts w:hint="eastAsia" w:ascii="宋体" w:hAnsi="宋体" w:eastAsia="宋体" w:cs="宋体"/>
                <w:sz w:val="24"/>
                <w:szCs w:val="24"/>
              </w:rPr>
            </w:pPr>
            <w:r>
              <w:rPr>
                <w:rFonts w:hint="eastAsia" w:ascii="宋体" w:hAnsi="宋体" w:eastAsia="宋体" w:cs="宋体"/>
                <w:sz w:val="24"/>
                <w:szCs w:val="24"/>
              </w:rPr>
              <w:t>—</w:t>
            </w:r>
          </w:p>
        </w:tc>
      </w:tr>
      <w:tr w14:paraId="5D298226">
        <w:tc>
          <w:p w14:paraId="74CBAFC1">
            <w:pPr>
              <w:pStyle w:val="24"/>
              <w:jc w:val="left"/>
              <w:rPr>
                <w:rFonts w:hint="eastAsia" w:ascii="宋体" w:hAnsi="宋体" w:eastAsia="宋体" w:cs="宋体"/>
                <w:sz w:val="24"/>
                <w:szCs w:val="24"/>
              </w:rPr>
            </w:pPr>
            <w:r>
              <w:rPr>
                <w:rFonts w:hint="eastAsia" w:ascii="宋体" w:hAnsi="宋体" w:eastAsia="宋体" w:cs="宋体"/>
                <w:sz w:val="24"/>
                <w:szCs w:val="24"/>
              </w:rPr>
              <w:t>score</w:t>
            </w:r>
          </w:p>
        </w:tc>
        <w:tc>
          <w:p w14:paraId="5CB9CEC8">
            <w:pPr>
              <w:pStyle w:val="24"/>
              <w:jc w:val="left"/>
              <w:rPr>
                <w:rFonts w:hint="eastAsia" w:ascii="宋体" w:hAnsi="宋体" w:eastAsia="宋体" w:cs="宋体"/>
                <w:sz w:val="24"/>
                <w:szCs w:val="24"/>
              </w:rPr>
            </w:pPr>
            <w:r>
              <w:rPr>
                <w:rFonts w:hint="eastAsia" w:ascii="宋体" w:hAnsi="宋体" w:eastAsia="宋体" w:cs="宋体"/>
                <w:sz w:val="24"/>
                <w:szCs w:val="24"/>
              </w:rPr>
              <w:t>综合评分</w:t>
            </w:r>
          </w:p>
        </w:tc>
        <w:tc>
          <w:p w14:paraId="3D2FA403">
            <w:pPr>
              <w:pStyle w:val="24"/>
              <w:jc w:val="left"/>
              <w:rPr>
                <w:rFonts w:hint="eastAsia" w:ascii="宋体" w:hAnsi="宋体" w:eastAsia="宋体" w:cs="宋体"/>
                <w:sz w:val="24"/>
                <w:szCs w:val="24"/>
              </w:rPr>
            </w:pPr>
            <w:r>
              <w:rPr>
                <w:rStyle w:val="48"/>
                <w:rFonts w:hint="eastAsia" w:ascii="宋体" w:hAnsi="宋体" w:eastAsia="宋体" w:cs="宋体"/>
                <w:sz w:val="24"/>
                <w:szCs w:val="24"/>
              </w:rPr>
              <w:t>0.4×mom_score + 0.3×roe_score + 0.3×pe_score</w:t>
            </w:r>
          </w:p>
        </w:tc>
      </w:tr>
      <w:tr w14:paraId="4822590E">
        <w:tc>
          <w:p w14:paraId="35557BD2">
            <w:pPr>
              <w:pStyle w:val="24"/>
              <w:jc w:val="left"/>
              <w:rPr>
                <w:rFonts w:hint="eastAsia" w:ascii="宋体" w:hAnsi="宋体" w:eastAsia="宋体" w:cs="宋体"/>
                <w:sz w:val="24"/>
                <w:szCs w:val="24"/>
              </w:rPr>
            </w:pPr>
            <w:r>
              <w:rPr>
                <w:rFonts w:hint="eastAsia" w:ascii="宋体" w:hAnsi="宋体" w:eastAsia="宋体" w:cs="宋体"/>
                <w:sz w:val="24"/>
                <w:szCs w:val="24"/>
              </w:rPr>
              <w:t>weight</w:t>
            </w:r>
          </w:p>
        </w:tc>
        <w:tc>
          <w:p w14:paraId="0A280830">
            <w:pPr>
              <w:pStyle w:val="24"/>
              <w:jc w:val="left"/>
              <w:rPr>
                <w:rFonts w:hint="eastAsia" w:ascii="宋体" w:hAnsi="宋体" w:eastAsia="宋体" w:cs="宋体"/>
                <w:sz w:val="24"/>
                <w:szCs w:val="24"/>
              </w:rPr>
            </w:pPr>
            <w:r>
              <w:rPr>
                <w:rFonts w:hint="eastAsia" w:ascii="宋体" w:hAnsi="宋体" w:eastAsia="宋体" w:cs="宋体"/>
                <w:sz w:val="24"/>
                <w:szCs w:val="24"/>
              </w:rPr>
              <w:t>配置权重</w:t>
            </w:r>
          </w:p>
        </w:tc>
        <w:tc>
          <w:p w14:paraId="68EDE618">
            <w:pPr>
              <w:pStyle w:val="24"/>
              <w:jc w:val="left"/>
              <w:rPr>
                <w:rFonts w:hint="eastAsia" w:ascii="宋体" w:hAnsi="宋体" w:eastAsia="宋体" w:cs="宋体"/>
                <w:sz w:val="24"/>
                <w:szCs w:val="24"/>
              </w:rPr>
            </w:pPr>
            <w:r>
              <w:rPr>
                <w:rFonts w:hint="eastAsia" w:ascii="宋体" w:hAnsi="宋体" w:eastAsia="宋体" w:cs="宋体"/>
                <w:sz w:val="24"/>
                <w:szCs w:val="24"/>
              </w:rPr>
              <w:t>固定</w:t>
            </w:r>
            <w:r>
              <w:rPr>
                <w:rFonts w:hint="eastAsia" w:ascii="宋体" w:hAnsi="宋体" w:eastAsia="宋体" w:cs="宋体"/>
                <w:sz w:val="24"/>
                <w:szCs w:val="24"/>
              </w:rPr>
              <w:t xml:space="preserve"> </w:t>
            </w:r>
            <w:r>
              <w:rPr>
                <w:rFonts w:hint="eastAsia" w:ascii="宋体" w:hAnsi="宋体" w:eastAsia="宋体" w:cs="宋体"/>
                <w:sz w:val="24"/>
                <w:szCs w:val="24"/>
              </w:rPr>
              <w:t>0.20（等权</w:t>
            </w:r>
            <w:r>
              <w:rPr>
                <w:rFonts w:hint="eastAsia" w:ascii="宋体" w:hAnsi="宋体" w:eastAsia="宋体" w:cs="宋体"/>
                <w:sz w:val="24"/>
                <w:szCs w:val="24"/>
              </w:rPr>
              <w:t xml:space="preserve"> 5 </w:t>
            </w:r>
            <w:r>
              <w:rPr>
                <w:rFonts w:hint="eastAsia" w:ascii="宋体" w:hAnsi="宋体" w:eastAsia="宋体" w:cs="宋体"/>
                <w:sz w:val="24"/>
                <w:szCs w:val="24"/>
              </w:rPr>
              <w:t>只）</w:t>
            </w:r>
          </w:p>
        </w:tc>
      </w:tr>
      <w:bookmarkEnd w:id="41"/>
      <w:bookmarkEnd w:id="43"/>
    </w:tbl>
    <w:p w14:paraId="2B95AC04">
      <w:pPr>
        <w:pStyle w:val="4"/>
        <w:rPr>
          <w:rFonts w:hint="eastAsia" w:ascii="宋体" w:hAnsi="宋体" w:eastAsia="宋体" w:cs="宋体"/>
          <w:sz w:val="24"/>
          <w:szCs w:val="24"/>
        </w:rPr>
      </w:pPr>
      <w:bookmarkStart w:id="44" w:name="附录c完整指标表"/>
      <w:r>
        <w:rPr>
          <w:rFonts w:hint="eastAsia" w:ascii="宋体" w:hAnsi="宋体" w:eastAsia="宋体" w:cs="宋体"/>
          <w:sz w:val="24"/>
          <w:szCs w:val="24"/>
        </w:rPr>
        <w:t>附录C：完整指标表</w:t>
      </w:r>
    </w:p>
    <w:p w14:paraId="203AFBB4">
      <w:pPr>
        <w:pStyle w:val="23"/>
        <w:rPr>
          <w:rFonts w:hint="eastAsia" w:ascii="宋体" w:hAnsi="宋体" w:eastAsia="宋体" w:cs="宋体"/>
          <w:sz w:val="24"/>
          <w:szCs w:val="24"/>
        </w:rPr>
      </w:pPr>
      <w:r>
        <w:rPr>
          <w:rFonts w:hint="eastAsia" w:ascii="宋体" w:hAnsi="宋体" w:eastAsia="宋体" w:cs="宋体"/>
          <w:sz w:val="24"/>
          <w:szCs w:val="24"/>
        </w:rPr>
        <w:t>以下为全部20只股票在回测期间（2024-07-19</w:t>
      </w:r>
      <w:r>
        <w:rPr>
          <w:rFonts w:hint="eastAsia" w:ascii="宋体" w:hAnsi="宋体" w:eastAsia="宋体" w:cs="宋体"/>
          <w:sz w:val="24"/>
          <w:szCs w:val="24"/>
        </w:rPr>
        <w:t xml:space="preserve"> </w:t>
      </w:r>
      <w:r>
        <w:rPr>
          <w:rFonts w:hint="eastAsia" w:ascii="宋体" w:hAnsi="宋体" w:eastAsia="宋体" w:cs="宋体"/>
          <w:sz w:val="24"/>
          <w:szCs w:val="24"/>
        </w:rPr>
        <w:t>至</w:t>
      </w:r>
      <w:r>
        <w:rPr>
          <w:rFonts w:hint="eastAsia" w:ascii="宋体" w:hAnsi="宋体" w:eastAsia="宋体" w:cs="宋体"/>
          <w:sz w:val="24"/>
          <w:szCs w:val="24"/>
        </w:rPr>
        <w:t xml:space="preserve"> </w:t>
      </w:r>
      <w:r>
        <w:rPr>
          <w:rFonts w:hint="eastAsia" w:ascii="宋体" w:hAnsi="宋体" w:eastAsia="宋体" w:cs="宋体"/>
          <w:sz w:val="24"/>
          <w:szCs w:val="24"/>
        </w:rPr>
        <w:t>2026-07-21）的六项核心指标，按总收益降序排列。</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69701F9">
        <w:trPr>
          <w:tblHeader/>
        </w:trPr>
        <w:tc>
          <w:p w14:paraId="2EA9D98C">
            <w:pPr>
              <w:pStyle w:val="24"/>
              <w:jc w:val="left"/>
              <w:rPr>
                <w:rFonts w:hint="eastAsia" w:ascii="宋体" w:hAnsi="宋体" w:eastAsia="宋体" w:cs="宋体"/>
                <w:sz w:val="24"/>
                <w:szCs w:val="24"/>
              </w:rPr>
            </w:pPr>
            <w:r>
              <w:rPr>
                <w:rFonts w:hint="eastAsia" w:ascii="宋体" w:hAnsi="宋体" w:eastAsia="宋体" w:cs="宋体"/>
                <w:sz w:val="24"/>
                <w:szCs w:val="24"/>
              </w:rPr>
              <w:t>股票</w:t>
            </w:r>
          </w:p>
        </w:tc>
        <w:tc>
          <w:p w14:paraId="0EA4D4C0">
            <w:pPr>
              <w:pStyle w:val="24"/>
              <w:jc w:val="right"/>
              <w:rPr>
                <w:rFonts w:hint="eastAsia" w:ascii="宋体" w:hAnsi="宋体" w:eastAsia="宋体" w:cs="宋体"/>
                <w:sz w:val="24"/>
                <w:szCs w:val="24"/>
              </w:rPr>
            </w:pPr>
            <w:r>
              <w:rPr>
                <w:rFonts w:hint="eastAsia" w:ascii="宋体" w:hAnsi="宋体" w:eastAsia="宋体" w:cs="宋体"/>
                <w:sz w:val="24"/>
                <w:szCs w:val="24"/>
              </w:rPr>
              <w:t>总收益</w:t>
            </w:r>
          </w:p>
        </w:tc>
        <w:tc>
          <w:p w14:paraId="67590BBF">
            <w:pPr>
              <w:pStyle w:val="24"/>
              <w:jc w:val="right"/>
              <w:rPr>
                <w:rFonts w:hint="eastAsia" w:ascii="宋体" w:hAnsi="宋体" w:eastAsia="宋体" w:cs="宋体"/>
                <w:sz w:val="24"/>
                <w:szCs w:val="24"/>
              </w:rPr>
            </w:pPr>
            <w:r>
              <w:rPr>
                <w:rFonts w:hint="eastAsia" w:ascii="宋体" w:hAnsi="宋体" w:eastAsia="宋体" w:cs="宋体"/>
                <w:sz w:val="24"/>
                <w:szCs w:val="24"/>
              </w:rPr>
              <w:t>年化收益</w:t>
            </w:r>
          </w:p>
        </w:tc>
        <w:tc>
          <w:p w14:paraId="12FF642F">
            <w:pPr>
              <w:pStyle w:val="24"/>
              <w:jc w:val="right"/>
              <w:rPr>
                <w:rFonts w:hint="eastAsia" w:ascii="宋体" w:hAnsi="宋体" w:eastAsia="宋体" w:cs="宋体"/>
                <w:sz w:val="24"/>
                <w:szCs w:val="24"/>
              </w:rPr>
            </w:pPr>
            <w:r>
              <w:rPr>
                <w:rFonts w:hint="eastAsia" w:ascii="宋体" w:hAnsi="宋体" w:eastAsia="宋体" w:cs="宋体"/>
                <w:sz w:val="24"/>
                <w:szCs w:val="24"/>
              </w:rPr>
              <w:t>年化波动</w:t>
            </w:r>
          </w:p>
        </w:tc>
        <w:tc>
          <w:p w14:paraId="05538DF8">
            <w:pPr>
              <w:pStyle w:val="24"/>
              <w:jc w:val="right"/>
              <w:rPr>
                <w:rFonts w:hint="eastAsia" w:ascii="宋体" w:hAnsi="宋体" w:eastAsia="宋体" w:cs="宋体"/>
                <w:sz w:val="24"/>
                <w:szCs w:val="24"/>
              </w:rPr>
            </w:pPr>
            <w:r>
              <w:rPr>
                <w:rFonts w:hint="eastAsia" w:ascii="宋体" w:hAnsi="宋体" w:eastAsia="宋体" w:cs="宋体"/>
                <w:sz w:val="24"/>
                <w:szCs w:val="24"/>
              </w:rPr>
              <w:t>最大回撤</w:t>
            </w:r>
          </w:p>
        </w:tc>
        <w:tc>
          <w:p w14:paraId="32A045DC">
            <w:pPr>
              <w:pStyle w:val="24"/>
              <w:jc w:val="right"/>
              <w:rPr>
                <w:rFonts w:hint="eastAsia" w:ascii="宋体" w:hAnsi="宋体" w:eastAsia="宋体" w:cs="宋体"/>
                <w:sz w:val="24"/>
                <w:szCs w:val="24"/>
              </w:rPr>
            </w:pPr>
            <w:r>
              <w:rPr>
                <w:rFonts w:hint="eastAsia" w:ascii="宋体" w:hAnsi="宋体" w:eastAsia="宋体" w:cs="宋体"/>
                <w:sz w:val="24"/>
                <w:szCs w:val="24"/>
              </w:rPr>
              <w:t>夏普</w:t>
            </w:r>
          </w:p>
        </w:tc>
        <w:tc>
          <w:p w14:paraId="155EB501">
            <w:pPr>
              <w:pStyle w:val="24"/>
              <w:jc w:val="right"/>
              <w:rPr>
                <w:rFonts w:hint="eastAsia" w:ascii="宋体" w:hAnsi="宋体" w:eastAsia="宋体" w:cs="宋体"/>
                <w:sz w:val="24"/>
                <w:szCs w:val="24"/>
              </w:rPr>
            </w:pPr>
            <w:r>
              <w:rPr>
                <w:rFonts w:hint="eastAsia" w:ascii="宋体" w:hAnsi="宋体" w:eastAsia="宋体" w:cs="宋体"/>
                <w:sz w:val="24"/>
                <w:szCs w:val="24"/>
              </w:rPr>
              <w:t>卡玛</w:t>
            </w:r>
          </w:p>
        </w:tc>
      </w:tr>
      <w:tr w14:paraId="17C94FB4">
        <w:tc>
          <w:p w14:paraId="669F3F87">
            <w:pPr>
              <w:pStyle w:val="24"/>
              <w:jc w:val="left"/>
              <w:rPr>
                <w:rFonts w:hint="eastAsia" w:ascii="宋体" w:hAnsi="宋体" w:eastAsia="宋体" w:cs="宋体"/>
                <w:sz w:val="24"/>
                <w:szCs w:val="24"/>
              </w:rPr>
            </w:pPr>
            <w:r>
              <w:rPr>
                <w:rFonts w:hint="eastAsia" w:ascii="宋体" w:hAnsi="宋体" w:eastAsia="宋体" w:cs="宋体"/>
                <w:sz w:val="24"/>
                <w:szCs w:val="24"/>
              </w:rPr>
              <w:t>德明利（001309.SZ）</w:t>
            </w:r>
          </w:p>
        </w:tc>
        <w:tc>
          <w:p w14:paraId="6D1DBA2E">
            <w:pPr>
              <w:pStyle w:val="24"/>
              <w:jc w:val="right"/>
              <w:rPr>
                <w:rFonts w:hint="eastAsia" w:ascii="宋体" w:hAnsi="宋体" w:eastAsia="宋体" w:cs="宋体"/>
                <w:sz w:val="24"/>
                <w:szCs w:val="24"/>
              </w:rPr>
            </w:pPr>
            <w:r>
              <w:rPr>
                <w:rFonts w:hint="eastAsia" w:ascii="宋体" w:hAnsi="宋体" w:eastAsia="宋体" w:cs="宋体"/>
                <w:sz w:val="24"/>
                <w:szCs w:val="24"/>
              </w:rPr>
              <w:t>718.5%</w:t>
            </w:r>
          </w:p>
        </w:tc>
        <w:tc>
          <w:p w14:paraId="67C99921">
            <w:pPr>
              <w:pStyle w:val="24"/>
              <w:jc w:val="right"/>
              <w:rPr>
                <w:rFonts w:hint="eastAsia" w:ascii="宋体" w:hAnsi="宋体" w:eastAsia="宋体" w:cs="宋体"/>
                <w:sz w:val="24"/>
                <w:szCs w:val="24"/>
              </w:rPr>
            </w:pPr>
            <w:r>
              <w:rPr>
                <w:rFonts w:hint="eastAsia" w:ascii="宋体" w:hAnsi="宋体" w:eastAsia="宋体" w:cs="宋体"/>
                <w:sz w:val="24"/>
                <w:szCs w:val="24"/>
              </w:rPr>
              <w:t>185.5%</w:t>
            </w:r>
          </w:p>
        </w:tc>
        <w:tc>
          <w:p w14:paraId="203ACA71">
            <w:pPr>
              <w:pStyle w:val="24"/>
              <w:jc w:val="right"/>
              <w:rPr>
                <w:rFonts w:hint="eastAsia" w:ascii="宋体" w:hAnsi="宋体" w:eastAsia="宋体" w:cs="宋体"/>
                <w:sz w:val="24"/>
                <w:szCs w:val="24"/>
              </w:rPr>
            </w:pPr>
            <w:r>
              <w:rPr>
                <w:rFonts w:hint="eastAsia" w:ascii="宋体" w:hAnsi="宋体" w:eastAsia="宋体" w:cs="宋体"/>
                <w:sz w:val="24"/>
                <w:szCs w:val="24"/>
              </w:rPr>
              <w:t>69.1%</w:t>
            </w:r>
          </w:p>
        </w:tc>
        <w:tc>
          <w:p w14:paraId="0B915F24">
            <w:pPr>
              <w:pStyle w:val="24"/>
              <w:jc w:val="right"/>
              <w:rPr>
                <w:rFonts w:hint="eastAsia" w:ascii="宋体" w:hAnsi="宋体" w:eastAsia="宋体" w:cs="宋体"/>
                <w:sz w:val="24"/>
                <w:szCs w:val="24"/>
              </w:rPr>
            </w:pPr>
            <w:r>
              <w:rPr>
                <w:rFonts w:hint="eastAsia" w:ascii="宋体" w:hAnsi="宋体" w:eastAsia="宋体" w:cs="宋体"/>
                <w:sz w:val="24"/>
                <w:szCs w:val="24"/>
              </w:rPr>
              <w:t>-50.2%</w:t>
            </w:r>
          </w:p>
        </w:tc>
        <w:tc>
          <w:p w14:paraId="3479CEBD">
            <w:pPr>
              <w:pStyle w:val="24"/>
              <w:jc w:val="right"/>
              <w:rPr>
                <w:rFonts w:hint="eastAsia" w:ascii="宋体" w:hAnsi="宋体" w:eastAsia="宋体" w:cs="宋体"/>
                <w:sz w:val="24"/>
                <w:szCs w:val="24"/>
              </w:rPr>
            </w:pPr>
            <w:r>
              <w:rPr>
                <w:rFonts w:hint="eastAsia" w:ascii="宋体" w:hAnsi="宋体" w:eastAsia="宋体" w:cs="宋体"/>
                <w:sz w:val="24"/>
                <w:szCs w:val="24"/>
              </w:rPr>
              <w:t>2.66</w:t>
            </w:r>
          </w:p>
        </w:tc>
        <w:tc>
          <w:p w14:paraId="7FD17C64">
            <w:pPr>
              <w:pStyle w:val="24"/>
              <w:jc w:val="right"/>
              <w:rPr>
                <w:rFonts w:hint="eastAsia" w:ascii="宋体" w:hAnsi="宋体" w:eastAsia="宋体" w:cs="宋体"/>
                <w:sz w:val="24"/>
                <w:szCs w:val="24"/>
              </w:rPr>
            </w:pPr>
            <w:r>
              <w:rPr>
                <w:rFonts w:hint="eastAsia" w:ascii="宋体" w:hAnsi="宋体" w:eastAsia="宋体" w:cs="宋体"/>
                <w:sz w:val="24"/>
                <w:szCs w:val="24"/>
              </w:rPr>
              <w:t>3.69</w:t>
            </w:r>
          </w:p>
        </w:tc>
      </w:tr>
      <w:tr w14:paraId="6D8B07CC">
        <w:tc>
          <w:p w14:paraId="25BBF443">
            <w:pPr>
              <w:pStyle w:val="24"/>
              <w:jc w:val="left"/>
              <w:rPr>
                <w:rFonts w:hint="eastAsia" w:ascii="宋体" w:hAnsi="宋体" w:eastAsia="宋体" w:cs="宋体"/>
                <w:sz w:val="24"/>
                <w:szCs w:val="24"/>
              </w:rPr>
            </w:pPr>
            <w:r>
              <w:rPr>
                <w:rFonts w:hint="eastAsia" w:ascii="宋体" w:hAnsi="宋体" w:eastAsia="宋体" w:cs="宋体"/>
                <w:sz w:val="24"/>
                <w:szCs w:val="24"/>
              </w:rPr>
              <w:t>普冉股份（688766.SH）</w:t>
            </w:r>
          </w:p>
        </w:tc>
        <w:tc>
          <w:p w14:paraId="017EEAD3">
            <w:pPr>
              <w:pStyle w:val="24"/>
              <w:jc w:val="right"/>
              <w:rPr>
                <w:rFonts w:hint="eastAsia" w:ascii="宋体" w:hAnsi="宋体" w:eastAsia="宋体" w:cs="宋体"/>
                <w:sz w:val="24"/>
                <w:szCs w:val="24"/>
              </w:rPr>
            </w:pPr>
            <w:r>
              <w:rPr>
                <w:rFonts w:hint="eastAsia" w:ascii="宋体" w:hAnsi="宋体" w:eastAsia="宋体" w:cs="宋体"/>
                <w:sz w:val="24"/>
                <w:szCs w:val="24"/>
              </w:rPr>
              <w:t>662.1%</w:t>
            </w:r>
          </w:p>
        </w:tc>
        <w:tc>
          <w:p w14:paraId="5A6C03C0">
            <w:pPr>
              <w:pStyle w:val="24"/>
              <w:jc w:val="right"/>
              <w:rPr>
                <w:rFonts w:hint="eastAsia" w:ascii="宋体" w:hAnsi="宋体" w:eastAsia="宋体" w:cs="宋体"/>
                <w:sz w:val="24"/>
                <w:szCs w:val="24"/>
              </w:rPr>
            </w:pPr>
            <w:r>
              <w:rPr>
                <w:rFonts w:hint="eastAsia" w:ascii="宋体" w:hAnsi="宋体" w:eastAsia="宋体" w:cs="宋体"/>
                <w:sz w:val="24"/>
                <w:szCs w:val="24"/>
              </w:rPr>
              <w:t>175.5%</w:t>
            </w:r>
          </w:p>
        </w:tc>
        <w:tc>
          <w:p w14:paraId="30994680">
            <w:pPr>
              <w:pStyle w:val="24"/>
              <w:jc w:val="right"/>
              <w:rPr>
                <w:rFonts w:hint="eastAsia" w:ascii="宋体" w:hAnsi="宋体" w:eastAsia="宋体" w:cs="宋体"/>
                <w:sz w:val="24"/>
                <w:szCs w:val="24"/>
              </w:rPr>
            </w:pPr>
            <w:r>
              <w:rPr>
                <w:rFonts w:hint="eastAsia" w:ascii="宋体" w:hAnsi="宋体" w:eastAsia="宋体" w:cs="宋体"/>
                <w:sz w:val="24"/>
                <w:szCs w:val="24"/>
              </w:rPr>
              <w:t>86.4%</w:t>
            </w:r>
          </w:p>
        </w:tc>
        <w:tc>
          <w:p w14:paraId="6AE21D4C">
            <w:pPr>
              <w:pStyle w:val="24"/>
              <w:jc w:val="right"/>
              <w:rPr>
                <w:rFonts w:hint="eastAsia" w:ascii="宋体" w:hAnsi="宋体" w:eastAsia="宋体" w:cs="宋体"/>
                <w:sz w:val="24"/>
                <w:szCs w:val="24"/>
              </w:rPr>
            </w:pPr>
            <w:r>
              <w:rPr>
                <w:rFonts w:hint="eastAsia" w:ascii="宋体" w:hAnsi="宋体" w:eastAsia="宋体" w:cs="宋体"/>
                <w:sz w:val="24"/>
                <w:szCs w:val="24"/>
              </w:rPr>
              <w:t>-54.0%</w:t>
            </w:r>
          </w:p>
        </w:tc>
        <w:tc>
          <w:p w14:paraId="1C739C30">
            <w:pPr>
              <w:pStyle w:val="24"/>
              <w:jc w:val="right"/>
              <w:rPr>
                <w:rFonts w:hint="eastAsia" w:ascii="宋体" w:hAnsi="宋体" w:eastAsia="宋体" w:cs="宋体"/>
                <w:sz w:val="24"/>
                <w:szCs w:val="24"/>
              </w:rPr>
            </w:pPr>
            <w:r>
              <w:rPr>
                <w:rFonts w:hint="eastAsia" w:ascii="宋体" w:hAnsi="宋体" w:eastAsia="宋体" w:cs="宋体"/>
                <w:sz w:val="24"/>
                <w:szCs w:val="24"/>
              </w:rPr>
              <w:t>2.01</w:t>
            </w:r>
          </w:p>
        </w:tc>
        <w:tc>
          <w:p w14:paraId="78531B8D">
            <w:pPr>
              <w:pStyle w:val="24"/>
              <w:jc w:val="right"/>
              <w:rPr>
                <w:rFonts w:hint="eastAsia" w:ascii="宋体" w:hAnsi="宋体" w:eastAsia="宋体" w:cs="宋体"/>
                <w:sz w:val="24"/>
                <w:szCs w:val="24"/>
              </w:rPr>
            </w:pPr>
            <w:r>
              <w:rPr>
                <w:rFonts w:hint="eastAsia" w:ascii="宋体" w:hAnsi="宋体" w:eastAsia="宋体" w:cs="宋体"/>
                <w:sz w:val="24"/>
                <w:szCs w:val="24"/>
              </w:rPr>
              <w:t>3.25</w:t>
            </w:r>
          </w:p>
        </w:tc>
      </w:tr>
      <w:tr w14:paraId="6C1F0B5B">
        <w:tc>
          <w:p w14:paraId="746071CE">
            <w:pPr>
              <w:pStyle w:val="24"/>
              <w:jc w:val="left"/>
              <w:rPr>
                <w:rFonts w:hint="eastAsia" w:ascii="宋体" w:hAnsi="宋体" w:eastAsia="宋体" w:cs="宋体"/>
                <w:sz w:val="24"/>
                <w:szCs w:val="24"/>
              </w:rPr>
            </w:pPr>
            <w:r>
              <w:rPr>
                <w:rFonts w:hint="eastAsia" w:ascii="宋体" w:hAnsi="宋体" w:eastAsia="宋体" w:cs="宋体"/>
                <w:sz w:val="24"/>
                <w:szCs w:val="24"/>
              </w:rPr>
              <w:t>兆易创新（603986.SH）</w:t>
            </w:r>
          </w:p>
        </w:tc>
        <w:tc>
          <w:p w14:paraId="1F60B8CC">
            <w:pPr>
              <w:pStyle w:val="24"/>
              <w:jc w:val="right"/>
              <w:rPr>
                <w:rFonts w:hint="eastAsia" w:ascii="宋体" w:hAnsi="宋体" w:eastAsia="宋体" w:cs="宋体"/>
                <w:sz w:val="24"/>
                <w:szCs w:val="24"/>
              </w:rPr>
            </w:pPr>
            <w:r>
              <w:rPr>
                <w:rFonts w:hint="eastAsia" w:ascii="宋体" w:hAnsi="宋体" w:eastAsia="宋体" w:cs="宋体"/>
                <w:sz w:val="24"/>
                <w:szCs w:val="24"/>
              </w:rPr>
              <w:t>397.5%</w:t>
            </w:r>
          </w:p>
        </w:tc>
        <w:tc>
          <w:p w14:paraId="360BA884">
            <w:pPr>
              <w:pStyle w:val="24"/>
              <w:jc w:val="right"/>
              <w:rPr>
                <w:rFonts w:hint="eastAsia" w:ascii="宋体" w:hAnsi="宋体" w:eastAsia="宋体" w:cs="宋体"/>
                <w:sz w:val="24"/>
                <w:szCs w:val="24"/>
              </w:rPr>
            </w:pPr>
            <w:r>
              <w:rPr>
                <w:rFonts w:hint="eastAsia" w:ascii="宋体" w:hAnsi="宋体" w:eastAsia="宋体" w:cs="宋体"/>
                <w:sz w:val="24"/>
                <w:szCs w:val="24"/>
              </w:rPr>
              <w:t>122.7%</w:t>
            </w:r>
          </w:p>
        </w:tc>
        <w:tc>
          <w:p w14:paraId="7CE002CD">
            <w:pPr>
              <w:pStyle w:val="24"/>
              <w:jc w:val="right"/>
              <w:rPr>
                <w:rFonts w:hint="eastAsia" w:ascii="宋体" w:hAnsi="宋体" w:eastAsia="宋体" w:cs="宋体"/>
                <w:sz w:val="24"/>
                <w:szCs w:val="24"/>
              </w:rPr>
            </w:pPr>
            <w:r>
              <w:rPr>
                <w:rFonts w:hint="eastAsia" w:ascii="宋体" w:hAnsi="宋体" w:eastAsia="宋体" w:cs="宋体"/>
                <w:sz w:val="24"/>
                <w:szCs w:val="24"/>
              </w:rPr>
              <w:t>63.7%</w:t>
            </w:r>
          </w:p>
        </w:tc>
        <w:tc>
          <w:p w14:paraId="3EA983EC">
            <w:pPr>
              <w:pStyle w:val="24"/>
              <w:jc w:val="right"/>
              <w:rPr>
                <w:rFonts w:hint="eastAsia" w:ascii="宋体" w:hAnsi="宋体" w:eastAsia="宋体" w:cs="宋体"/>
                <w:sz w:val="24"/>
                <w:szCs w:val="24"/>
              </w:rPr>
            </w:pPr>
            <w:r>
              <w:rPr>
                <w:rFonts w:hint="eastAsia" w:ascii="宋体" w:hAnsi="宋体" w:eastAsia="宋体" w:cs="宋体"/>
                <w:sz w:val="24"/>
                <w:szCs w:val="24"/>
              </w:rPr>
              <w:t>-48.5%</w:t>
            </w:r>
          </w:p>
        </w:tc>
        <w:tc>
          <w:p w14:paraId="6043E174">
            <w:pPr>
              <w:pStyle w:val="24"/>
              <w:jc w:val="right"/>
              <w:rPr>
                <w:rFonts w:hint="eastAsia" w:ascii="宋体" w:hAnsi="宋体" w:eastAsia="宋体" w:cs="宋体"/>
                <w:sz w:val="24"/>
                <w:szCs w:val="24"/>
              </w:rPr>
            </w:pPr>
            <w:r>
              <w:rPr>
                <w:rFonts w:hint="eastAsia" w:ascii="宋体" w:hAnsi="宋体" w:eastAsia="宋体" w:cs="宋体"/>
                <w:sz w:val="24"/>
                <w:szCs w:val="24"/>
              </w:rPr>
              <w:t>1.89</w:t>
            </w:r>
          </w:p>
        </w:tc>
        <w:tc>
          <w:p w14:paraId="1651CD29">
            <w:pPr>
              <w:pStyle w:val="24"/>
              <w:jc w:val="right"/>
              <w:rPr>
                <w:rFonts w:hint="eastAsia" w:ascii="宋体" w:hAnsi="宋体" w:eastAsia="宋体" w:cs="宋体"/>
                <w:sz w:val="24"/>
                <w:szCs w:val="24"/>
              </w:rPr>
            </w:pPr>
            <w:r>
              <w:rPr>
                <w:rFonts w:hint="eastAsia" w:ascii="宋体" w:hAnsi="宋体" w:eastAsia="宋体" w:cs="宋体"/>
                <w:sz w:val="24"/>
                <w:szCs w:val="24"/>
              </w:rPr>
              <w:t>2.53</w:t>
            </w:r>
          </w:p>
        </w:tc>
      </w:tr>
      <w:tr w14:paraId="1B8BCA82">
        <w:tc>
          <w:p w14:paraId="4EEBAF3A">
            <w:pPr>
              <w:pStyle w:val="24"/>
              <w:jc w:val="left"/>
              <w:rPr>
                <w:rFonts w:hint="eastAsia" w:ascii="宋体" w:hAnsi="宋体" w:eastAsia="宋体" w:cs="宋体"/>
                <w:sz w:val="24"/>
                <w:szCs w:val="24"/>
              </w:rPr>
            </w:pPr>
            <w:r>
              <w:rPr>
                <w:rFonts w:hint="eastAsia" w:ascii="宋体" w:hAnsi="宋体" w:eastAsia="宋体" w:cs="宋体"/>
                <w:sz w:val="24"/>
                <w:szCs w:val="24"/>
              </w:rPr>
              <w:t>佰维存储（688525.SH）</w:t>
            </w:r>
          </w:p>
        </w:tc>
        <w:tc>
          <w:p w14:paraId="7C117EF5">
            <w:pPr>
              <w:pStyle w:val="24"/>
              <w:jc w:val="right"/>
              <w:rPr>
                <w:rFonts w:hint="eastAsia" w:ascii="宋体" w:hAnsi="宋体" w:eastAsia="宋体" w:cs="宋体"/>
                <w:sz w:val="24"/>
                <w:szCs w:val="24"/>
              </w:rPr>
            </w:pPr>
            <w:r>
              <w:rPr>
                <w:rFonts w:hint="eastAsia" w:ascii="宋体" w:hAnsi="宋体" w:eastAsia="宋体" w:cs="宋体"/>
                <w:sz w:val="24"/>
                <w:szCs w:val="24"/>
              </w:rPr>
              <w:t>365.3%</w:t>
            </w:r>
          </w:p>
        </w:tc>
        <w:tc>
          <w:p w14:paraId="684870C2">
            <w:pPr>
              <w:pStyle w:val="24"/>
              <w:jc w:val="right"/>
              <w:rPr>
                <w:rFonts w:hint="eastAsia" w:ascii="宋体" w:hAnsi="宋体" w:eastAsia="宋体" w:cs="宋体"/>
                <w:sz w:val="24"/>
                <w:szCs w:val="24"/>
              </w:rPr>
            </w:pPr>
            <w:r>
              <w:rPr>
                <w:rFonts w:hint="eastAsia" w:ascii="宋体" w:hAnsi="宋体" w:eastAsia="宋体" w:cs="宋体"/>
                <w:sz w:val="24"/>
                <w:szCs w:val="24"/>
              </w:rPr>
              <w:t>115.4%</w:t>
            </w:r>
          </w:p>
        </w:tc>
        <w:tc>
          <w:p w14:paraId="0E933C91">
            <w:pPr>
              <w:pStyle w:val="24"/>
              <w:jc w:val="right"/>
              <w:rPr>
                <w:rFonts w:hint="eastAsia" w:ascii="宋体" w:hAnsi="宋体" w:eastAsia="宋体" w:cs="宋体"/>
                <w:sz w:val="24"/>
                <w:szCs w:val="24"/>
              </w:rPr>
            </w:pPr>
            <w:r>
              <w:rPr>
                <w:rFonts w:hint="eastAsia" w:ascii="宋体" w:hAnsi="宋体" w:eastAsia="宋体" w:cs="宋体"/>
                <w:sz w:val="24"/>
                <w:szCs w:val="24"/>
              </w:rPr>
              <w:t>74.5%</w:t>
            </w:r>
          </w:p>
        </w:tc>
        <w:tc>
          <w:p w14:paraId="09E99821">
            <w:pPr>
              <w:pStyle w:val="24"/>
              <w:jc w:val="right"/>
              <w:rPr>
                <w:rFonts w:hint="eastAsia" w:ascii="宋体" w:hAnsi="宋体" w:eastAsia="宋体" w:cs="宋体"/>
                <w:sz w:val="24"/>
                <w:szCs w:val="24"/>
              </w:rPr>
            </w:pPr>
            <w:r>
              <w:rPr>
                <w:rFonts w:hint="eastAsia" w:ascii="宋体" w:hAnsi="宋体" w:eastAsia="宋体" w:cs="宋体"/>
                <w:sz w:val="24"/>
                <w:szCs w:val="24"/>
              </w:rPr>
              <w:t>-51.9%</w:t>
            </w:r>
          </w:p>
        </w:tc>
        <w:tc>
          <w:p w14:paraId="61DC03E5">
            <w:pPr>
              <w:pStyle w:val="24"/>
              <w:jc w:val="right"/>
              <w:rPr>
                <w:rFonts w:hint="eastAsia" w:ascii="宋体" w:hAnsi="宋体" w:eastAsia="宋体" w:cs="宋体"/>
                <w:sz w:val="24"/>
                <w:szCs w:val="24"/>
              </w:rPr>
            </w:pPr>
            <w:r>
              <w:rPr>
                <w:rFonts w:hint="eastAsia" w:ascii="宋体" w:hAnsi="宋体" w:eastAsia="宋体" w:cs="宋体"/>
                <w:sz w:val="24"/>
                <w:szCs w:val="24"/>
              </w:rPr>
              <w:t>1.52</w:t>
            </w:r>
          </w:p>
        </w:tc>
        <w:tc>
          <w:p w14:paraId="4D6AED92">
            <w:pPr>
              <w:pStyle w:val="24"/>
              <w:jc w:val="right"/>
              <w:rPr>
                <w:rFonts w:hint="eastAsia" w:ascii="宋体" w:hAnsi="宋体" w:eastAsia="宋体" w:cs="宋体"/>
                <w:sz w:val="24"/>
                <w:szCs w:val="24"/>
              </w:rPr>
            </w:pPr>
            <w:r>
              <w:rPr>
                <w:rFonts w:hint="eastAsia" w:ascii="宋体" w:hAnsi="宋体" w:eastAsia="宋体" w:cs="宋体"/>
                <w:sz w:val="24"/>
                <w:szCs w:val="24"/>
              </w:rPr>
              <w:t>2.22</w:t>
            </w:r>
          </w:p>
        </w:tc>
      </w:tr>
      <w:tr w14:paraId="5D7B5DF4">
        <w:tc>
          <w:p w14:paraId="5ECE16D4">
            <w:pPr>
              <w:pStyle w:val="24"/>
              <w:jc w:val="left"/>
              <w:rPr>
                <w:rFonts w:hint="eastAsia" w:ascii="宋体" w:hAnsi="宋体" w:eastAsia="宋体" w:cs="宋体"/>
                <w:sz w:val="24"/>
                <w:szCs w:val="24"/>
              </w:rPr>
            </w:pPr>
            <w:r>
              <w:rPr>
                <w:rFonts w:hint="eastAsia" w:ascii="宋体" w:hAnsi="宋体" w:eastAsia="宋体" w:cs="宋体"/>
                <w:sz w:val="24"/>
                <w:szCs w:val="24"/>
              </w:rPr>
              <w:t>江波龙（301308.SZ）</w:t>
            </w:r>
          </w:p>
        </w:tc>
        <w:tc>
          <w:p w14:paraId="1A2ABDB0">
            <w:pPr>
              <w:pStyle w:val="24"/>
              <w:jc w:val="right"/>
              <w:rPr>
                <w:rFonts w:hint="eastAsia" w:ascii="宋体" w:hAnsi="宋体" w:eastAsia="宋体" w:cs="宋体"/>
                <w:sz w:val="24"/>
                <w:szCs w:val="24"/>
              </w:rPr>
            </w:pPr>
            <w:r>
              <w:rPr>
                <w:rFonts w:hint="eastAsia" w:ascii="宋体" w:hAnsi="宋体" w:eastAsia="宋体" w:cs="宋体"/>
                <w:sz w:val="24"/>
                <w:szCs w:val="24"/>
              </w:rPr>
              <w:t>354.3%</w:t>
            </w:r>
          </w:p>
        </w:tc>
        <w:tc>
          <w:p w14:paraId="29AF9C55">
            <w:pPr>
              <w:pStyle w:val="24"/>
              <w:jc w:val="right"/>
              <w:rPr>
                <w:rFonts w:hint="eastAsia" w:ascii="宋体" w:hAnsi="宋体" w:eastAsia="宋体" w:cs="宋体"/>
                <w:sz w:val="24"/>
                <w:szCs w:val="24"/>
              </w:rPr>
            </w:pPr>
            <w:r>
              <w:rPr>
                <w:rFonts w:hint="eastAsia" w:ascii="宋体" w:hAnsi="宋体" w:eastAsia="宋体" w:cs="宋体"/>
                <w:sz w:val="24"/>
                <w:szCs w:val="24"/>
              </w:rPr>
              <w:t>112.8%</w:t>
            </w:r>
          </w:p>
        </w:tc>
        <w:tc>
          <w:p w14:paraId="69042FCB">
            <w:pPr>
              <w:pStyle w:val="24"/>
              <w:jc w:val="right"/>
              <w:rPr>
                <w:rFonts w:hint="eastAsia" w:ascii="宋体" w:hAnsi="宋体" w:eastAsia="宋体" w:cs="宋体"/>
                <w:sz w:val="24"/>
                <w:szCs w:val="24"/>
              </w:rPr>
            </w:pPr>
            <w:r>
              <w:rPr>
                <w:rFonts w:hint="eastAsia" w:ascii="宋体" w:hAnsi="宋体" w:eastAsia="宋体" w:cs="宋体"/>
                <w:sz w:val="24"/>
                <w:szCs w:val="24"/>
              </w:rPr>
              <w:t>74.0%</w:t>
            </w:r>
          </w:p>
        </w:tc>
        <w:tc>
          <w:p w14:paraId="7918EB04">
            <w:pPr>
              <w:pStyle w:val="24"/>
              <w:jc w:val="right"/>
              <w:rPr>
                <w:rFonts w:hint="eastAsia" w:ascii="宋体" w:hAnsi="宋体" w:eastAsia="宋体" w:cs="宋体"/>
                <w:sz w:val="24"/>
                <w:szCs w:val="24"/>
              </w:rPr>
            </w:pPr>
            <w:r>
              <w:rPr>
                <w:rFonts w:hint="eastAsia" w:ascii="宋体" w:hAnsi="宋体" w:eastAsia="宋体" w:cs="宋体"/>
                <w:sz w:val="24"/>
                <w:szCs w:val="24"/>
              </w:rPr>
              <w:t>-47.9%</w:t>
            </w:r>
          </w:p>
        </w:tc>
        <w:tc>
          <w:p w14:paraId="69621E4A">
            <w:pPr>
              <w:pStyle w:val="24"/>
              <w:jc w:val="right"/>
              <w:rPr>
                <w:rFonts w:hint="eastAsia" w:ascii="宋体" w:hAnsi="宋体" w:eastAsia="宋体" w:cs="宋体"/>
                <w:sz w:val="24"/>
                <w:szCs w:val="24"/>
              </w:rPr>
            </w:pPr>
            <w:r>
              <w:rPr>
                <w:rFonts w:hint="eastAsia" w:ascii="宋体" w:hAnsi="宋体" w:eastAsia="宋体" w:cs="宋体"/>
                <w:sz w:val="24"/>
                <w:szCs w:val="24"/>
              </w:rPr>
              <w:t>1.50</w:t>
            </w:r>
          </w:p>
        </w:tc>
        <w:tc>
          <w:p w14:paraId="525BC08C">
            <w:pPr>
              <w:pStyle w:val="24"/>
              <w:jc w:val="right"/>
              <w:rPr>
                <w:rFonts w:hint="eastAsia" w:ascii="宋体" w:hAnsi="宋体" w:eastAsia="宋体" w:cs="宋体"/>
                <w:sz w:val="24"/>
                <w:szCs w:val="24"/>
              </w:rPr>
            </w:pPr>
            <w:r>
              <w:rPr>
                <w:rFonts w:hint="eastAsia" w:ascii="宋体" w:hAnsi="宋体" w:eastAsia="宋体" w:cs="宋体"/>
                <w:sz w:val="24"/>
                <w:szCs w:val="24"/>
              </w:rPr>
              <w:t>2.35</w:t>
            </w:r>
          </w:p>
        </w:tc>
      </w:tr>
      <w:tr w14:paraId="151241B5">
        <w:tc>
          <w:p w14:paraId="3084B5D5">
            <w:pPr>
              <w:pStyle w:val="24"/>
              <w:jc w:val="left"/>
              <w:rPr>
                <w:rFonts w:hint="eastAsia" w:ascii="宋体" w:hAnsi="宋体" w:eastAsia="宋体" w:cs="宋体"/>
                <w:sz w:val="24"/>
                <w:szCs w:val="24"/>
              </w:rPr>
            </w:pPr>
            <w:r>
              <w:rPr>
                <w:rFonts w:hint="eastAsia" w:ascii="宋体" w:hAnsi="宋体" w:eastAsia="宋体" w:cs="宋体"/>
                <w:sz w:val="24"/>
                <w:szCs w:val="24"/>
              </w:rPr>
              <w:t>泡泡玛特（09992.HK）</w:t>
            </w:r>
          </w:p>
        </w:tc>
        <w:tc>
          <w:p w14:paraId="7D4792B9">
            <w:pPr>
              <w:pStyle w:val="24"/>
              <w:jc w:val="right"/>
              <w:rPr>
                <w:rFonts w:hint="eastAsia" w:ascii="宋体" w:hAnsi="宋体" w:eastAsia="宋体" w:cs="宋体"/>
                <w:sz w:val="24"/>
                <w:szCs w:val="24"/>
              </w:rPr>
            </w:pPr>
            <w:r>
              <w:rPr>
                <w:rFonts w:hint="eastAsia" w:ascii="宋体" w:hAnsi="宋体" w:eastAsia="宋体" w:cs="宋体"/>
                <w:sz w:val="24"/>
                <w:szCs w:val="24"/>
              </w:rPr>
              <w:t>300.9%</w:t>
            </w:r>
          </w:p>
        </w:tc>
        <w:tc>
          <w:p w14:paraId="6D3714BA">
            <w:pPr>
              <w:pStyle w:val="24"/>
              <w:jc w:val="right"/>
              <w:rPr>
                <w:rFonts w:hint="eastAsia" w:ascii="宋体" w:hAnsi="宋体" w:eastAsia="宋体" w:cs="宋体"/>
                <w:sz w:val="24"/>
                <w:szCs w:val="24"/>
              </w:rPr>
            </w:pPr>
            <w:r>
              <w:rPr>
                <w:rFonts w:hint="eastAsia" w:ascii="宋体" w:hAnsi="宋体" w:eastAsia="宋体" w:cs="宋体"/>
                <w:sz w:val="24"/>
                <w:szCs w:val="24"/>
              </w:rPr>
              <w:t>99.9%</w:t>
            </w:r>
          </w:p>
        </w:tc>
        <w:tc>
          <w:p w14:paraId="3D4E2B4D">
            <w:pPr>
              <w:pStyle w:val="24"/>
              <w:jc w:val="right"/>
              <w:rPr>
                <w:rFonts w:hint="eastAsia" w:ascii="宋体" w:hAnsi="宋体" w:eastAsia="宋体" w:cs="宋体"/>
                <w:sz w:val="24"/>
                <w:szCs w:val="24"/>
              </w:rPr>
            </w:pPr>
            <w:r>
              <w:rPr>
                <w:rFonts w:hint="eastAsia" w:ascii="宋体" w:hAnsi="宋体" w:eastAsia="宋体" w:cs="宋体"/>
                <w:sz w:val="24"/>
                <w:szCs w:val="24"/>
              </w:rPr>
              <w:t>58.5%</w:t>
            </w:r>
          </w:p>
        </w:tc>
        <w:tc>
          <w:p w14:paraId="6E215D8B">
            <w:pPr>
              <w:pStyle w:val="24"/>
              <w:jc w:val="right"/>
              <w:rPr>
                <w:rFonts w:hint="eastAsia" w:ascii="宋体" w:hAnsi="宋体" w:eastAsia="宋体" w:cs="宋体"/>
                <w:sz w:val="24"/>
                <w:szCs w:val="24"/>
              </w:rPr>
            </w:pPr>
            <w:r>
              <w:rPr>
                <w:rFonts w:hint="eastAsia" w:ascii="宋体" w:hAnsi="宋体" w:eastAsia="宋体" w:cs="宋体"/>
                <w:sz w:val="24"/>
                <w:szCs w:val="24"/>
              </w:rPr>
              <w:t>-57.7%</w:t>
            </w:r>
          </w:p>
        </w:tc>
        <w:tc>
          <w:p w14:paraId="512560DD">
            <w:pPr>
              <w:pStyle w:val="24"/>
              <w:jc w:val="right"/>
              <w:rPr>
                <w:rFonts w:hint="eastAsia" w:ascii="宋体" w:hAnsi="宋体" w:eastAsia="宋体" w:cs="宋体"/>
                <w:sz w:val="24"/>
                <w:szCs w:val="24"/>
              </w:rPr>
            </w:pPr>
            <w:r>
              <w:rPr>
                <w:rFonts w:hint="eastAsia" w:ascii="宋体" w:hAnsi="宋体" w:eastAsia="宋体" w:cs="宋体"/>
                <w:sz w:val="24"/>
                <w:szCs w:val="24"/>
              </w:rPr>
              <w:t>1.67</w:t>
            </w:r>
          </w:p>
        </w:tc>
        <w:tc>
          <w:p w14:paraId="517C7CA7">
            <w:pPr>
              <w:pStyle w:val="24"/>
              <w:jc w:val="right"/>
              <w:rPr>
                <w:rFonts w:hint="eastAsia" w:ascii="宋体" w:hAnsi="宋体" w:eastAsia="宋体" w:cs="宋体"/>
                <w:sz w:val="24"/>
                <w:szCs w:val="24"/>
              </w:rPr>
            </w:pPr>
            <w:r>
              <w:rPr>
                <w:rFonts w:hint="eastAsia" w:ascii="宋体" w:hAnsi="宋体" w:eastAsia="宋体" w:cs="宋体"/>
                <w:sz w:val="24"/>
                <w:szCs w:val="24"/>
              </w:rPr>
              <w:t>1.73</w:t>
            </w:r>
          </w:p>
        </w:tc>
      </w:tr>
      <w:tr w14:paraId="14C1BE67">
        <w:tc>
          <w:p w14:paraId="5FA17215">
            <w:pPr>
              <w:pStyle w:val="24"/>
              <w:jc w:val="left"/>
              <w:rPr>
                <w:rFonts w:hint="eastAsia" w:ascii="宋体" w:hAnsi="宋体" w:eastAsia="宋体" w:cs="宋体"/>
                <w:sz w:val="24"/>
                <w:szCs w:val="24"/>
              </w:rPr>
            </w:pPr>
            <w:r>
              <w:rPr>
                <w:rFonts w:hint="eastAsia" w:ascii="宋体" w:hAnsi="宋体" w:eastAsia="宋体" w:cs="宋体"/>
                <w:sz w:val="24"/>
                <w:szCs w:val="24"/>
              </w:rPr>
              <w:t>澜起科技（688008.SH）</w:t>
            </w:r>
          </w:p>
        </w:tc>
        <w:tc>
          <w:p w14:paraId="77DD4967">
            <w:pPr>
              <w:pStyle w:val="24"/>
              <w:jc w:val="right"/>
              <w:rPr>
                <w:rFonts w:hint="eastAsia" w:ascii="宋体" w:hAnsi="宋体" w:eastAsia="宋体" w:cs="宋体"/>
                <w:sz w:val="24"/>
                <w:szCs w:val="24"/>
              </w:rPr>
            </w:pPr>
            <w:r>
              <w:rPr>
                <w:rFonts w:hint="eastAsia" w:ascii="宋体" w:hAnsi="宋体" w:eastAsia="宋体" w:cs="宋体"/>
                <w:sz w:val="24"/>
                <w:szCs w:val="24"/>
              </w:rPr>
              <w:t>250.8%</w:t>
            </w:r>
          </w:p>
        </w:tc>
        <w:tc>
          <w:p w14:paraId="3849F078">
            <w:pPr>
              <w:pStyle w:val="24"/>
              <w:jc w:val="right"/>
              <w:rPr>
                <w:rFonts w:hint="eastAsia" w:ascii="宋体" w:hAnsi="宋体" w:eastAsia="宋体" w:cs="宋体"/>
                <w:sz w:val="24"/>
                <w:szCs w:val="24"/>
              </w:rPr>
            </w:pPr>
            <w:r>
              <w:rPr>
                <w:rFonts w:hint="eastAsia" w:ascii="宋体" w:hAnsi="宋体" w:eastAsia="宋体" w:cs="宋体"/>
                <w:sz w:val="24"/>
                <w:szCs w:val="24"/>
              </w:rPr>
              <w:t>87.0%</w:t>
            </w:r>
          </w:p>
        </w:tc>
        <w:tc>
          <w:p w14:paraId="717BF53B">
            <w:pPr>
              <w:pStyle w:val="24"/>
              <w:jc w:val="right"/>
              <w:rPr>
                <w:rFonts w:hint="eastAsia" w:ascii="宋体" w:hAnsi="宋体" w:eastAsia="宋体" w:cs="宋体"/>
                <w:sz w:val="24"/>
                <w:szCs w:val="24"/>
              </w:rPr>
            </w:pPr>
            <w:r>
              <w:rPr>
                <w:rFonts w:hint="eastAsia" w:ascii="宋体" w:hAnsi="宋体" w:eastAsia="宋体" w:cs="宋体"/>
                <w:sz w:val="24"/>
                <w:szCs w:val="24"/>
              </w:rPr>
              <w:t>65.2%</w:t>
            </w:r>
          </w:p>
        </w:tc>
        <w:tc>
          <w:p w14:paraId="63040585">
            <w:pPr>
              <w:pStyle w:val="24"/>
              <w:jc w:val="right"/>
              <w:rPr>
                <w:rFonts w:hint="eastAsia" w:ascii="宋体" w:hAnsi="宋体" w:eastAsia="宋体" w:cs="宋体"/>
                <w:sz w:val="24"/>
                <w:szCs w:val="24"/>
              </w:rPr>
            </w:pPr>
            <w:r>
              <w:rPr>
                <w:rFonts w:hint="eastAsia" w:ascii="宋体" w:hAnsi="宋体" w:eastAsia="宋体" w:cs="宋体"/>
                <w:sz w:val="24"/>
                <w:szCs w:val="24"/>
              </w:rPr>
              <w:t>-41.9%</w:t>
            </w:r>
          </w:p>
        </w:tc>
        <w:tc>
          <w:p w14:paraId="0BDF78B4">
            <w:pPr>
              <w:pStyle w:val="24"/>
              <w:jc w:val="right"/>
              <w:rPr>
                <w:rFonts w:hint="eastAsia" w:ascii="宋体" w:hAnsi="宋体" w:eastAsia="宋体" w:cs="宋体"/>
                <w:sz w:val="24"/>
                <w:szCs w:val="24"/>
              </w:rPr>
            </w:pPr>
            <w:r>
              <w:rPr>
                <w:rFonts w:hint="eastAsia" w:ascii="宋体" w:hAnsi="宋体" w:eastAsia="宋体" w:cs="宋体"/>
                <w:sz w:val="24"/>
                <w:szCs w:val="24"/>
              </w:rPr>
              <w:t>1.30</w:t>
            </w:r>
          </w:p>
        </w:tc>
        <w:tc>
          <w:p w14:paraId="65E015E9">
            <w:pPr>
              <w:pStyle w:val="24"/>
              <w:jc w:val="right"/>
              <w:rPr>
                <w:rFonts w:hint="eastAsia" w:ascii="宋体" w:hAnsi="宋体" w:eastAsia="宋体" w:cs="宋体"/>
                <w:sz w:val="24"/>
                <w:szCs w:val="24"/>
              </w:rPr>
            </w:pPr>
            <w:r>
              <w:rPr>
                <w:rFonts w:hint="eastAsia" w:ascii="宋体" w:hAnsi="宋体" w:eastAsia="宋体" w:cs="宋体"/>
                <w:sz w:val="24"/>
                <w:szCs w:val="24"/>
              </w:rPr>
              <w:t>2.08</w:t>
            </w:r>
          </w:p>
        </w:tc>
      </w:tr>
      <w:tr w14:paraId="3A6E6ABB">
        <w:tc>
          <w:p w14:paraId="6D402FE6">
            <w:pPr>
              <w:pStyle w:val="24"/>
              <w:jc w:val="left"/>
              <w:rPr>
                <w:rFonts w:hint="eastAsia" w:ascii="宋体" w:hAnsi="宋体" w:eastAsia="宋体" w:cs="宋体"/>
                <w:sz w:val="24"/>
                <w:szCs w:val="24"/>
              </w:rPr>
            </w:pPr>
            <w:r>
              <w:rPr>
                <w:rFonts w:hint="eastAsia" w:ascii="宋体" w:hAnsi="宋体" w:eastAsia="宋体" w:cs="宋体"/>
                <w:sz w:val="24"/>
                <w:szCs w:val="24"/>
              </w:rPr>
              <w:t>百济神州（688235.SH）</w:t>
            </w:r>
          </w:p>
        </w:tc>
        <w:tc>
          <w:p w14:paraId="63D386B5">
            <w:pPr>
              <w:pStyle w:val="24"/>
              <w:jc w:val="right"/>
              <w:rPr>
                <w:rFonts w:hint="eastAsia" w:ascii="宋体" w:hAnsi="宋体" w:eastAsia="宋体" w:cs="宋体"/>
                <w:sz w:val="24"/>
                <w:szCs w:val="24"/>
              </w:rPr>
            </w:pPr>
            <w:r>
              <w:rPr>
                <w:rFonts w:hint="eastAsia" w:ascii="宋体" w:hAnsi="宋体" w:eastAsia="宋体" w:cs="宋体"/>
                <w:sz w:val="24"/>
                <w:szCs w:val="24"/>
              </w:rPr>
              <w:t>114.4%</w:t>
            </w:r>
          </w:p>
        </w:tc>
        <w:tc>
          <w:p w14:paraId="680C8A9C">
            <w:pPr>
              <w:pStyle w:val="24"/>
              <w:jc w:val="right"/>
              <w:rPr>
                <w:rFonts w:hint="eastAsia" w:ascii="宋体" w:hAnsi="宋体" w:eastAsia="宋体" w:cs="宋体"/>
                <w:sz w:val="24"/>
                <w:szCs w:val="24"/>
              </w:rPr>
            </w:pPr>
            <w:r>
              <w:rPr>
                <w:rFonts w:hint="eastAsia" w:ascii="宋体" w:hAnsi="宋体" w:eastAsia="宋体" w:cs="宋体"/>
                <w:sz w:val="24"/>
                <w:szCs w:val="24"/>
              </w:rPr>
              <w:t>46.3%</w:t>
            </w:r>
          </w:p>
        </w:tc>
        <w:tc>
          <w:p w14:paraId="55B2FBB5">
            <w:pPr>
              <w:pStyle w:val="24"/>
              <w:jc w:val="right"/>
              <w:rPr>
                <w:rFonts w:hint="eastAsia" w:ascii="宋体" w:hAnsi="宋体" w:eastAsia="宋体" w:cs="宋体"/>
                <w:sz w:val="24"/>
                <w:szCs w:val="24"/>
              </w:rPr>
            </w:pPr>
            <w:r>
              <w:rPr>
                <w:rFonts w:hint="eastAsia" w:ascii="宋体" w:hAnsi="宋体" w:eastAsia="宋体" w:cs="宋体"/>
                <w:sz w:val="24"/>
                <w:szCs w:val="24"/>
              </w:rPr>
              <w:t>49.5%</w:t>
            </w:r>
          </w:p>
        </w:tc>
        <w:tc>
          <w:p w14:paraId="52B9DE86">
            <w:pPr>
              <w:pStyle w:val="24"/>
              <w:jc w:val="right"/>
              <w:rPr>
                <w:rFonts w:hint="eastAsia" w:ascii="宋体" w:hAnsi="宋体" w:eastAsia="宋体" w:cs="宋体"/>
                <w:sz w:val="24"/>
                <w:szCs w:val="24"/>
              </w:rPr>
            </w:pPr>
            <w:r>
              <w:rPr>
                <w:rFonts w:hint="eastAsia" w:ascii="宋体" w:hAnsi="宋体" w:eastAsia="宋体" w:cs="宋体"/>
                <w:sz w:val="24"/>
                <w:szCs w:val="24"/>
              </w:rPr>
              <w:t>-36.2%</w:t>
            </w:r>
          </w:p>
        </w:tc>
        <w:tc>
          <w:p w14:paraId="5874FE86">
            <w:pPr>
              <w:pStyle w:val="24"/>
              <w:jc w:val="right"/>
              <w:rPr>
                <w:rFonts w:hint="eastAsia" w:ascii="宋体" w:hAnsi="宋体" w:eastAsia="宋体" w:cs="宋体"/>
                <w:sz w:val="24"/>
                <w:szCs w:val="24"/>
              </w:rPr>
            </w:pPr>
            <w:r>
              <w:rPr>
                <w:rFonts w:hint="eastAsia" w:ascii="宋体" w:hAnsi="宋体" w:eastAsia="宋体" w:cs="宋体"/>
                <w:sz w:val="24"/>
                <w:szCs w:val="24"/>
              </w:rPr>
              <w:t>0.89</w:t>
            </w:r>
          </w:p>
        </w:tc>
        <w:tc>
          <w:p w14:paraId="1B9AE9F8">
            <w:pPr>
              <w:pStyle w:val="24"/>
              <w:jc w:val="right"/>
              <w:rPr>
                <w:rFonts w:hint="eastAsia" w:ascii="宋体" w:hAnsi="宋体" w:eastAsia="宋体" w:cs="宋体"/>
                <w:sz w:val="24"/>
                <w:szCs w:val="24"/>
              </w:rPr>
            </w:pPr>
            <w:r>
              <w:rPr>
                <w:rFonts w:hint="eastAsia" w:ascii="宋体" w:hAnsi="宋体" w:eastAsia="宋体" w:cs="宋体"/>
                <w:sz w:val="24"/>
                <w:szCs w:val="24"/>
              </w:rPr>
              <w:t>1.28</w:t>
            </w:r>
          </w:p>
        </w:tc>
      </w:tr>
      <w:tr w14:paraId="0217AE7B">
        <w:tc>
          <w:p w14:paraId="7B222D1F">
            <w:pPr>
              <w:pStyle w:val="24"/>
              <w:jc w:val="left"/>
              <w:rPr>
                <w:rFonts w:hint="eastAsia" w:ascii="宋体" w:hAnsi="宋体" w:eastAsia="宋体" w:cs="宋体"/>
                <w:sz w:val="24"/>
                <w:szCs w:val="24"/>
              </w:rPr>
            </w:pPr>
            <w:r>
              <w:rPr>
                <w:rFonts w:hint="eastAsia" w:ascii="宋体" w:hAnsi="宋体" w:eastAsia="宋体" w:cs="宋体"/>
                <w:sz w:val="24"/>
                <w:szCs w:val="24"/>
              </w:rPr>
              <w:t>科伦药业（002422.SZ）</w:t>
            </w:r>
          </w:p>
        </w:tc>
        <w:tc>
          <w:p w14:paraId="45FDD2D8">
            <w:pPr>
              <w:pStyle w:val="24"/>
              <w:jc w:val="right"/>
              <w:rPr>
                <w:rFonts w:hint="eastAsia" w:ascii="宋体" w:hAnsi="宋体" w:eastAsia="宋体" w:cs="宋体"/>
                <w:sz w:val="24"/>
                <w:szCs w:val="24"/>
              </w:rPr>
            </w:pPr>
            <w:r>
              <w:rPr>
                <w:rFonts w:hint="eastAsia" w:ascii="宋体" w:hAnsi="宋体" w:eastAsia="宋体" w:cs="宋体"/>
                <w:sz w:val="24"/>
                <w:szCs w:val="24"/>
              </w:rPr>
              <w:t>53.7%</w:t>
            </w:r>
          </w:p>
        </w:tc>
        <w:tc>
          <w:p w14:paraId="33F63343">
            <w:pPr>
              <w:pStyle w:val="24"/>
              <w:jc w:val="right"/>
              <w:rPr>
                <w:rFonts w:hint="eastAsia" w:ascii="宋体" w:hAnsi="宋体" w:eastAsia="宋体" w:cs="宋体"/>
                <w:sz w:val="24"/>
                <w:szCs w:val="24"/>
              </w:rPr>
            </w:pPr>
            <w:r>
              <w:rPr>
                <w:rFonts w:hint="eastAsia" w:ascii="宋体" w:hAnsi="宋体" w:eastAsia="宋体" w:cs="宋体"/>
                <w:sz w:val="24"/>
                <w:szCs w:val="24"/>
              </w:rPr>
              <w:t>23.9%</w:t>
            </w:r>
          </w:p>
        </w:tc>
        <w:tc>
          <w:p w14:paraId="12CDD75D">
            <w:pPr>
              <w:pStyle w:val="24"/>
              <w:jc w:val="right"/>
              <w:rPr>
                <w:rFonts w:hint="eastAsia" w:ascii="宋体" w:hAnsi="宋体" w:eastAsia="宋体" w:cs="宋体"/>
                <w:sz w:val="24"/>
                <w:szCs w:val="24"/>
              </w:rPr>
            </w:pPr>
            <w:r>
              <w:rPr>
                <w:rFonts w:hint="eastAsia" w:ascii="宋体" w:hAnsi="宋体" w:eastAsia="宋体" w:cs="宋体"/>
                <w:sz w:val="24"/>
                <w:szCs w:val="24"/>
              </w:rPr>
              <w:t>43.2%</w:t>
            </w:r>
          </w:p>
        </w:tc>
        <w:tc>
          <w:p w14:paraId="3086BD08">
            <w:pPr>
              <w:pStyle w:val="24"/>
              <w:jc w:val="right"/>
              <w:rPr>
                <w:rFonts w:hint="eastAsia" w:ascii="宋体" w:hAnsi="宋体" w:eastAsia="宋体" w:cs="宋体"/>
                <w:sz w:val="24"/>
                <w:szCs w:val="24"/>
              </w:rPr>
            </w:pPr>
            <w:r>
              <w:rPr>
                <w:rFonts w:hint="eastAsia" w:ascii="宋体" w:hAnsi="宋体" w:eastAsia="宋体" w:cs="宋体"/>
                <w:sz w:val="24"/>
                <w:szCs w:val="24"/>
              </w:rPr>
              <w:t>-28.9%</w:t>
            </w:r>
          </w:p>
        </w:tc>
        <w:tc>
          <w:p w14:paraId="583916F0">
            <w:pPr>
              <w:pStyle w:val="24"/>
              <w:jc w:val="right"/>
              <w:rPr>
                <w:rFonts w:hint="eastAsia" w:ascii="宋体" w:hAnsi="宋体" w:eastAsia="宋体" w:cs="宋体"/>
                <w:sz w:val="24"/>
                <w:szCs w:val="24"/>
              </w:rPr>
            </w:pPr>
            <w:r>
              <w:rPr>
                <w:rFonts w:hint="eastAsia" w:ascii="宋体" w:hAnsi="宋体" w:eastAsia="宋体" w:cs="宋体"/>
                <w:sz w:val="24"/>
                <w:szCs w:val="24"/>
              </w:rPr>
              <w:t>0.51</w:t>
            </w:r>
          </w:p>
        </w:tc>
        <w:tc>
          <w:p w14:paraId="6E0DDCBD">
            <w:pPr>
              <w:pStyle w:val="24"/>
              <w:jc w:val="right"/>
              <w:rPr>
                <w:rFonts w:hint="eastAsia" w:ascii="宋体" w:hAnsi="宋体" w:eastAsia="宋体" w:cs="宋体"/>
                <w:sz w:val="24"/>
                <w:szCs w:val="24"/>
              </w:rPr>
            </w:pPr>
            <w:r>
              <w:rPr>
                <w:rFonts w:hint="eastAsia" w:ascii="宋体" w:hAnsi="宋体" w:eastAsia="宋体" w:cs="宋体"/>
                <w:sz w:val="24"/>
                <w:szCs w:val="24"/>
              </w:rPr>
              <w:t>0.83</w:t>
            </w:r>
          </w:p>
        </w:tc>
      </w:tr>
      <w:tr w14:paraId="115BCFBE">
        <w:tc>
          <w:p w14:paraId="70C6819B">
            <w:pPr>
              <w:pStyle w:val="24"/>
              <w:jc w:val="left"/>
              <w:rPr>
                <w:rFonts w:hint="eastAsia" w:ascii="宋体" w:hAnsi="宋体" w:eastAsia="宋体" w:cs="宋体"/>
                <w:sz w:val="24"/>
                <w:szCs w:val="24"/>
              </w:rPr>
            </w:pPr>
            <w:r>
              <w:rPr>
                <w:rFonts w:hint="eastAsia" w:ascii="宋体" w:hAnsi="宋体" w:eastAsia="宋体" w:cs="宋体"/>
                <w:sz w:val="24"/>
                <w:szCs w:val="24"/>
              </w:rPr>
              <w:t>美的集团（000333.SZ）</w:t>
            </w:r>
          </w:p>
        </w:tc>
        <w:tc>
          <w:p w14:paraId="70C96F14">
            <w:pPr>
              <w:pStyle w:val="24"/>
              <w:jc w:val="right"/>
              <w:rPr>
                <w:rFonts w:hint="eastAsia" w:ascii="宋体" w:hAnsi="宋体" w:eastAsia="宋体" w:cs="宋体"/>
                <w:sz w:val="24"/>
                <w:szCs w:val="24"/>
              </w:rPr>
            </w:pPr>
            <w:r>
              <w:rPr>
                <w:rFonts w:hint="eastAsia" w:ascii="宋体" w:hAnsi="宋体" w:eastAsia="宋体" w:cs="宋体"/>
                <w:sz w:val="24"/>
                <w:szCs w:val="24"/>
              </w:rPr>
              <w:t>46.7%</w:t>
            </w:r>
          </w:p>
        </w:tc>
        <w:tc>
          <w:p w14:paraId="750E716D">
            <w:pPr>
              <w:pStyle w:val="24"/>
              <w:jc w:val="right"/>
              <w:rPr>
                <w:rFonts w:hint="eastAsia" w:ascii="宋体" w:hAnsi="宋体" w:eastAsia="宋体" w:cs="宋体"/>
                <w:sz w:val="24"/>
                <w:szCs w:val="24"/>
              </w:rPr>
            </w:pPr>
            <w:r>
              <w:rPr>
                <w:rFonts w:hint="eastAsia" w:ascii="宋体" w:hAnsi="宋体" w:eastAsia="宋体" w:cs="宋体"/>
                <w:sz w:val="24"/>
                <w:szCs w:val="24"/>
              </w:rPr>
              <w:t>21.1%</w:t>
            </w:r>
          </w:p>
        </w:tc>
        <w:tc>
          <w:p w14:paraId="10883965">
            <w:pPr>
              <w:pStyle w:val="24"/>
              <w:jc w:val="right"/>
              <w:rPr>
                <w:rFonts w:hint="eastAsia" w:ascii="宋体" w:hAnsi="宋体" w:eastAsia="宋体" w:cs="宋体"/>
                <w:sz w:val="24"/>
                <w:szCs w:val="24"/>
              </w:rPr>
            </w:pPr>
            <w:r>
              <w:rPr>
                <w:rFonts w:hint="eastAsia" w:ascii="宋体" w:hAnsi="宋体" w:eastAsia="宋体" w:cs="宋体"/>
                <w:sz w:val="24"/>
                <w:szCs w:val="24"/>
              </w:rPr>
              <w:t>23.6%</w:t>
            </w:r>
          </w:p>
        </w:tc>
        <w:tc>
          <w:p w14:paraId="5CFFE9F2">
            <w:pPr>
              <w:pStyle w:val="24"/>
              <w:jc w:val="right"/>
              <w:rPr>
                <w:rFonts w:hint="eastAsia" w:ascii="宋体" w:hAnsi="宋体" w:eastAsia="宋体" w:cs="宋体"/>
                <w:sz w:val="24"/>
                <w:szCs w:val="24"/>
              </w:rPr>
            </w:pPr>
            <w:r>
              <w:rPr>
                <w:rFonts w:hint="eastAsia" w:ascii="宋体" w:hAnsi="宋体" w:eastAsia="宋体" w:cs="宋体"/>
                <w:sz w:val="24"/>
                <w:szCs w:val="24"/>
              </w:rPr>
              <w:t>-16.2%</w:t>
            </w:r>
          </w:p>
        </w:tc>
        <w:tc>
          <w:p w14:paraId="48F287DF">
            <w:pPr>
              <w:pStyle w:val="24"/>
              <w:jc w:val="right"/>
              <w:rPr>
                <w:rFonts w:hint="eastAsia" w:ascii="宋体" w:hAnsi="宋体" w:eastAsia="宋体" w:cs="宋体"/>
                <w:sz w:val="24"/>
                <w:szCs w:val="24"/>
              </w:rPr>
            </w:pPr>
            <w:r>
              <w:rPr>
                <w:rFonts w:hint="eastAsia" w:ascii="宋体" w:hAnsi="宋体" w:eastAsia="宋体" w:cs="宋体"/>
                <w:sz w:val="24"/>
                <w:szCs w:val="24"/>
              </w:rPr>
              <w:t>0.81</w:t>
            </w:r>
          </w:p>
        </w:tc>
        <w:tc>
          <w:p w14:paraId="024DD655">
            <w:pPr>
              <w:pStyle w:val="24"/>
              <w:jc w:val="right"/>
              <w:rPr>
                <w:rFonts w:hint="eastAsia" w:ascii="宋体" w:hAnsi="宋体" w:eastAsia="宋体" w:cs="宋体"/>
                <w:sz w:val="24"/>
                <w:szCs w:val="24"/>
              </w:rPr>
            </w:pPr>
            <w:r>
              <w:rPr>
                <w:rFonts w:hint="eastAsia" w:ascii="宋体" w:hAnsi="宋体" w:eastAsia="宋体" w:cs="宋体"/>
                <w:sz w:val="24"/>
                <w:szCs w:val="24"/>
              </w:rPr>
              <w:t>1.30</w:t>
            </w:r>
          </w:p>
        </w:tc>
      </w:tr>
      <w:tr w14:paraId="0E2A8629">
        <w:tc>
          <w:p w14:paraId="214A2C8F">
            <w:pPr>
              <w:pStyle w:val="24"/>
              <w:jc w:val="left"/>
              <w:rPr>
                <w:rFonts w:hint="eastAsia" w:ascii="宋体" w:hAnsi="宋体" w:eastAsia="宋体" w:cs="宋体"/>
                <w:sz w:val="24"/>
                <w:szCs w:val="24"/>
              </w:rPr>
            </w:pPr>
            <w:r>
              <w:rPr>
                <w:rFonts w:hint="eastAsia" w:ascii="宋体" w:hAnsi="宋体" w:eastAsia="宋体" w:cs="宋体"/>
                <w:sz w:val="24"/>
                <w:szCs w:val="24"/>
              </w:rPr>
              <w:t>腾讯控股（00700.HK）</w:t>
            </w:r>
          </w:p>
        </w:tc>
        <w:tc>
          <w:p w14:paraId="63FA3086">
            <w:pPr>
              <w:pStyle w:val="24"/>
              <w:jc w:val="right"/>
              <w:rPr>
                <w:rFonts w:hint="eastAsia" w:ascii="宋体" w:hAnsi="宋体" w:eastAsia="宋体" w:cs="宋体"/>
                <w:sz w:val="24"/>
                <w:szCs w:val="24"/>
              </w:rPr>
            </w:pPr>
            <w:r>
              <w:rPr>
                <w:rFonts w:hint="eastAsia" w:ascii="宋体" w:hAnsi="宋体" w:eastAsia="宋体" w:cs="宋体"/>
                <w:sz w:val="24"/>
                <w:szCs w:val="24"/>
              </w:rPr>
              <w:t>32.9%</w:t>
            </w:r>
          </w:p>
        </w:tc>
        <w:tc>
          <w:p w14:paraId="272132F2">
            <w:pPr>
              <w:pStyle w:val="24"/>
              <w:jc w:val="right"/>
              <w:rPr>
                <w:rFonts w:hint="eastAsia" w:ascii="宋体" w:hAnsi="宋体" w:eastAsia="宋体" w:cs="宋体"/>
                <w:sz w:val="24"/>
                <w:szCs w:val="24"/>
              </w:rPr>
            </w:pPr>
            <w:r>
              <w:rPr>
                <w:rFonts w:hint="eastAsia" w:ascii="宋体" w:hAnsi="宋体" w:eastAsia="宋体" w:cs="宋体"/>
                <w:sz w:val="24"/>
                <w:szCs w:val="24"/>
              </w:rPr>
              <w:t>15.2%</w:t>
            </w:r>
          </w:p>
        </w:tc>
        <w:tc>
          <w:p w14:paraId="7AC62991">
            <w:pPr>
              <w:pStyle w:val="24"/>
              <w:jc w:val="right"/>
              <w:rPr>
                <w:rFonts w:hint="eastAsia" w:ascii="宋体" w:hAnsi="宋体" w:eastAsia="宋体" w:cs="宋体"/>
                <w:sz w:val="24"/>
                <w:szCs w:val="24"/>
              </w:rPr>
            </w:pPr>
            <w:r>
              <w:rPr>
                <w:rFonts w:hint="eastAsia" w:ascii="宋体" w:hAnsi="宋体" w:eastAsia="宋体" w:cs="宋体"/>
                <w:sz w:val="24"/>
                <w:szCs w:val="24"/>
              </w:rPr>
              <w:t>32.9%</w:t>
            </w:r>
          </w:p>
        </w:tc>
        <w:tc>
          <w:p w14:paraId="13B6E022">
            <w:pPr>
              <w:pStyle w:val="24"/>
              <w:jc w:val="right"/>
              <w:rPr>
                <w:rFonts w:hint="eastAsia" w:ascii="宋体" w:hAnsi="宋体" w:eastAsia="宋体" w:cs="宋体"/>
                <w:sz w:val="24"/>
                <w:szCs w:val="24"/>
              </w:rPr>
            </w:pPr>
            <w:r>
              <w:rPr>
                <w:rFonts w:hint="eastAsia" w:ascii="宋体" w:hAnsi="宋体" w:eastAsia="宋体" w:cs="宋体"/>
                <w:sz w:val="24"/>
                <w:szCs w:val="24"/>
              </w:rPr>
              <w:t>-38.5%</w:t>
            </w:r>
          </w:p>
        </w:tc>
        <w:tc>
          <w:p w14:paraId="222F99C6">
            <w:pPr>
              <w:pStyle w:val="24"/>
              <w:jc w:val="right"/>
              <w:rPr>
                <w:rFonts w:hint="eastAsia" w:ascii="宋体" w:hAnsi="宋体" w:eastAsia="宋体" w:cs="宋体"/>
                <w:sz w:val="24"/>
                <w:szCs w:val="24"/>
              </w:rPr>
            </w:pPr>
            <w:r>
              <w:rPr>
                <w:rFonts w:hint="eastAsia" w:ascii="宋体" w:hAnsi="宋体" w:eastAsia="宋体" w:cs="宋体"/>
                <w:sz w:val="24"/>
                <w:szCs w:val="24"/>
              </w:rPr>
              <w:t>0.40</w:t>
            </w:r>
          </w:p>
        </w:tc>
        <w:tc>
          <w:p w14:paraId="663D10C5">
            <w:pPr>
              <w:pStyle w:val="24"/>
              <w:jc w:val="right"/>
              <w:rPr>
                <w:rFonts w:hint="eastAsia" w:ascii="宋体" w:hAnsi="宋体" w:eastAsia="宋体" w:cs="宋体"/>
                <w:sz w:val="24"/>
                <w:szCs w:val="24"/>
              </w:rPr>
            </w:pPr>
            <w:r>
              <w:rPr>
                <w:rFonts w:hint="eastAsia" w:ascii="宋体" w:hAnsi="宋体" w:eastAsia="宋体" w:cs="宋体"/>
                <w:sz w:val="24"/>
                <w:szCs w:val="24"/>
              </w:rPr>
              <w:t>0.40</w:t>
            </w:r>
          </w:p>
        </w:tc>
      </w:tr>
      <w:tr w14:paraId="0055E5C5">
        <w:tc>
          <w:p w14:paraId="33E4B477">
            <w:pPr>
              <w:pStyle w:val="24"/>
              <w:jc w:val="left"/>
              <w:rPr>
                <w:rFonts w:hint="eastAsia" w:ascii="宋体" w:hAnsi="宋体" w:eastAsia="宋体" w:cs="宋体"/>
                <w:sz w:val="24"/>
                <w:szCs w:val="24"/>
              </w:rPr>
            </w:pPr>
            <w:r>
              <w:rPr>
                <w:rFonts w:hint="eastAsia" w:ascii="宋体" w:hAnsi="宋体" w:eastAsia="宋体" w:cs="宋体"/>
                <w:sz w:val="24"/>
                <w:szCs w:val="24"/>
              </w:rPr>
              <w:t>恒瑞医药（600276.SH）</w:t>
            </w:r>
          </w:p>
        </w:tc>
        <w:tc>
          <w:p w14:paraId="7124C99B">
            <w:pPr>
              <w:pStyle w:val="24"/>
              <w:jc w:val="right"/>
              <w:rPr>
                <w:rFonts w:hint="eastAsia" w:ascii="宋体" w:hAnsi="宋体" w:eastAsia="宋体" w:cs="宋体"/>
                <w:sz w:val="24"/>
                <w:szCs w:val="24"/>
              </w:rPr>
            </w:pPr>
            <w:r>
              <w:rPr>
                <w:rFonts w:hint="eastAsia" w:ascii="宋体" w:hAnsi="宋体" w:eastAsia="宋体" w:cs="宋体"/>
                <w:sz w:val="24"/>
                <w:szCs w:val="24"/>
              </w:rPr>
              <w:t>31.1%</w:t>
            </w:r>
          </w:p>
        </w:tc>
        <w:tc>
          <w:p w14:paraId="693AD9DB">
            <w:pPr>
              <w:pStyle w:val="24"/>
              <w:jc w:val="right"/>
              <w:rPr>
                <w:rFonts w:hint="eastAsia" w:ascii="宋体" w:hAnsi="宋体" w:eastAsia="宋体" w:cs="宋体"/>
                <w:sz w:val="24"/>
                <w:szCs w:val="24"/>
              </w:rPr>
            </w:pPr>
            <w:r>
              <w:rPr>
                <w:rFonts w:hint="eastAsia" w:ascii="宋体" w:hAnsi="宋体" w:eastAsia="宋体" w:cs="宋体"/>
                <w:sz w:val="24"/>
                <w:szCs w:val="24"/>
              </w:rPr>
              <w:t>14.5%</w:t>
            </w:r>
          </w:p>
        </w:tc>
        <w:tc>
          <w:p w14:paraId="0881EF2B">
            <w:pPr>
              <w:pStyle w:val="24"/>
              <w:jc w:val="right"/>
              <w:rPr>
                <w:rFonts w:hint="eastAsia" w:ascii="宋体" w:hAnsi="宋体" w:eastAsia="宋体" w:cs="宋体"/>
                <w:sz w:val="24"/>
                <w:szCs w:val="24"/>
              </w:rPr>
            </w:pPr>
            <w:r>
              <w:rPr>
                <w:rFonts w:hint="eastAsia" w:ascii="宋体" w:hAnsi="宋体" w:eastAsia="宋体" w:cs="宋体"/>
                <w:sz w:val="24"/>
                <w:szCs w:val="24"/>
              </w:rPr>
              <w:t>33.9%</w:t>
            </w:r>
          </w:p>
        </w:tc>
        <w:tc>
          <w:p w14:paraId="3CC22ED9">
            <w:pPr>
              <w:pStyle w:val="24"/>
              <w:jc w:val="right"/>
              <w:rPr>
                <w:rFonts w:hint="eastAsia" w:ascii="宋体" w:hAnsi="宋体" w:eastAsia="宋体" w:cs="宋体"/>
                <w:sz w:val="24"/>
                <w:szCs w:val="24"/>
              </w:rPr>
            </w:pPr>
            <w:r>
              <w:rPr>
                <w:rFonts w:hint="eastAsia" w:ascii="宋体" w:hAnsi="宋体" w:eastAsia="宋体" w:cs="宋体"/>
                <w:sz w:val="24"/>
                <w:szCs w:val="24"/>
              </w:rPr>
              <w:t>-36.3%</w:t>
            </w:r>
          </w:p>
        </w:tc>
        <w:tc>
          <w:p w14:paraId="2A1E48A0">
            <w:pPr>
              <w:pStyle w:val="24"/>
              <w:jc w:val="right"/>
              <w:rPr>
                <w:rFonts w:hint="eastAsia" w:ascii="宋体" w:hAnsi="宋体" w:eastAsia="宋体" w:cs="宋体"/>
                <w:sz w:val="24"/>
                <w:szCs w:val="24"/>
              </w:rPr>
            </w:pPr>
            <w:r>
              <w:rPr>
                <w:rFonts w:hint="eastAsia" w:ascii="宋体" w:hAnsi="宋体" w:eastAsia="宋体" w:cs="宋体"/>
                <w:sz w:val="24"/>
                <w:szCs w:val="24"/>
              </w:rPr>
              <w:t>0.37</w:t>
            </w:r>
          </w:p>
        </w:tc>
        <w:tc>
          <w:p w14:paraId="31F807EA">
            <w:pPr>
              <w:pStyle w:val="24"/>
              <w:jc w:val="right"/>
              <w:rPr>
                <w:rFonts w:hint="eastAsia" w:ascii="宋体" w:hAnsi="宋体" w:eastAsia="宋体" w:cs="宋体"/>
                <w:sz w:val="24"/>
                <w:szCs w:val="24"/>
              </w:rPr>
            </w:pPr>
            <w:r>
              <w:rPr>
                <w:rFonts w:hint="eastAsia" w:ascii="宋体" w:hAnsi="宋体" w:eastAsia="宋体" w:cs="宋体"/>
                <w:sz w:val="24"/>
                <w:szCs w:val="24"/>
              </w:rPr>
              <w:t>0.40</w:t>
            </w:r>
          </w:p>
        </w:tc>
      </w:tr>
      <w:tr w14:paraId="5FF881F6">
        <w:tc>
          <w:p w14:paraId="34D92803">
            <w:pPr>
              <w:pStyle w:val="24"/>
              <w:jc w:val="left"/>
              <w:rPr>
                <w:rFonts w:hint="eastAsia" w:ascii="宋体" w:hAnsi="宋体" w:eastAsia="宋体" w:cs="宋体"/>
                <w:sz w:val="24"/>
                <w:szCs w:val="24"/>
              </w:rPr>
            </w:pPr>
            <w:r>
              <w:rPr>
                <w:rFonts w:hint="eastAsia" w:ascii="宋体" w:hAnsi="宋体" w:eastAsia="宋体" w:cs="宋体"/>
                <w:sz w:val="24"/>
                <w:szCs w:val="24"/>
              </w:rPr>
              <w:t>达仁堂（600329.SH）</w:t>
            </w:r>
          </w:p>
        </w:tc>
        <w:tc>
          <w:p w14:paraId="16DD1E8A">
            <w:pPr>
              <w:pStyle w:val="24"/>
              <w:jc w:val="right"/>
              <w:rPr>
                <w:rFonts w:hint="eastAsia" w:ascii="宋体" w:hAnsi="宋体" w:eastAsia="宋体" w:cs="宋体"/>
                <w:sz w:val="24"/>
                <w:szCs w:val="24"/>
              </w:rPr>
            </w:pPr>
            <w:r>
              <w:rPr>
                <w:rFonts w:hint="eastAsia" w:ascii="宋体" w:hAnsi="宋体" w:eastAsia="宋体" w:cs="宋体"/>
                <w:sz w:val="24"/>
                <w:szCs w:val="24"/>
              </w:rPr>
              <w:t>29.8%</w:t>
            </w:r>
          </w:p>
        </w:tc>
        <w:tc>
          <w:p w14:paraId="16563761">
            <w:pPr>
              <w:pStyle w:val="24"/>
              <w:jc w:val="right"/>
              <w:rPr>
                <w:rFonts w:hint="eastAsia" w:ascii="宋体" w:hAnsi="宋体" w:eastAsia="宋体" w:cs="宋体"/>
                <w:sz w:val="24"/>
                <w:szCs w:val="24"/>
              </w:rPr>
            </w:pPr>
            <w:r>
              <w:rPr>
                <w:rFonts w:hint="eastAsia" w:ascii="宋体" w:hAnsi="宋体" w:eastAsia="宋体" w:cs="宋体"/>
                <w:sz w:val="24"/>
                <w:szCs w:val="24"/>
              </w:rPr>
              <w:t>13.9%</w:t>
            </w:r>
          </w:p>
        </w:tc>
        <w:tc>
          <w:p w14:paraId="3CE3004A">
            <w:pPr>
              <w:pStyle w:val="24"/>
              <w:jc w:val="right"/>
              <w:rPr>
                <w:rFonts w:hint="eastAsia" w:ascii="宋体" w:hAnsi="宋体" w:eastAsia="宋体" w:cs="宋体"/>
                <w:sz w:val="24"/>
                <w:szCs w:val="24"/>
              </w:rPr>
            </w:pPr>
            <w:r>
              <w:rPr>
                <w:rFonts w:hint="eastAsia" w:ascii="宋体" w:hAnsi="宋体" w:eastAsia="宋体" w:cs="宋体"/>
                <w:sz w:val="24"/>
                <w:szCs w:val="24"/>
              </w:rPr>
              <w:t>32.5%</w:t>
            </w:r>
          </w:p>
        </w:tc>
        <w:tc>
          <w:p w14:paraId="0945A192">
            <w:pPr>
              <w:pStyle w:val="24"/>
              <w:jc w:val="right"/>
              <w:rPr>
                <w:rFonts w:hint="eastAsia" w:ascii="宋体" w:hAnsi="宋体" w:eastAsia="宋体" w:cs="宋体"/>
                <w:sz w:val="24"/>
                <w:szCs w:val="24"/>
              </w:rPr>
            </w:pPr>
            <w:r>
              <w:rPr>
                <w:rFonts w:hint="eastAsia" w:ascii="宋体" w:hAnsi="宋体" w:eastAsia="宋体" w:cs="宋体"/>
                <w:sz w:val="24"/>
                <w:szCs w:val="24"/>
              </w:rPr>
              <w:t>-25.2%</w:t>
            </w:r>
          </w:p>
        </w:tc>
        <w:tc>
          <w:p w14:paraId="2318E76A">
            <w:pPr>
              <w:pStyle w:val="24"/>
              <w:jc w:val="right"/>
              <w:rPr>
                <w:rFonts w:hint="eastAsia" w:ascii="宋体" w:hAnsi="宋体" w:eastAsia="宋体" w:cs="宋体"/>
                <w:sz w:val="24"/>
                <w:szCs w:val="24"/>
              </w:rPr>
            </w:pPr>
            <w:r>
              <w:rPr>
                <w:rFonts w:hint="eastAsia" w:ascii="宋体" w:hAnsi="宋体" w:eastAsia="宋体" w:cs="宋体"/>
                <w:sz w:val="24"/>
                <w:szCs w:val="24"/>
              </w:rPr>
              <w:t>0.37</w:t>
            </w:r>
          </w:p>
        </w:tc>
        <w:tc>
          <w:p w14:paraId="177832EF">
            <w:pPr>
              <w:pStyle w:val="24"/>
              <w:jc w:val="right"/>
              <w:rPr>
                <w:rFonts w:hint="eastAsia" w:ascii="宋体" w:hAnsi="宋体" w:eastAsia="宋体" w:cs="宋体"/>
                <w:sz w:val="24"/>
                <w:szCs w:val="24"/>
              </w:rPr>
            </w:pPr>
            <w:r>
              <w:rPr>
                <w:rFonts w:hint="eastAsia" w:ascii="宋体" w:hAnsi="宋体" w:eastAsia="宋体" w:cs="宋体"/>
                <w:sz w:val="24"/>
                <w:szCs w:val="24"/>
              </w:rPr>
              <w:t>0.55</w:t>
            </w:r>
          </w:p>
        </w:tc>
      </w:tr>
      <w:tr w14:paraId="5140A371">
        <w:tc>
          <w:p w14:paraId="0A9B2A60">
            <w:pPr>
              <w:pStyle w:val="24"/>
              <w:jc w:val="left"/>
              <w:rPr>
                <w:rFonts w:hint="eastAsia" w:ascii="宋体" w:hAnsi="宋体" w:eastAsia="宋体" w:cs="宋体"/>
                <w:sz w:val="24"/>
                <w:szCs w:val="24"/>
              </w:rPr>
            </w:pPr>
            <w:r>
              <w:rPr>
                <w:rFonts w:hint="eastAsia" w:ascii="宋体" w:hAnsi="宋体" w:eastAsia="宋体" w:cs="宋体"/>
                <w:sz w:val="24"/>
                <w:szCs w:val="24"/>
              </w:rPr>
              <w:t>奇正藏药（002287.SZ）</w:t>
            </w:r>
          </w:p>
        </w:tc>
        <w:tc>
          <w:p w14:paraId="08BF7591">
            <w:pPr>
              <w:pStyle w:val="24"/>
              <w:jc w:val="right"/>
              <w:rPr>
                <w:rFonts w:hint="eastAsia" w:ascii="宋体" w:hAnsi="宋体" w:eastAsia="宋体" w:cs="宋体"/>
                <w:sz w:val="24"/>
                <w:szCs w:val="24"/>
              </w:rPr>
            </w:pPr>
            <w:r>
              <w:rPr>
                <w:rFonts w:hint="eastAsia" w:ascii="宋体" w:hAnsi="宋体" w:eastAsia="宋体" w:cs="宋体"/>
                <w:sz w:val="24"/>
                <w:szCs w:val="24"/>
              </w:rPr>
              <w:t>15.0%</w:t>
            </w:r>
          </w:p>
        </w:tc>
        <w:tc>
          <w:p w14:paraId="7F5641E2">
            <w:pPr>
              <w:pStyle w:val="24"/>
              <w:jc w:val="right"/>
              <w:rPr>
                <w:rFonts w:hint="eastAsia" w:ascii="宋体" w:hAnsi="宋体" w:eastAsia="宋体" w:cs="宋体"/>
                <w:sz w:val="24"/>
                <w:szCs w:val="24"/>
              </w:rPr>
            </w:pPr>
            <w:r>
              <w:rPr>
                <w:rFonts w:hint="eastAsia" w:ascii="宋体" w:hAnsi="宋体" w:eastAsia="宋体" w:cs="宋体"/>
                <w:sz w:val="24"/>
                <w:szCs w:val="24"/>
              </w:rPr>
              <w:t>7.2%</w:t>
            </w:r>
          </w:p>
        </w:tc>
        <w:tc>
          <w:p w14:paraId="1D8322C3">
            <w:pPr>
              <w:pStyle w:val="24"/>
              <w:jc w:val="right"/>
              <w:rPr>
                <w:rFonts w:hint="eastAsia" w:ascii="宋体" w:hAnsi="宋体" w:eastAsia="宋体" w:cs="宋体"/>
                <w:sz w:val="24"/>
                <w:szCs w:val="24"/>
              </w:rPr>
            </w:pPr>
            <w:r>
              <w:rPr>
                <w:rFonts w:hint="eastAsia" w:ascii="宋体" w:hAnsi="宋体" w:eastAsia="宋体" w:cs="宋体"/>
                <w:sz w:val="24"/>
                <w:szCs w:val="24"/>
              </w:rPr>
              <w:t>33.3%</w:t>
            </w:r>
          </w:p>
        </w:tc>
        <w:tc>
          <w:p w14:paraId="107DE492">
            <w:pPr>
              <w:pStyle w:val="24"/>
              <w:jc w:val="right"/>
              <w:rPr>
                <w:rFonts w:hint="eastAsia" w:ascii="宋体" w:hAnsi="宋体" w:eastAsia="宋体" w:cs="宋体"/>
                <w:sz w:val="24"/>
                <w:szCs w:val="24"/>
              </w:rPr>
            </w:pPr>
            <w:r>
              <w:rPr>
                <w:rFonts w:hint="eastAsia" w:ascii="宋体" w:hAnsi="宋体" w:eastAsia="宋体" w:cs="宋体"/>
                <w:sz w:val="24"/>
                <w:szCs w:val="24"/>
              </w:rPr>
              <w:t>-46.5%</w:t>
            </w:r>
          </w:p>
        </w:tc>
        <w:tc>
          <w:p w14:paraId="282C3202">
            <w:pPr>
              <w:pStyle w:val="24"/>
              <w:jc w:val="right"/>
              <w:rPr>
                <w:rFonts w:hint="eastAsia" w:ascii="宋体" w:hAnsi="宋体" w:eastAsia="宋体" w:cs="宋体"/>
                <w:sz w:val="24"/>
                <w:szCs w:val="24"/>
              </w:rPr>
            </w:pPr>
            <w:r>
              <w:rPr>
                <w:rFonts w:hint="eastAsia" w:ascii="宋体" w:hAnsi="宋体" w:eastAsia="宋体" w:cs="宋体"/>
                <w:sz w:val="24"/>
                <w:szCs w:val="24"/>
              </w:rPr>
              <w:t>0.16</w:t>
            </w:r>
          </w:p>
        </w:tc>
        <w:tc>
          <w:p w14:paraId="10C420DB">
            <w:pPr>
              <w:pStyle w:val="24"/>
              <w:jc w:val="right"/>
              <w:rPr>
                <w:rFonts w:hint="eastAsia" w:ascii="宋体" w:hAnsi="宋体" w:eastAsia="宋体" w:cs="宋体"/>
                <w:sz w:val="24"/>
                <w:szCs w:val="24"/>
              </w:rPr>
            </w:pPr>
            <w:r>
              <w:rPr>
                <w:rFonts w:hint="eastAsia" w:ascii="宋体" w:hAnsi="宋体" w:eastAsia="宋体" w:cs="宋体"/>
                <w:sz w:val="24"/>
                <w:szCs w:val="24"/>
              </w:rPr>
              <w:t>0.16</w:t>
            </w:r>
          </w:p>
        </w:tc>
      </w:tr>
      <w:tr w14:paraId="69946DB7">
        <w:tc>
          <w:p w14:paraId="2597BEBD">
            <w:pPr>
              <w:pStyle w:val="24"/>
              <w:jc w:val="left"/>
              <w:rPr>
                <w:rFonts w:hint="eastAsia" w:ascii="宋体" w:hAnsi="宋体" w:eastAsia="宋体" w:cs="宋体"/>
                <w:sz w:val="24"/>
                <w:szCs w:val="24"/>
              </w:rPr>
            </w:pPr>
            <w:r>
              <w:rPr>
                <w:rFonts w:hint="eastAsia" w:ascii="宋体" w:hAnsi="宋体" w:eastAsia="宋体" w:cs="宋体"/>
                <w:sz w:val="24"/>
                <w:szCs w:val="24"/>
              </w:rPr>
              <w:t>红利ETF（515100.SH）</w:t>
            </w:r>
          </w:p>
        </w:tc>
        <w:tc>
          <w:p w14:paraId="480147C8">
            <w:pPr>
              <w:pStyle w:val="24"/>
              <w:jc w:val="right"/>
              <w:rPr>
                <w:rFonts w:hint="eastAsia" w:ascii="宋体" w:hAnsi="宋体" w:eastAsia="宋体" w:cs="宋体"/>
                <w:sz w:val="24"/>
                <w:szCs w:val="24"/>
              </w:rPr>
            </w:pPr>
            <w:r>
              <w:rPr>
                <w:rFonts w:hint="eastAsia" w:ascii="宋体" w:hAnsi="宋体" w:eastAsia="宋体" w:cs="宋体"/>
                <w:sz w:val="24"/>
                <w:szCs w:val="24"/>
              </w:rPr>
              <w:t>14.0%</w:t>
            </w:r>
          </w:p>
        </w:tc>
        <w:tc>
          <w:p w14:paraId="2798CABA">
            <w:pPr>
              <w:pStyle w:val="24"/>
              <w:jc w:val="right"/>
              <w:rPr>
                <w:rFonts w:hint="eastAsia" w:ascii="宋体" w:hAnsi="宋体" w:eastAsia="宋体" w:cs="宋体"/>
                <w:sz w:val="24"/>
                <w:szCs w:val="24"/>
              </w:rPr>
            </w:pPr>
            <w:r>
              <w:rPr>
                <w:rFonts w:hint="eastAsia" w:ascii="宋体" w:hAnsi="宋体" w:eastAsia="宋体" w:cs="宋体"/>
                <w:sz w:val="24"/>
                <w:szCs w:val="24"/>
              </w:rPr>
              <w:t>6.7%</w:t>
            </w:r>
          </w:p>
        </w:tc>
        <w:tc>
          <w:p w14:paraId="13B2B12C">
            <w:pPr>
              <w:pStyle w:val="24"/>
              <w:jc w:val="right"/>
              <w:rPr>
                <w:rFonts w:hint="eastAsia" w:ascii="宋体" w:hAnsi="宋体" w:eastAsia="宋体" w:cs="宋体"/>
                <w:sz w:val="24"/>
                <w:szCs w:val="24"/>
              </w:rPr>
            </w:pPr>
            <w:r>
              <w:rPr>
                <w:rFonts w:hint="eastAsia" w:ascii="宋体" w:hAnsi="宋体" w:eastAsia="宋体" w:cs="宋体"/>
                <w:sz w:val="24"/>
                <w:szCs w:val="24"/>
              </w:rPr>
              <w:t>15.5%</w:t>
            </w:r>
          </w:p>
        </w:tc>
        <w:tc>
          <w:p w14:paraId="2FB9DFD7">
            <w:pPr>
              <w:pStyle w:val="24"/>
              <w:jc w:val="right"/>
              <w:rPr>
                <w:rFonts w:hint="eastAsia" w:ascii="宋体" w:hAnsi="宋体" w:eastAsia="宋体" w:cs="宋体"/>
                <w:sz w:val="24"/>
                <w:szCs w:val="24"/>
              </w:rPr>
            </w:pPr>
            <w:r>
              <w:rPr>
                <w:rFonts w:hint="eastAsia" w:ascii="宋体" w:hAnsi="宋体" w:eastAsia="宋体" w:cs="宋体"/>
                <w:sz w:val="24"/>
                <w:szCs w:val="24"/>
              </w:rPr>
              <w:t>-13.6%</w:t>
            </w:r>
          </w:p>
        </w:tc>
        <w:tc>
          <w:p w14:paraId="761EFAD6">
            <w:pPr>
              <w:pStyle w:val="24"/>
              <w:jc w:val="right"/>
              <w:rPr>
                <w:rFonts w:hint="eastAsia" w:ascii="宋体" w:hAnsi="宋体" w:eastAsia="宋体" w:cs="宋体"/>
                <w:sz w:val="24"/>
                <w:szCs w:val="24"/>
              </w:rPr>
            </w:pPr>
            <w:r>
              <w:rPr>
                <w:rFonts w:hint="eastAsia" w:ascii="宋体" w:hAnsi="宋体" w:eastAsia="宋体" w:cs="宋体"/>
                <w:sz w:val="24"/>
                <w:szCs w:val="24"/>
              </w:rPr>
              <w:t>0.31</w:t>
            </w:r>
          </w:p>
        </w:tc>
        <w:tc>
          <w:p w14:paraId="54EC3E5E">
            <w:pPr>
              <w:pStyle w:val="24"/>
              <w:jc w:val="right"/>
              <w:rPr>
                <w:rFonts w:hint="eastAsia" w:ascii="宋体" w:hAnsi="宋体" w:eastAsia="宋体" w:cs="宋体"/>
                <w:sz w:val="24"/>
                <w:szCs w:val="24"/>
              </w:rPr>
            </w:pPr>
            <w:r>
              <w:rPr>
                <w:rFonts w:hint="eastAsia" w:ascii="宋体" w:hAnsi="宋体" w:eastAsia="宋体" w:cs="宋体"/>
                <w:sz w:val="24"/>
                <w:szCs w:val="24"/>
              </w:rPr>
              <w:t>0.49</w:t>
            </w:r>
          </w:p>
        </w:tc>
      </w:tr>
      <w:tr w14:paraId="2E94AD6B">
        <w:tc>
          <w:p w14:paraId="1B91ABEC">
            <w:pPr>
              <w:pStyle w:val="24"/>
              <w:jc w:val="left"/>
              <w:rPr>
                <w:rFonts w:hint="eastAsia" w:ascii="宋体" w:hAnsi="宋体" w:eastAsia="宋体" w:cs="宋体"/>
                <w:sz w:val="24"/>
                <w:szCs w:val="24"/>
              </w:rPr>
            </w:pPr>
            <w:r>
              <w:rPr>
                <w:rFonts w:hint="eastAsia" w:ascii="宋体" w:hAnsi="宋体" w:eastAsia="宋体" w:cs="宋体"/>
                <w:sz w:val="24"/>
                <w:szCs w:val="24"/>
              </w:rPr>
              <w:t>伊利股份（600887.SH）</w:t>
            </w:r>
          </w:p>
        </w:tc>
        <w:tc>
          <w:p w14:paraId="77640EC5">
            <w:pPr>
              <w:pStyle w:val="24"/>
              <w:jc w:val="right"/>
              <w:rPr>
                <w:rFonts w:hint="eastAsia" w:ascii="宋体" w:hAnsi="宋体" w:eastAsia="宋体" w:cs="宋体"/>
                <w:sz w:val="24"/>
                <w:szCs w:val="24"/>
              </w:rPr>
            </w:pPr>
            <w:r>
              <w:rPr>
                <w:rFonts w:hint="eastAsia" w:ascii="宋体" w:hAnsi="宋体" w:eastAsia="宋体" w:cs="宋体"/>
                <w:sz w:val="24"/>
                <w:szCs w:val="24"/>
              </w:rPr>
              <w:t>12.5%</w:t>
            </w:r>
          </w:p>
        </w:tc>
        <w:tc>
          <w:p w14:paraId="138A1299">
            <w:pPr>
              <w:pStyle w:val="24"/>
              <w:jc w:val="right"/>
              <w:rPr>
                <w:rFonts w:hint="eastAsia" w:ascii="宋体" w:hAnsi="宋体" w:eastAsia="宋体" w:cs="宋体"/>
                <w:sz w:val="24"/>
                <w:szCs w:val="24"/>
              </w:rPr>
            </w:pPr>
            <w:r>
              <w:rPr>
                <w:rFonts w:hint="eastAsia" w:ascii="宋体" w:hAnsi="宋体" w:eastAsia="宋体" w:cs="宋体"/>
                <w:sz w:val="24"/>
                <w:szCs w:val="24"/>
              </w:rPr>
              <w:t>6.0%</w:t>
            </w:r>
          </w:p>
        </w:tc>
        <w:tc>
          <w:p w14:paraId="32EAFF96">
            <w:pPr>
              <w:pStyle w:val="24"/>
              <w:jc w:val="right"/>
              <w:rPr>
                <w:rFonts w:hint="eastAsia" w:ascii="宋体" w:hAnsi="宋体" w:eastAsia="宋体" w:cs="宋体"/>
                <w:sz w:val="24"/>
                <w:szCs w:val="24"/>
              </w:rPr>
            </w:pPr>
            <w:r>
              <w:rPr>
                <w:rFonts w:hint="eastAsia" w:ascii="宋体" w:hAnsi="宋体" w:eastAsia="宋体" w:cs="宋体"/>
                <w:sz w:val="24"/>
                <w:szCs w:val="24"/>
              </w:rPr>
              <w:t>23.8%</w:t>
            </w:r>
          </w:p>
        </w:tc>
        <w:tc>
          <w:p w14:paraId="6E21A236">
            <w:pPr>
              <w:pStyle w:val="24"/>
              <w:jc w:val="right"/>
              <w:rPr>
                <w:rFonts w:hint="eastAsia" w:ascii="宋体" w:hAnsi="宋体" w:eastAsia="宋体" w:cs="宋体"/>
                <w:sz w:val="24"/>
                <w:szCs w:val="24"/>
              </w:rPr>
            </w:pPr>
            <w:r>
              <w:rPr>
                <w:rFonts w:hint="eastAsia" w:ascii="宋体" w:hAnsi="宋体" w:eastAsia="宋体" w:cs="宋体"/>
                <w:sz w:val="24"/>
                <w:szCs w:val="24"/>
              </w:rPr>
              <w:t>-19.1%</w:t>
            </w:r>
          </w:p>
        </w:tc>
        <w:tc>
          <w:p w14:paraId="5BE0C568">
            <w:pPr>
              <w:pStyle w:val="24"/>
              <w:jc w:val="right"/>
              <w:rPr>
                <w:rFonts w:hint="eastAsia" w:ascii="宋体" w:hAnsi="宋体" w:eastAsia="宋体" w:cs="宋体"/>
                <w:sz w:val="24"/>
                <w:szCs w:val="24"/>
              </w:rPr>
            </w:pPr>
            <w:r>
              <w:rPr>
                <w:rFonts w:hint="eastAsia" w:ascii="宋体" w:hAnsi="宋体" w:eastAsia="宋体" w:cs="宋体"/>
                <w:sz w:val="24"/>
                <w:szCs w:val="24"/>
              </w:rPr>
              <w:t>0.17</w:t>
            </w:r>
          </w:p>
        </w:tc>
        <w:tc>
          <w:p w14:paraId="271F4AFC">
            <w:pPr>
              <w:pStyle w:val="24"/>
              <w:jc w:val="right"/>
              <w:rPr>
                <w:rFonts w:hint="eastAsia" w:ascii="宋体" w:hAnsi="宋体" w:eastAsia="宋体" w:cs="宋体"/>
                <w:sz w:val="24"/>
                <w:szCs w:val="24"/>
              </w:rPr>
            </w:pPr>
            <w:r>
              <w:rPr>
                <w:rFonts w:hint="eastAsia" w:ascii="宋体" w:hAnsi="宋体" w:eastAsia="宋体" w:cs="宋体"/>
                <w:sz w:val="24"/>
                <w:szCs w:val="24"/>
              </w:rPr>
              <w:t>0.32</w:t>
            </w:r>
          </w:p>
        </w:tc>
      </w:tr>
      <w:tr w14:paraId="74EB09F3">
        <w:tc>
          <w:p w14:paraId="5C7D696B">
            <w:pPr>
              <w:pStyle w:val="24"/>
              <w:jc w:val="left"/>
              <w:rPr>
                <w:rFonts w:hint="eastAsia" w:ascii="宋体" w:hAnsi="宋体" w:eastAsia="宋体" w:cs="宋体"/>
                <w:sz w:val="24"/>
                <w:szCs w:val="24"/>
              </w:rPr>
            </w:pPr>
            <w:r>
              <w:rPr>
                <w:rFonts w:hint="eastAsia" w:ascii="宋体" w:hAnsi="宋体" w:eastAsia="宋体" w:cs="宋体"/>
                <w:sz w:val="24"/>
                <w:szCs w:val="24"/>
              </w:rPr>
              <w:t>云南白药（000538.SZ）</w:t>
            </w:r>
          </w:p>
        </w:tc>
        <w:tc>
          <w:p w14:paraId="38C50366">
            <w:pPr>
              <w:pStyle w:val="24"/>
              <w:jc w:val="right"/>
              <w:rPr>
                <w:rFonts w:hint="eastAsia" w:ascii="宋体" w:hAnsi="宋体" w:eastAsia="宋体" w:cs="宋体"/>
                <w:sz w:val="24"/>
                <w:szCs w:val="24"/>
              </w:rPr>
            </w:pPr>
            <w:r>
              <w:rPr>
                <w:rFonts w:hint="eastAsia" w:ascii="宋体" w:hAnsi="宋体" w:eastAsia="宋体" w:cs="宋体"/>
                <w:sz w:val="24"/>
                <w:szCs w:val="24"/>
              </w:rPr>
              <w:t>4.8%</w:t>
            </w:r>
          </w:p>
        </w:tc>
        <w:tc>
          <w:p w14:paraId="79FB2B8A">
            <w:pPr>
              <w:pStyle w:val="24"/>
              <w:jc w:val="right"/>
              <w:rPr>
                <w:rFonts w:hint="eastAsia" w:ascii="宋体" w:hAnsi="宋体" w:eastAsia="宋体" w:cs="宋体"/>
                <w:sz w:val="24"/>
                <w:szCs w:val="24"/>
              </w:rPr>
            </w:pPr>
            <w:r>
              <w:rPr>
                <w:rFonts w:hint="eastAsia" w:ascii="宋体" w:hAnsi="宋体" w:eastAsia="宋体" w:cs="宋体"/>
                <w:sz w:val="24"/>
                <w:szCs w:val="24"/>
              </w:rPr>
              <w:t>2.4%</w:t>
            </w:r>
          </w:p>
        </w:tc>
        <w:tc>
          <w:p w14:paraId="2A316FE2">
            <w:pPr>
              <w:pStyle w:val="24"/>
              <w:jc w:val="right"/>
              <w:rPr>
                <w:rFonts w:hint="eastAsia" w:ascii="宋体" w:hAnsi="宋体" w:eastAsia="宋体" w:cs="宋体"/>
                <w:sz w:val="24"/>
                <w:szCs w:val="24"/>
              </w:rPr>
            </w:pPr>
            <w:r>
              <w:rPr>
                <w:rFonts w:hint="eastAsia" w:ascii="宋体" w:hAnsi="宋体" w:eastAsia="宋体" w:cs="宋体"/>
                <w:sz w:val="24"/>
                <w:szCs w:val="24"/>
              </w:rPr>
              <w:t>18.1%</w:t>
            </w:r>
          </w:p>
        </w:tc>
        <w:tc>
          <w:p w14:paraId="31A02DAE">
            <w:pPr>
              <w:pStyle w:val="24"/>
              <w:jc w:val="right"/>
              <w:rPr>
                <w:rFonts w:hint="eastAsia" w:ascii="宋体" w:hAnsi="宋体" w:eastAsia="宋体" w:cs="宋体"/>
                <w:sz w:val="24"/>
                <w:szCs w:val="24"/>
              </w:rPr>
            </w:pPr>
            <w:r>
              <w:rPr>
                <w:rFonts w:hint="eastAsia" w:ascii="宋体" w:hAnsi="宋体" w:eastAsia="宋体" w:cs="宋体"/>
                <w:sz w:val="24"/>
                <w:szCs w:val="24"/>
              </w:rPr>
              <w:t>-18.2%</w:t>
            </w:r>
          </w:p>
        </w:tc>
        <w:tc>
          <w:p w14:paraId="79141443">
            <w:pPr>
              <w:pStyle w:val="24"/>
              <w:jc w:val="right"/>
              <w:rPr>
                <w:rFonts w:hint="eastAsia" w:ascii="宋体" w:hAnsi="宋体" w:eastAsia="宋体" w:cs="宋体"/>
                <w:sz w:val="24"/>
                <w:szCs w:val="24"/>
              </w:rPr>
            </w:pPr>
            <w:r>
              <w:rPr>
                <w:rFonts w:hint="eastAsia" w:ascii="宋体" w:hAnsi="宋体" w:eastAsia="宋体" w:cs="宋体"/>
                <w:sz w:val="24"/>
                <w:szCs w:val="24"/>
              </w:rPr>
              <w:t>0.02</w:t>
            </w:r>
          </w:p>
        </w:tc>
        <w:tc>
          <w:p w14:paraId="06D9FE8F">
            <w:pPr>
              <w:pStyle w:val="24"/>
              <w:jc w:val="right"/>
              <w:rPr>
                <w:rFonts w:hint="eastAsia" w:ascii="宋体" w:hAnsi="宋体" w:eastAsia="宋体" w:cs="宋体"/>
                <w:sz w:val="24"/>
                <w:szCs w:val="24"/>
              </w:rPr>
            </w:pPr>
            <w:r>
              <w:rPr>
                <w:rFonts w:hint="eastAsia" w:ascii="宋体" w:hAnsi="宋体" w:eastAsia="宋体" w:cs="宋体"/>
                <w:sz w:val="24"/>
                <w:szCs w:val="24"/>
              </w:rPr>
              <w:t>0.13</w:t>
            </w:r>
          </w:p>
        </w:tc>
      </w:tr>
      <w:tr w14:paraId="7BFF5612">
        <w:tc>
          <w:p w14:paraId="43D72D58">
            <w:pPr>
              <w:pStyle w:val="24"/>
              <w:jc w:val="left"/>
              <w:rPr>
                <w:rFonts w:hint="eastAsia" w:ascii="宋体" w:hAnsi="宋体" w:eastAsia="宋体" w:cs="宋体"/>
                <w:sz w:val="24"/>
                <w:szCs w:val="24"/>
              </w:rPr>
            </w:pPr>
            <w:r>
              <w:rPr>
                <w:rFonts w:hint="eastAsia" w:ascii="宋体" w:hAnsi="宋体" w:eastAsia="宋体" w:cs="宋体"/>
                <w:sz w:val="24"/>
                <w:szCs w:val="24"/>
              </w:rPr>
              <w:t>贵州茅台（600519.SH）</w:t>
            </w:r>
          </w:p>
        </w:tc>
        <w:tc>
          <w:p w14:paraId="26AD9279">
            <w:pPr>
              <w:pStyle w:val="24"/>
              <w:jc w:val="right"/>
              <w:rPr>
                <w:rFonts w:hint="eastAsia" w:ascii="宋体" w:hAnsi="宋体" w:eastAsia="宋体" w:cs="宋体"/>
                <w:sz w:val="24"/>
                <w:szCs w:val="24"/>
              </w:rPr>
            </w:pPr>
            <w:r>
              <w:rPr>
                <w:rFonts w:hint="eastAsia" w:ascii="宋体" w:hAnsi="宋体" w:eastAsia="宋体" w:cs="宋体"/>
                <w:sz w:val="24"/>
                <w:szCs w:val="24"/>
              </w:rPr>
              <w:t>-7.6%</w:t>
            </w:r>
          </w:p>
        </w:tc>
        <w:tc>
          <w:p w14:paraId="0DE0D899">
            <w:pPr>
              <w:pStyle w:val="24"/>
              <w:jc w:val="right"/>
              <w:rPr>
                <w:rFonts w:hint="eastAsia" w:ascii="宋体" w:hAnsi="宋体" w:eastAsia="宋体" w:cs="宋体"/>
                <w:sz w:val="24"/>
                <w:szCs w:val="24"/>
              </w:rPr>
            </w:pPr>
            <w:r>
              <w:rPr>
                <w:rFonts w:hint="eastAsia" w:ascii="宋体" w:hAnsi="宋体" w:eastAsia="宋体" w:cs="宋体"/>
                <w:sz w:val="24"/>
                <w:szCs w:val="24"/>
              </w:rPr>
              <w:t>-3.9%</w:t>
            </w:r>
          </w:p>
        </w:tc>
        <w:tc>
          <w:p w14:paraId="2B553A31">
            <w:pPr>
              <w:pStyle w:val="24"/>
              <w:jc w:val="right"/>
              <w:rPr>
                <w:rFonts w:hint="eastAsia" w:ascii="宋体" w:hAnsi="宋体" w:eastAsia="宋体" w:cs="宋体"/>
                <w:sz w:val="24"/>
                <w:szCs w:val="24"/>
              </w:rPr>
            </w:pPr>
            <w:r>
              <w:rPr>
                <w:rFonts w:hint="eastAsia" w:ascii="宋体" w:hAnsi="宋体" w:eastAsia="宋体" w:cs="宋体"/>
                <w:sz w:val="24"/>
                <w:szCs w:val="24"/>
              </w:rPr>
              <w:t>24.7%</w:t>
            </w:r>
          </w:p>
        </w:tc>
        <w:tc>
          <w:p w14:paraId="5F038622">
            <w:pPr>
              <w:pStyle w:val="24"/>
              <w:jc w:val="right"/>
              <w:rPr>
                <w:rFonts w:hint="eastAsia" w:ascii="宋体" w:hAnsi="宋体" w:eastAsia="宋体" w:cs="宋体"/>
                <w:sz w:val="24"/>
                <w:szCs w:val="24"/>
              </w:rPr>
            </w:pPr>
            <w:r>
              <w:rPr>
                <w:rFonts w:hint="eastAsia" w:ascii="宋体" w:hAnsi="宋体" w:eastAsia="宋体" w:cs="宋体"/>
                <w:sz w:val="24"/>
                <w:szCs w:val="24"/>
              </w:rPr>
              <w:t>-27.9%</w:t>
            </w:r>
          </w:p>
        </w:tc>
        <w:tc>
          <w:p w14:paraId="6ACB8C5A">
            <w:pPr>
              <w:pStyle w:val="24"/>
              <w:jc w:val="right"/>
              <w:rPr>
                <w:rFonts w:hint="eastAsia" w:ascii="宋体" w:hAnsi="宋体" w:eastAsia="宋体" w:cs="宋体"/>
                <w:sz w:val="24"/>
                <w:szCs w:val="24"/>
              </w:rPr>
            </w:pPr>
            <w:r>
              <w:rPr>
                <w:rFonts w:hint="eastAsia" w:ascii="宋体" w:hAnsi="宋体" w:eastAsia="宋体" w:cs="宋体"/>
                <w:sz w:val="24"/>
                <w:szCs w:val="24"/>
              </w:rPr>
              <w:t>-0.24</w:t>
            </w:r>
          </w:p>
        </w:tc>
        <w:tc>
          <w:p w14:paraId="53E4F894">
            <w:pPr>
              <w:pStyle w:val="24"/>
              <w:jc w:val="right"/>
              <w:rPr>
                <w:rFonts w:hint="eastAsia" w:ascii="宋体" w:hAnsi="宋体" w:eastAsia="宋体" w:cs="宋体"/>
                <w:sz w:val="24"/>
                <w:szCs w:val="24"/>
              </w:rPr>
            </w:pPr>
            <w:r>
              <w:rPr>
                <w:rFonts w:hint="eastAsia" w:ascii="宋体" w:hAnsi="宋体" w:eastAsia="宋体" w:cs="宋体"/>
                <w:sz w:val="24"/>
                <w:szCs w:val="24"/>
              </w:rPr>
              <w:t>-0.14</w:t>
            </w:r>
          </w:p>
        </w:tc>
      </w:tr>
      <w:tr w14:paraId="5F4FC81B">
        <w:tc>
          <w:p w14:paraId="235D9589">
            <w:pPr>
              <w:pStyle w:val="24"/>
              <w:jc w:val="left"/>
              <w:rPr>
                <w:rFonts w:hint="eastAsia" w:ascii="宋体" w:hAnsi="宋体" w:eastAsia="宋体" w:cs="宋体"/>
                <w:sz w:val="24"/>
                <w:szCs w:val="24"/>
              </w:rPr>
            </w:pPr>
            <w:r>
              <w:rPr>
                <w:rFonts w:hint="eastAsia" w:ascii="宋体" w:hAnsi="宋体" w:eastAsia="宋体" w:cs="宋体"/>
                <w:sz w:val="24"/>
                <w:szCs w:val="24"/>
              </w:rPr>
              <w:t>同仁堂（600085.SH）</w:t>
            </w:r>
          </w:p>
        </w:tc>
        <w:tc>
          <w:p w14:paraId="0C691B17">
            <w:pPr>
              <w:pStyle w:val="24"/>
              <w:jc w:val="right"/>
              <w:rPr>
                <w:rFonts w:hint="eastAsia" w:ascii="宋体" w:hAnsi="宋体" w:eastAsia="宋体" w:cs="宋体"/>
                <w:sz w:val="24"/>
                <w:szCs w:val="24"/>
              </w:rPr>
            </w:pPr>
            <w:r>
              <w:rPr>
                <w:rFonts w:hint="eastAsia" w:ascii="宋体" w:hAnsi="宋体" w:eastAsia="宋体" w:cs="宋体"/>
                <w:sz w:val="24"/>
                <w:szCs w:val="24"/>
              </w:rPr>
              <w:t>-30.9%</w:t>
            </w:r>
          </w:p>
        </w:tc>
        <w:tc>
          <w:p w14:paraId="29534FB6">
            <w:pPr>
              <w:pStyle w:val="24"/>
              <w:jc w:val="right"/>
              <w:rPr>
                <w:rFonts w:hint="eastAsia" w:ascii="宋体" w:hAnsi="宋体" w:eastAsia="宋体" w:cs="宋体"/>
                <w:sz w:val="24"/>
                <w:szCs w:val="24"/>
              </w:rPr>
            </w:pPr>
            <w:r>
              <w:rPr>
                <w:rFonts w:hint="eastAsia" w:ascii="宋体" w:hAnsi="宋体" w:eastAsia="宋体" w:cs="宋体"/>
                <w:sz w:val="24"/>
                <w:szCs w:val="24"/>
              </w:rPr>
              <w:t>-16.8%</w:t>
            </w:r>
          </w:p>
        </w:tc>
        <w:tc>
          <w:p w14:paraId="7A77EA19">
            <w:pPr>
              <w:pStyle w:val="24"/>
              <w:jc w:val="right"/>
              <w:rPr>
                <w:rFonts w:hint="eastAsia" w:ascii="宋体" w:hAnsi="宋体" w:eastAsia="宋体" w:cs="宋体"/>
                <w:sz w:val="24"/>
                <w:szCs w:val="24"/>
              </w:rPr>
            </w:pPr>
            <w:r>
              <w:rPr>
                <w:rFonts w:hint="eastAsia" w:ascii="宋体" w:hAnsi="宋体" w:eastAsia="宋体" w:cs="宋体"/>
                <w:sz w:val="24"/>
                <w:szCs w:val="24"/>
              </w:rPr>
              <w:t>25.0%</w:t>
            </w:r>
          </w:p>
        </w:tc>
        <w:tc>
          <w:p w14:paraId="64BB7B91">
            <w:pPr>
              <w:pStyle w:val="24"/>
              <w:jc w:val="right"/>
              <w:rPr>
                <w:rFonts w:hint="eastAsia" w:ascii="宋体" w:hAnsi="宋体" w:eastAsia="宋体" w:cs="宋体"/>
                <w:sz w:val="24"/>
                <w:szCs w:val="24"/>
              </w:rPr>
            </w:pPr>
            <w:r>
              <w:rPr>
                <w:rFonts w:hint="eastAsia" w:ascii="宋体" w:hAnsi="宋体" w:eastAsia="宋体" w:cs="宋体"/>
                <w:sz w:val="24"/>
                <w:szCs w:val="24"/>
              </w:rPr>
              <w:t>-47.1%</w:t>
            </w:r>
          </w:p>
        </w:tc>
        <w:tc>
          <w:p w14:paraId="5F76DD1C">
            <w:pPr>
              <w:pStyle w:val="24"/>
              <w:jc w:val="right"/>
              <w:rPr>
                <w:rFonts w:hint="eastAsia" w:ascii="宋体" w:hAnsi="宋体" w:eastAsia="宋体" w:cs="宋体"/>
                <w:sz w:val="24"/>
                <w:szCs w:val="24"/>
              </w:rPr>
            </w:pPr>
            <w:r>
              <w:rPr>
                <w:rFonts w:hint="eastAsia" w:ascii="宋体" w:hAnsi="宋体" w:eastAsia="宋体" w:cs="宋体"/>
                <w:sz w:val="24"/>
                <w:szCs w:val="24"/>
              </w:rPr>
              <w:t>-0.75</w:t>
            </w:r>
          </w:p>
        </w:tc>
        <w:tc>
          <w:p w14:paraId="2EED2262">
            <w:pPr>
              <w:pStyle w:val="24"/>
              <w:jc w:val="right"/>
              <w:rPr>
                <w:rFonts w:hint="eastAsia" w:ascii="宋体" w:hAnsi="宋体" w:eastAsia="宋体" w:cs="宋体"/>
                <w:sz w:val="24"/>
                <w:szCs w:val="24"/>
              </w:rPr>
            </w:pPr>
            <w:r>
              <w:rPr>
                <w:rFonts w:hint="eastAsia" w:ascii="宋体" w:hAnsi="宋体" w:eastAsia="宋体" w:cs="宋体"/>
                <w:sz w:val="24"/>
                <w:szCs w:val="24"/>
              </w:rPr>
              <w:t>-0.36</w:t>
            </w:r>
          </w:p>
        </w:tc>
      </w:tr>
      <w:tr w14:paraId="19DD10B5">
        <w:tc>
          <w:p w14:paraId="72532CDF">
            <w:pPr>
              <w:pStyle w:val="24"/>
              <w:jc w:val="left"/>
              <w:rPr>
                <w:rFonts w:hint="eastAsia" w:ascii="宋体" w:hAnsi="宋体" w:eastAsia="宋体" w:cs="宋体"/>
                <w:sz w:val="24"/>
                <w:szCs w:val="24"/>
              </w:rPr>
            </w:pPr>
            <w:r>
              <w:rPr>
                <w:rFonts w:hint="eastAsia" w:ascii="宋体" w:hAnsi="宋体" w:eastAsia="宋体" w:cs="宋体"/>
                <w:sz w:val="24"/>
                <w:szCs w:val="24"/>
              </w:rPr>
              <w:t>片仔癀（600436.SH）</w:t>
            </w:r>
          </w:p>
        </w:tc>
        <w:tc>
          <w:p w14:paraId="0713BBB2">
            <w:pPr>
              <w:pStyle w:val="24"/>
              <w:jc w:val="right"/>
              <w:rPr>
                <w:rFonts w:hint="eastAsia" w:ascii="宋体" w:hAnsi="宋体" w:eastAsia="宋体" w:cs="宋体"/>
                <w:sz w:val="24"/>
                <w:szCs w:val="24"/>
              </w:rPr>
            </w:pPr>
            <w:r>
              <w:rPr>
                <w:rFonts w:hint="eastAsia" w:ascii="宋体" w:hAnsi="宋体" w:eastAsia="宋体" w:cs="宋体"/>
                <w:sz w:val="24"/>
                <w:szCs w:val="24"/>
              </w:rPr>
              <w:t>-35.9%</w:t>
            </w:r>
          </w:p>
        </w:tc>
        <w:tc>
          <w:p w14:paraId="373D116C">
            <w:pPr>
              <w:pStyle w:val="24"/>
              <w:jc w:val="right"/>
              <w:rPr>
                <w:rFonts w:hint="eastAsia" w:ascii="宋体" w:hAnsi="宋体" w:eastAsia="宋体" w:cs="宋体"/>
                <w:sz w:val="24"/>
                <w:szCs w:val="24"/>
              </w:rPr>
            </w:pPr>
            <w:r>
              <w:rPr>
                <w:rFonts w:hint="eastAsia" w:ascii="宋体" w:hAnsi="宋体" w:eastAsia="宋体" w:cs="宋体"/>
                <w:sz w:val="24"/>
                <w:szCs w:val="24"/>
              </w:rPr>
              <w:t>-19.9%</w:t>
            </w:r>
          </w:p>
        </w:tc>
        <w:tc>
          <w:p w14:paraId="47B048C2">
            <w:pPr>
              <w:pStyle w:val="24"/>
              <w:jc w:val="right"/>
              <w:rPr>
                <w:rFonts w:hint="eastAsia" w:ascii="宋体" w:hAnsi="宋体" w:eastAsia="宋体" w:cs="宋体"/>
                <w:sz w:val="24"/>
                <w:szCs w:val="24"/>
              </w:rPr>
            </w:pPr>
            <w:r>
              <w:rPr>
                <w:rFonts w:hint="eastAsia" w:ascii="宋体" w:hAnsi="宋体" w:eastAsia="宋体" w:cs="宋体"/>
                <w:sz w:val="24"/>
                <w:szCs w:val="24"/>
              </w:rPr>
              <w:t>27.3%</w:t>
            </w:r>
          </w:p>
        </w:tc>
        <w:tc>
          <w:p w14:paraId="1162E628">
            <w:pPr>
              <w:pStyle w:val="24"/>
              <w:jc w:val="right"/>
              <w:rPr>
                <w:rFonts w:hint="eastAsia" w:ascii="宋体" w:hAnsi="宋体" w:eastAsia="宋体" w:cs="宋体"/>
                <w:sz w:val="24"/>
                <w:szCs w:val="24"/>
              </w:rPr>
            </w:pPr>
            <w:r>
              <w:rPr>
                <w:rFonts w:hint="eastAsia" w:ascii="宋体" w:hAnsi="宋体" w:eastAsia="宋体" w:cs="宋体"/>
                <w:sz w:val="24"/>
                <w:szCs w:val="24"/>
              </w:rPr>
              <w:t>-59.6%</w:t>
            </w:r>
          </w:p>
        </w:tc>
        <w:tc>
          <w:p w14:paraId="6A5D9E55">
            <w:pPr>
              <w:pStyle w:val="24"/>
              <w:jc w:val="right"/>
              <w:rPr>
                <w:rFonts w:hint="eastAsia" w:ascii="宋体" w:hAnsi="宋体" w:eastAsia="宋体" w:cs="宋体"/>
                <w:sz w:val="24"/>
                <w:szCs w:val="24"/>
              </w:rPr>
            </w:pPr>
            <w:r>
              <w:rPr>
                <w:rFonts w:hint="eastAsia" w:ascii="宋体" w:hAnsi="宋体" w:eastAsia="宋体" w:cs="宋体"/>
                <w:sz w:val="24"/>
                <w:szCs w:val="24"/>
              </w:rPr>
              <w:t>-0.80</w:t>
            </w:r>
          </w:p>
        </w:tc>
        <w:tc>
          <w:p w14:paraId="1DDDC5CF">
            <w:pPr>
              <w:pStyle w:val="24"/>
              <w:jc w:val="right"/>
              <w:rPr>
                <w:rFonts w:hint="eastAsia" w:ascii="宋体" w:hAnsi="宋体" w:eastAsia="宋体" w:cs="宋体"/>
                <w:sz w:val="24"/>
                <w:szCs w:val="24"/>
              </w:rPr>
            </w:pPr>
            <w:r>
              <w:rPr>
                <w:rFonts w:hint="eastAsia" w:ascii="宋体" w:hAnsi="宋体" w:eastAsia="宋体" w:cs="宋体"/>
                <w:sz w:val="24"/>
                <w:szCs w:val="24"/>
              </w:rPr>
              <w:t>-0.33</w:t>
            </w:r>
          </w:p>
        </w:tc>
      </w:tr>
      <w:bookmarkEnd w:id="44"/>
    </w:tbl>
    <w:p w14:paraId="3AE7E121">
      <w:pPr>
        <w:pStyle w:val="4"/>
        <w:rPr>
          <w:rFonts w:hint="eastAsia" w:ascii="宋体" w:hAnsi="宋体" w:eastAsia="宋体" w:cs="宋体"/>
          <w:sz w:val="24"/>
          <w:szCs w:val="24"/>
        </w:rPr>
      </w:pPr>
      <w:bookmarkStart w:id="45" w:name="附录d计算代码notebook路径"/>
      <w:r>
        <w:rPr>
          <w:rFonts w:hint="eastAsia" w:ascii="宋体" w:hAnsi="宋体" w:eastAsia="宋体" w:cs="宋体"/>
          <w:sz w:val="24"/>
          <w:szCs w:val="24"/>
        </w:rPr>
        <w:t>附录D：计算代码（Notebook路径）</w:t>
      </w:r>
    </w:p>
    <w:p w14:paraId="58A76BE6">
      <w:pPr>
        <w:pStyle w:val="23"/>
        <w:rPr>
          <w:rFonts w:hint="eastAsia" w:ascii="宋体" w:hAnsi="宋体" w:eastAsia="宋体" w:cs="宋体"/>
          <w:sz w:val="24"/>
          <w:szCs w:val="24"/>
        </w:rPr>
      </w:pPr>
      <w:r>
        <w:rPr>
          <w:rFonts w:hint="eastAsia" w:ascii="宋体" w:hAnsi="宋体" w:eastAsia="宋体" w:cs="宋体"/>
          <w:sz w:val="24"/>
          <w:szCs w:val="24"/>
        </w:rPr>
        <w:t>完整计算代码见</w:t>
      </w:r>
      <w:r>
        <w:rPr>
          <w:rFonts w:hint="eastAsia" w:ascii="宋体" w:hAnsi="宋体" w:eastAsia="宋体" w:cs="宋体"/>
          <w:sz w:val="24"/>
          <w:szCs w:val="24"/>
        </w:rPr>
        <w:t xml:space="preserve"> </w:t>
      </w:r>
      <w:r>
        <w:rPr>
          <w:rStyle w:val="48"/>
          <w:rFonts w:hint="eastAsia" w:ascii="宋体" w:hAnsi="宋体" w:eastAsia="宋体" w:cs="宋体"/>
          <w:sz w:val="24"/>
          <w:szCs w:val="24"/>
        </w:rPr>
        <w:t>analysis.ipynb</w:t>
      </w:r>
      <w:r>
        <w:rPr>
          <w:rFonts w:hint="eastAsia" w:ascii="宋体" w:hAnsi="宋体" w:eastAsia="宋体" w:cs="宋体"/>
          <w:sz w:val="24"/>
          <w:szCs w:val="24"/>
        </w:rPr>
        <w:t>，包含以下七个步骤：</w:t>
      </w:r>
    </w:p>
    <w:p w14:paraId="3B020AF4">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第一步</w:t>
      </w:r>
      <w:r>
        <w:rPr>
          <w:rFonts w:hint="eastAsia" w:ascii="宋体" w:hAnsi="宋体" w:eastAsia="宋体" w:cs="宋体"/>
          <w:sz w:val="24"/>
          <w:szCs w:val="24"/>
        </w:rPr>
        <w:t>：获取前复权日线数据（17只A股本地CSV</w:t>
      </w:r>
      <w:r>
        <w:rPr>
          <w:rFonts w:hint="eastAsia" w:ascii="宋体" w:hAnsi="宋体" w:eastAsia="宋体" w:cs="宋体"/>
          <w:sz w:val="24"/>
          <w:szCs w:val="24"/>
        </w:rPr>
        <w:t xml:space="preserve"> + </w:t>
      </w:r>
      <w:r>
        <w:rPr>
          <w:rFonts w:hint="eastAsia" w:ascii="宋体" w:hAnsi="宋体" w:eastAsia="宋体" w:cs="宋体"/>
          <w:sz w:val="24"/>
          <w:szCs w:val="24"/>
        </w:rPr>
        <w:t>2只港股在线获取</w:t>
      </w:r>
      <w:r>
        <w:rPr>
          <w:rFonts w:hint="eastAsia" w:ascii="宋体" w:hAnsi="宋体" w:eastAsia="宋体" w:cs="宋体"/>
          <w:sz w:val="24"/>
          <w:szCs w:val="24"/>
        </w:rPr>
        <w:t xml:space="preserve"> + </w:t>
      </w:r>
      <w:r>
        <w:rPr>
          <w:rFonts w:hint="eastAsia" w:ascii="宋体" w:hAnsi="宋体" w:eastAsia="宋体" w:cs="宋体"/>
          <w:sz w:val="24"/>
          <w:szCs w:val="24"/>
        </w:rPr>
        <w:t>1只ETF手动前复权），合并导出</w:t>
      </w:r>
      <w:r>
        <w:rPr>
          <w:rFonts w:hint="eastAsia" w:ascii="宋体" w:hAnsi="宋体" w:eastAsia="宋体" w:cs="宋体"/>
          <w:sz w:val="24"/>
          <w:szCs w:val="24"/>
        </w:rPr>
        <w:t xml:space="preserve"> </w:t>
      </w:r>
      <w:r>
        <w:rPr>
          <w:rStyle w:val="48"/>
          <w:rFonts w:hint="eastAsia" w:ascii="宋体" w:hAnsi="宋体" w:eastAsia="宋体" w:cs="宋体"/>
          <w:sz w:val="24"/>
          <w:szCs w:val="24"/>
        </w:rPr>
        <w:t>price_qfq_20240719_20260721.csv</w:t>
      </w:r>
      <w:r>
        <w:rPr>
          <w:rFonts w:hint="eastAsia" w:ascii="宋体" w:hAnsi="宋体" w:eastAsia="宋体" w:cs="宋体"/>
          <w:sz w:val="24"/>
          <w:szCs w:val="24"/>
        </w:rPr>
        <w:t>。</w:t>
      </w:r>
    </w:p>
    <w:p w14:paraId="768F88C1">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第二步</w:t>
      </w:r>
      <w:r>
        <w:rPr>
          <w:rFonts w:hint="eastAsia" w:ascii="宋体" w:hAnsi="宋体" w:eastAsia="宋体" w:cs="宋体"/>
          <w:sz w:val="24"/>
          <w:szCs w:val="24"/>
        </w:rPr>
        <w:t>：在线获取PE（百度估值接口）和ROE（财务分析指标接口），ETF设为NaN。</w:t>
      </w:r>
    </w:p>
    <w:p w14:paraId="32860B50">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第三步</w:t>
      </w:r>
      <w:r>
        <w:rPr>
          <w:rFonts w:hint="eastAsia" w:ascii="宋体" w:hAnsi="宋体" w:eastAsia="宋体" w:cs="宋体"/>
          <w:sz w:val="24"/>
          <w:szCs w:val="24"/>
        </w:rPr>
        <w:t>：多因子策略——60日动量、120日均线过滤、Z-score标准化、综合评分（0.4动量+0.3质量+0.3价值）、月度选股Top</w:t>
      </w:r>
      <w:r>
        <w:rPr>
          <w:rFonts w:hint="eastAsia" w:ascii="宋体" w:hAnsi="宋体" w:eastAsia="宋体" w:cs="宋体"/>
          <w:sz w:val="24"/>
          <w:szCs w:val="24"/>
        </w:rPr>
        <w:t xml:space="preserve"> </w:t>
      </w:r>
      <w:r>
        <w:rPr>
          <w:rFonts w:hint="eastAsia" w:ascii="宋体" w:hAnsi="宋体" w:eastAsia="宋体" w:cs="宋体"/>
          <w:sz w:val="24"/>
          <w:szCs w:val="24"/>
        </w:rPr>
        <w:t>5，导出</w:t>
      </w:r>
      <w:r>
        <w:rPr>
          <w:rFonts w:hint="eastAsia" w:ascii="宋体" w:hAnsi="宋体" w:eastAsia="宋体" w:cs="宋体"/>
          <w:sz w:val="24"/>
          <w:szCs w:val="24"/>
        </w:rPr>
        <w:t xml:space="preserve"> </w:t>
      </w:r>
      <w:r>
        <w:rPr>
          <w:rStyle w:val="48"/>
          <w:rFonts w:hint="eastAsia" w:ascii="宋体" w:hAnsi="宋体" w:eastAsia="宋体" w:cs="宋体"/>
          <w:sz w:val="24"/>
          <w:szCs w:val="24"/>
        </w:rPr>
        <w:t>monthly_selection.csv</w:t>
      </w:r>
      <w:r>
        <w:rPr>
          <w:rFonts w:hint="eastAsia" w:ascii="宋体" w:hAnsi="宋体" w:eastAsia="宋体" w:cs="宋体"/>
          <w:sz w:val="24"/>
          <w:szCs w:val="24"/>
        </w:rPr>
        <w:t>。</w:t>
      </w:r>
    </w:p>
    <w:p w14:paraId="725F20D9">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第四步</w:t>
      </w:r>
      <w:r>
        <w:rPr>
          <w:rFonts w:hint="eastAsia" w:ascii="宋体" w:hAnsi="宋体" w:eastAsia="宋体" w:cs="宋体"/>
          <w:sz w:val="24"/>
          <w:szCs w:val="24"/>
        </w:rPr>
        <w:t>：回测与净值曲线——组合净值（含15%回撤控制）、沪深300基准、三面板组合图（净值+持仓状态+回撤）。</w:t>
      </w:r>
    </w:p>
    <w:p w14:paraId="6B2F2BA5">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第五步</w:t>
      </w:r>
      <w:r>
        <w:rPr>
          <w:rFonts w:hint="eastAsia" w:ascii="宋体" w:hAnsi="宋体" w:eastAsia="宋体" w:cs="宋体"/>
          <w:sz w:val="24"/>
          <w:szCs w:val="24"/>
        </w:rPr>
        <w:t>：月度收益热力图（半年×月，含2024</w:t>
      </w:r>
      <w:r>
        <w:rPr>
          <w:rFonts w:hint="eastAsia" w:ascii="宋体" w:hAnsi="宋体" w:eastAsia="宋体" w:cs="宋体"/>
          <w:sz w:val="24"/>
          <w:szCs w:val="24"/>
        </w:rPr>
        <w:t xml:space="preserve"> </w:t>
      </w:r>
      <w:r>
        <w:rPr>
          <w:rFonts w:hint="eastAsia" w:ascii="宋体" w:hAnsi="宋体" w:eastAsia="宋体" w:cs="宋体"/>
          <w:sz w:val="24"/>
          <w:szCs w:val="24"/>
        </w:rPr>
        <w:t>H2预热期）。</w:t>
      </w:r>
    </w:p>
    <w:p w14:paraId="0D1DEDDF">
      <w:pPr>
        <w:pStyle w:val="24"/>
        <w:numPr>
          <w:ilvl w:val="0"/>
          <w:numId w:val="6"/>
        </w:numPr>
        <w:rPr>
          <w:rFonts w:hint="eastAsia" w:ascii="宋体" w:hAnsi="宋体" w:eastAsia="宋体" w:cs="宋体"/>
          <w:sz w:val="24"/>
          <w:szCs w:val="24"/>
        </w:rPr>
      </w:pPr>
      <w:r>
        <w:rPr>
          <w:rFonts w:hint="eastAsia" w:ascii="宋体" w:hAnsi="宋体" w:eastAsia="宋体" w:cs="宋体"/>
          <w:b/>
          <w:bCs/>
          <w:sz w:val="24"/>
          <w:szCs w:val="24"/>
        </w:rPr>
        <w:t>第六步</w:t>
      </w:r>
      <w:r>
        <w:rPr>
          <w:rFonts w:hint="eastAsia" w:ascii="宋体" w:hAnsi="宋体" w:eastAsia="宋体" w:cs="宋体"/>
          <w:sz w:val="24"/>
          <w:szCs w:val="24"/>
        </w:rPr>
        <w:t>：聚焦10只个股风险-收益散点图。</w:t>
      </w:r>
    </w:p>
    <w:p w14:paraId="3C7CCAB8">
      <w:pPr>
        <w:pStyle w:val="24"/>
        <w:numPr>
          <w:ilvl w:val="0"/>
          <w:numId w:val="6"/>
        </w:numPr>
        <w:rPr>
          <w:rFonts w:hint="eastAsia" w:ascii="宋体" w:hAnsi="宋体" w:eastAsia="宋体" w:cs="宋体"/>
        </w:rPr>
      </w:pPr>
      <w:r>
        <w:rPr>
          <w:rFonts w:hint="eastAsia" w:ascii="宋体" w:hAnsi="宋体" w:eastAsia="宋体" w:cs="宋体"/>
          <w:b/>
          <w:bCs/>
          <w:sz w:val="24"/>
          <w:szCs w:val="24"/>
        </w:rPr>
        <w:t>第七步</w:t>
      </w:r>
      <w:r>
        <w:rPr>
          <w:rFonts w:hint="eastAsia" w:ascii="宋体" w:hAnsi="宋体" w:eastAsia="宋体" w:cs="宋体"/>
          <w:sz w:val="24"/>
          <w:szCs w:val="24"/>
        </w:rPr>
        <w:t>：贡献度分</w:t>
      </w:r>
      <w:r>
        <w:rPr>
          <w:rFonts w:hint="eastAsia" w:ascii="宋体" w:hAnsi="宋体" w:eastAsia="宋体" w:cs="宋体"/>
        </w:rPr>
        <w:t>析与攻防风格分析。</w:t>
      </w:r>
    </w:p>
    <w:bookmarkEnd w:id="38"/>
    <w:bookmarkEnd w:id="4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60202020A0204"/>
    <w:charset w:val="01"/>
    <w:family w:val="swiss"/>
    <w:pitch w:val="default"/>
    <w:sig w:usb0="00000287" w:usb1="00000800" w:usb2="00000000" w:usb3="00000000" w:csb0="2000009F" w:csb1="DFD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E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4002EFF" w:usb1="C200247B" w:usb2="00000009" w:usb3="00000000" w:csb0="200001FF" w:csb1="00000000"/>
  </w:font>
  <w:font w:name="Aptos">
    <w:altName w:val="Helvetica Neue"/>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7090202040A0204"/>
    <w:charset w:val="00"/>
    <w:family w:val="auto"/>
    <w:pitch w:val="default"/>
    <w:sig w:usb0="E00006FF" w:usb1="0000FCFF" w:usb2="00000001" w:usb3="00000000" w:csb0="6000019F" w:csb1="DFD70000"/>
  </w:font>
  <w:font w:name="Helvetica Neue">
    <w:panose1 w:val="02000503000000020004"/>
    <w:charset w:val="00"/>
    <w:family w:val="auto"/>
    <w:pitch w:val="default"/>
    <w:sig w:usb0="E50002FF" w:usb1="500079DB" w:usb2="00000010" w:usb3="00000000" w:csb0="00000000" w:csb1="00000000"/>
  </w:font>
  <w:font w:name="Cambria Math">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ongti SC Regular">
    <w:panose1 w:val="02010800040101010101"/>
    <w:charset w:val="86"/>
    <w:family w:val="auto"/>
    <w:pitch w:val="default"/>
    <w:sig w:usb0="00000001" w:usb1="080F0000" w:usb2="00000000" w:usb3="00000000" w:csb0="00040000" w:csb1="00000000"/>
  </w:font>
  <w:font w:name="MS Mincho">
    <w:altName w:val="MS Gothic"/>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E3EDCABE"/>
    <w:rsid w:val="F7F6B3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1F3F5"/>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3B4F"/>
      <w:shd w:val="clear" w:fill="F1F3F5"/>
    </w:rPr>
  </w:style>
  <w:style w:type="character" w:customStyle="1" w:styleId="53">
    <w:name w:val="DataTypeTok"/>
    <w:basedOn w:val="48"/>
    <w:uiPriority w:val="0"/>
    <w:rPr>
      <w:color w:val="AD0000"/>
      <w:shd w:val="clear" w:fill="F1F3F5"/>
    </w:rPr>
  </w:style>
  <w:style w:type="character" w:customStyle="1" w:styleId="54">
    <w:name w:val="DecValTok"/>
    <w:basedOn w:val="48"/>
    <w:uiPriority w:val="0"/>
    <w:rPr>
      <w:color w:val="AD0000"/>
      <w:shd w:val="clear" w:fill="F1F3F5"/>
    </w:rPr>
  </w:style>
  <w:style w:type="character" w:customStyle="1" w:styleId="55">
    <w:name w:val="BaseNTok"/>
    <w:basedOn w:val="48"/>
    <w:uiPriority w:val="0"/>
    <w:rPr>
      <w:color w:val="AD0000"/>
      <w:shd w:val="clear" w:fill="F1F3F5"/>
    </w:rPr>
  </w:style>
  <w:style w:type="character" w:customStyle="1" w:styleId="56">
    <w:name w:val="FloatTok"/>
    <w:basedOn w:val="48"/>
    <w:uiPriority w:val="0"/>
    <w:rPr>
      <w:color w:val="AD0000"/>
      <w:shd w:val="clear" w:fill="F1F3F5"/>
    </w:rPr>
  </w:style>
  <w:style w:type="character" w:customStyle="1" w:styleId="57">
    <w:name w:val="ConstantTok"/>
    <w:basedOn w:val="48"/>
    <w:uiPriority w:val="0"/>
    <w:rPr>
      <w:color w:val="8F5902"/>
      <w:shd w:val="clear" w:fill="F1F3F5"/>
    </w:rPr>
  </w:style>
  <w:style w:type="character" w:customStyle="1" w:styleId="58">
    <w:name w:val="CharTok"/>
    <w:basedOn w:val="48"/>
    <w:uiPriority w:val="0"/>
    <w:rPr>
      <w:color w:val="20794D"/>
      <w:shd w:val="clear" w:fill="F1F3F5"/>
    </w:rPr>
  </w:style>
  <w:style w:type="character" w:customStyle="1" w:styleId="59">
    <w:name w:val="SpecialCharTok"/>
    <w:basedOn w:val="48"/>
    <w:uiPriority w:val="0"/>
    <w:rPr>
      <w:color w:val="5E5E5E"/>
      <w:shd w:val="clear" w:fill="F1F3F5"/>
    </w:rPr>
  </w:style>
  <w:style w:type="character" w:customStyle="1" w:styleId="60">
    <w:name w:val="StringTok"/>
    <w:basedOn w:val="48"/>
    <w:uiPriority w:val="0"/>
    <w:rPr>
      <w:color w:val="20794D"/>
      <w:shd w:val="clear" w:fill="F1F3F5"/>
    </w:rPr>
  </w:style>
  <w:style w:type="character" w:customStyle="1" w:styleId="61">
    <w:name w:val="VerbatimStringTok"/>
    <w:basedOn w:val="48"/>
    <w:uiPriority w:val="0"/>
    <w:rPr>
      <w:color w:val="20794D"/>
      <w:shd w:val="clear" w:fill="F1F3F5"/>
    </w:rPr>
  </w:style>
  <w:style w:type="character" w:customStyle="1" w:styleId="62">
    <w:name w:val="SpecialStringTok"/>
    <w:basedOn w:val="48"/>
    <w:uiPriority w:val="0"/>
    <w:rPr>
      <w:color w:val="20794D"/>
      <w:shd w:val="clear" w:fill="F1F3F5"/>
    </w:rPr>
  </w:style>
  <w:style w:type="character" w:customStyle="1" w:styleId="63">
    <w:name w:val="ImportTok"/>
    <w:basedOn w:val="48"/>
    <w:uiPriority w:val="0"/>
    <w:rPr>
      <w:color w:val="00769E"/>
      <w:shd w:val="clear" w:fill="F1F3F5"/>
    </w:rPr>
  </w:style>
  <w:style w:type="character" w:customStyle="1" w:styleId="64">
    <w:name w:val="CommentTok"/>
    <w:basedOn w:val="48"/>
    <w:uiPriority w:val="0"/>
    <w:rPr>
      <w:color w:val="5E5E5E"/>
      <w:shd w:val="clear" w:fill="F1F3F5"/>
    </w:rPr>
  </w:style>
  <w:style w:type="character" w:customStyle="1" w:styleId="65">
    <w:name w:val="DocumentationTok"/>
    <w:basedOn w:val="48"/>
    <w:uiPriority w:val="0"/>
    <w:rPr>
      <w:i/>
      <w:color w:val="5E5E5E"/>
      <w:shd w:val="clear" w:fill="F1F3F5"/>
    </w:rPr>
  </w:style>
  <w:style w:type="character" w:customStyle="1" w:styleId="66">
    <w:name w:val="AnnotationTok"/>
    <w:basedOn w:val="48"/>
    <w:uiPriority w:val="0"/>
    <w:rPr>
      <w:color w:val="5E5E5E"/>
      <w:shd w:val="clear" w:fill="F1F3F5"/>
    </w:rPr>
  </w:style>
  <w:style w:type="character" w:customStyle="1" w:styleId="67">
    <w:name w:val="CommentVarTok"/>
    <w:basedOn w:val="48"/>
    <w:uiPriority w:val="0"/>
    <w:rPr>
      <w:i/>
      <w:color w:val="5E5E5E"/>
      <w:shd w:val="clear" w:fill="F1F3F5"/>
    </w:rPr>
  </w:style>
  <w:style w:type="character" w:customStyle="1" w:styleId="68">
    <w:name w:val="OtherTok"/>
    <w:basedOn w:val="48"/>
    <w:uiPriority w:val="0"/>
    <w:rPr>
      <w:color w:val="003B4F"/>
      <w:shd w:val="clear" w:fill="F1F3F5"/>
    </w:rPr>
  </w:style>
  <w:style w:type="character" w:customStyle="1" w:styleId="69">
    <w:name w:val="FunctionTok"/>
    <w:basedOn w:val="48"/>
    <w:uiPriority w:val="0"/>
    <w:rPr>
      <w:color w:val="4758AB"/>
      <w:shd w:val="clear" w:fill="F1F3F5"/>
    </w:rPr>
  </w:style>
  <w:style w:type="character" w:customStyle="1" w:styleId="70">
    <w:name w:val="VariableTok"/>
    <w:basedOn w:val="48"/>
    <w:uiPriority w:val="0"/>
    <w:rPr>
      <w:color w:val="111111"/>
      <w:shd w:val="clear" w:fill="F1F3F5"/>
    </w:rPr>
  </w:style>
  <w:style w:type="character" w:customStyle="1" w:styleId="71">
    <w:name w:val="ControlFlowTok"/>
    <w:basedOn w:val="48"/>
    <w:uiPriority w:val="0"/>
    <w:rPr>
      <w:b/>
      <w:color w:val="003B4F"/>
      <w:shd w:val="clear" w:fill="F1F3F5"/>
    </w:rPr>
  </w:style>
  <w:style w:type="character" w:customStyle="1" w:styleId="72">
    <w:name w:val="OperatorTok"/>
    <w:basedOn w:val="48"/>
    <w:uiPriority w:val="0"/>
    <w:rPr>
      <w:color w:val="5E5E5E"/>
      <w:shd w:val="clear" w:fill="F1F3F5"/>
    </w:rPr>
  </w:style>
  <w:style w:type="character" w:customStyle="1" w:styleId="73">
    <w:name w:val="BuiltInTok"/>
    <w:basedOn w:val="48"/>
    <w:uiPriority w:val="0"/>
    <w:rPr>
      <w:color w:val="003B4F"/>
      <w:shd w:val="clear" w:fill="F1F3F5"/>
    </w:rPr>
  </w:style>
  <w:style w:type="character" w:customStyle="1" w:styleId="74">
    <w:name w:val="ExtensionTok"/>
    <w:basedOn w:val="48"/>
    <w:uiPriority w:val="0"/>
    <w:rPr>
      <w:color w:val="003B4F"/>
      <w:shd w:val="clear" w:fill="F1F3F5"/>
    </w:rPr>
  </w:style>
  <w:style w:type="character" w:customStyle="1" w:styleId="75">
    <w:name w:val="PreprocessorTok"/>
    <w:basedOn w:val="48"/>
    <w:uiPriority w:val="0"/>
    <w:rPr>
      <w:color w:val="AD0000"/>
      <w:shd w:val="clear" w:fill="F1F3F5"/>
    </w:rPr>
  </w:style>
  <w:style w:type="character" w:customStyle="1" w:styleId="76">
    <w:name w:val="AttributeTok"/>
    <w:basedOn w:val="48"/>
    <w:uiPriority w:val="0"/>
    <w:rPr>
      <w:color w:val="657422"/>
      <w:shd w:val="clear" w:fill="F1F3F5"/>
    </w:rPr>
  </w:style>
  <w:style w:type="character" w:customStyle="1" w:styleId="77">
    <w:name w:val="RegionMarkerTok"/>
    <w:basedOn w:val="48"/>
    <w:uiPriority w:val="0"/>
    <w:rPr>
      <w:color w:val="003B4F"/>
      <w:shd w:val="clear" w:fill="F1F3F5"/>
    </w:rPr>
  </w:style>
  <w:style w:type="character" w:customStyle="1" w:styleId="78">
    <w:name w:val="InformationTok"/>
    <w:basedOn w:val="48"/>
    <w:uiPriority w:val="0"/>
    <w:rPr>
      <w:color w:val="5E5E5E"/>
      <w:shd w:val="clear" w:fill="F1F3F5"/>
    </w:rPr>
  </w:style>
  <w:style w:type="character" w:customStyle="1" w:styleId="79">
    <w:name w:val="WarningTok"/>
    <w:basedOn w:val="48"/>
    <w:uiPriority w:val="0"/>
    <w:rPr>
      <w:i/>
      <w:color w:val="5E5E5E"/>
      <w:shd w:val="clear" w:fill="F1F3F5"/>
    </w:rPr>
  </w:style>
  <w:style w:type="character" w:customStyle="1" w:styleId="80">
    <w:name w:val="AlertTok"/>
    <w:basedOn w:val="48"/>
    <w:uiPriority w:val="0"/>
    <w:rPr>
      <w:color w:val="AD0000"/>
      <w:shd w:val="clear" w:fill="F1F3F5"/>
    </w:rPr>
  </w:style>
  <w:style w:type="character" w:customStyle="1" w:styleId="81">
    <w:name w:val="ErrorTok"/>
    <w:basedOn w:val="48"/>
    <w:uiPriority w:val="0"/>
    <w:rPr>
      <w:color w:val="AD0000"/>
      <w:shd w:val="clear" w:fill="F1F3F5"/>
    </w:rPr>
  </w:style>
  <w:style w:type="character" w:customStyle="1" w:styleId="82">
    <w:name w:val="NormalTok"/>
    <w:basedOn w:val="48"/>
    <w:uiPriority w:val="0"/>
    <w:rPr>
      <w:color w:val="003B4F"/>
      <w:shd w:val="clear"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83</Words>
  <Characters>475</Characters>
  <Lines>12</Lines>
  <Paragraphs>8</Paragraphs>
  <TotalTime>27</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2026-07-22T15:21:00Z</dcterms:created>
  <dc:creator>杨雅程(2021311856)</dc:creator>
  <cp:lastModifiedBy>杨雅程(2021311856)</cp:lastModifiedBy>
  <dcterms:modified xsi:type="dcterms:W3CDTF">2026-07-22T08:10:19Z</dcterms:modified>
  <dc:title>delta0小组报告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y fmtid="{D5CDD505-2E9C-101B-9397-08002B2CF9AE}" pid="9" name="KSOProductBuildVer">
    <vt:lpwstr>2052-7.4.1.8983</vt:lpwstr>
  </property>
  <property fmtid="{D5CDD505-2E9C-101B-9397-08002B2CF9AE}" pid="10" name="ICV">
    <vt:lpwstr>42EFA80577F0C5702C01606A7F5E33D3_42</vt:lpwstr>
  </property>
</Properties>
</file>