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45.png" ContentType="image/png"/>
  <Override PartName="/word/media/rId56.png" ContentType="image/png"/>
  <Override PartName="/word/media/rId41.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delta0小组报告</w:t>
      </w:r>
    </w:p>
    <w:p>
      <w:pPr>
        <w:pStyle w:val="FirstParagraph"/>
      </w:pPr>
      <w:r>
        <w:rPr>
          <w:rFonts w:hint="eastAsia"/>
        </w:rPr>
        <w:t xml:space="preserve">基于</w:t>
      </w:r>
      <w:r>
        <w:t xml:space="preserve"> 20 </w:t>
      </w:r>
      <w:r>
        <w:rPr>
          <w:rFonts w:hint="eastAsia"/>
        </w:rPr>
        <w:t xml:space="preserve">只股票数据</w:t>
      </w:r>
      <w:r>
        <w:t xml:space="preserve"> · </w:t>
      </w:r>
      <w:r>
        <w:rPr>
          <w:rFonts w:hint="eastAsia"/>
        </w:rPr>
        <w:t xml:space="preserve">聚焦</w:t>
      </w:r>
      <w:r>
        <w:t xml:space="preserve"> 10 </w:t>
      </w:r>
      <w:r>
        <w:rPr>
          <w:rFonts w:hint="eastAsia"/>
        </w:rPr>
        <w:t xml:space="preserve">只核心分析</w:t>
      </w:r>
      <w:r>
        <w:t xml:space="preserve"> </w:t>
      </w:r>
      <w:r>
        <w:rPr>
          <w:rFonts w:hint="eastAsia"/>
        </w:rPr>
        <w:t xml:space="preserve">报告日期：2026年7月22日</w:t>
      </w:r>
      <w:r>
        <w:t xml:space="preserve"> </w:t>
      </w:r>
      <w:r>
        <w:rPr>
          <w:rFonts w:hint="eastAsia"/>
        </w:rPr>
        <w:t xml:space="preserve">版本：V2.0</w:t>
      </w:r>
      <w:r>
        <w:t xml:space="preserve"> </w:t>
      </w:r>
      <w:r>
        <w:rPr>
          <w:rFonts w:hint="eastAsia"/>
        </w:rPr>
        <w:t xml:space="preserve">队名：delta0</w:t>
      </w:r>
      <w:r>
        <w:t xml:space="preserve"> </w:t>
      </w:r>
      <w:r>
        <w:rPr>
          <w:rFonts w:hint="eastAsia"/>
        </w:rPr>
        <w:t xml:space="preserve">口号：创造delta0的投资组合</w:t>
      </w:r>
      <w:r>
        <w:t xml:space="preserve"> </w:t>
      </w:r>
      <w:r>
        <w:rPr>
          <w:rFonts w:hint="eastAsia"/>
        </w:rPr>
        <w:t xml:space="preserve">队长：小喵因子</w:t>
      </w:r>
      <w:r>
        <w:t xml:space="preserve"> </w:t>
      </w:r>
      <w:r>
        <w:rPr>
          <w:rFonts w:hint="eastAsia"/>
        </w:rPr>
        <w:t xml:space="preserve">队员：桃，标，风中闻笛，不知</w:t>
      </w:r>
      <w:r>
        <w:t xml:space="preserve"> Peter</w:t>
      </w:r>
      <w:r>
        <w:t xml:space="preserve"> </w:t>
      </w:r>
      <w:r>
        <w:rPr>
          <w:rFonts w:hint="eastAsia"/>
        </w:rPr>
        <w:t xml:space="preserve">参与方式：组队学习</w:t>
      </w:r>
      <w:r>
        <w:t xml:space="preserve"> </w:t>
      </w:r>
      <w:r>
        <w:rPr>
          <w:rFonts w:hint="eastAsia"/>
        </w:rPr>
        <w:t xml:space="preserve">下载链接：策略报告，</w:t>
      </w:r>
      <w:r>
        <w:t xml:space="preserve"> </w:t>
      </w:r>
      <w:r>
        <w:rPr>
          <w:rFonts w:hint="eastAsia"/>
        </w:rPr>
        <w:t xml:space="preserve">策略海报，</w:t>
      </w:r>
      <w:r>
        <w:t xml:space="preserve"> </w:t>
      </w:r>
      <w:r>
        <w:rPr>
          <w:rFonts w:hint="eastAsia"/>
        </w:rPr>
        <w:t xml:space="preserve">策略附件</w:t>
      </w:r>
    </w:p>
    <w:p>
      <w:r>
        <w:pict>
          <v:rect style="width:0;height:1.5pt" o:hralign="center" o:hrstd="t" o:hr="t"/>
        </w:pict>
      </w:r>
    </w:p>
    <w:bookmarkStart w:id="9" w:name="目录"/>
    <w:p>
      <w:pPr>
        <w:pStyle w:val="Heading1"/>
      </w:pPr>
      <w:r>
        <w:rPr>
          <w:rFonts w:hint="eastAsia"/>
        </w:rPr>
        <w:t xml:space="preserve">目录</w:t>
      </w:r>
    </w:p>
    <w:p>
      <w:pPr>
        <w:pStyle w:val="Compact"/>
        <w:numPr>
          <w:ilvl w:val="0"/>
          <w:numId w:val="1001"/>
        </w:numPr>
      </w:pPr>
      <w:hyperlink w:anchor="第1章-研究问题与目标">
        <w:r>
          <w:rPr>
            <w:rStyle w:val="Hyperlink"/>
            <w:rFonts w:hint="eastAsia"/>
          </w:rPr>
          <w:t xml:space="preserve">第1章</w:t>
        </w:r>
        <w:r>
          <w:rPr>
            <w:rStyle w:val="Hyperlink"/>
          </w:rPr>
          <w:t xml:space="preserve"> </w:t>
        </w:r>
        <w:r>
          <w:rPr>
            <w:rStyle w:val="Hyperlink"/>
            <w:rFonts w:hint="eastAsia"/>
          </w:rPr>
          <w:t xml:space="preserve">研究问题与目标</w:t>
        </w:r>
      </w:hyperlink>
    </w:p>
    <w:p>
      <w:pPr>
        <w:pStyle w:val="Compact"/>
        <w:numPr>
          <w:ilvl w:val="1"/>
          <w:numId w:val="1002"/>
        </w:numPr>
      </w:pPr>
      <w:hyperlink w:anchor="X55279c21189073007832dfd13636b852c6263b8">
        <w:r>
          <w:rPr>
            <w:rStyle w:val="Hyperlink"/>
          </w:rPr>
          <w:t xml:space="preserve">1.1 </w:t>
        </w:r>
        <w:r>
          <w:rPr>
            <w:rStyle w:val="Hyperlink"/>
            <w:rFonts w:hint="eastAsia"/>
          </w:rPr>
          <w:t xml:space="preserve">研究问题</w:t>
        </w:r>
      </w:hyperlink>
    </w:p>
    <w:p>
      <w:pPr>
        <w:pStyle w:val="Compact"/>
        <w:numPr>
          <w:ilvl w:val="1"/>
          <w:numId w:val="1002"/>
        </w:numPr>
      </w:pPr>
      <w:hyperlink w:anchor="X03a2ebc13193185631c03f0e8e6e9e31d1e154f">
        <w:r>
          <w:rPr>
            <w:rStyle w:val="Hyperlink"/>
          </w:rPr>
          <w:t xml:space="preserve">1.2 </w:t>
        </w:r>
        <w:r>
          <w:rPr>
            <w:rStyle w:val="Hyperlink"/>
            <w:rFonts w:hint="eastAsia"/>
          </w:rPr>
          <w:t xml:space="preserve">事先设定的成功标准</w:t>
        </w:r>
      </w:hyperlink>
    </w:p>
    <w:p>
      <w:pPr>
        <w:pStyle w:val="Compact"/>
        <w:numPr>
          <w:ilvl w:val="1"/>
          <w:numId w:val="1002"/>
        </w:numPr>
      </w:pPr>
      <w:hyperlink w:anchor="X8e9e9bceb1c33f3e592668d0f56a5e9f26acf0b">
        <w:r>
          <w:rPr>
            <w:rStyle w:val="Hyperlink"/>
          </w:rPr>
          <w:t xml:space="preserve">1.3 </w:t>
        </w:r>
        <w:r>
          <w:rPr>
            <w:rStyle w:val="Hyperlink"/>
            <w:rFonts w:hint="eastAsia"/>
          </w:rPr>
          <w:t xml:space="preserve">本次明确不做的事项</w:t>
        </w:r>
      </w:hyperlink>
    </w:p>
    <w:p>
      <w:pPr>
        <w:pStyle w:val="Compact"/>
        <w:numPr>
          <w:ilvl w:val="0"/>
          <w:numId w:val="1001"/>
        </w:numPr>
      </w:pPr>
      <w:hyperlink w:anchor="第2章-数据说明">
        <w:r>
          <w:rPr>
            <w:rStyle w:val="Hyperlink"/>
            <w:rFonts w:hint="eastAsia"/>
          </w:rPr>
          <w:t xml:space="preserve">第2章</w:t>
        </w:r>
        <w:r>
          <w:rPr>
            <w:rStyle w:val="Hyperlink"/>
          </w:rPr>
          <w:t xml:space="preserve"> </w:t>
        </w:r>
        <w:r>
          <w:rPr>
            <w:rStyle w:val="Hyperlink"/>
            <w:rFonts w:hint="eastAsia"/>
          </w:rPr>
          <w:t xml:space="preserve">数据说明</w:t>
        </w:r>
      </w:hyperlink>
    </w:p>
    <w:p>
      <w:pPr>
        <w:pStyle w:val="Compact"/>
        <w:numPr>
          <w:ilvl w:val="1"/>
          <w:numId w:val="1003"/>
        </w:numPr>
      </w:pPr>
      <w:hyperlink w:anchor="Xcb00f1123e77bba4371ccd6a26f1966fe824c91">
        <w:r>
          <w:rPr>
            <w:rStyle w:val="Hyperlink"/>
          </w:rPr>
          <w:t xml:space="preserve">2.1 </w:t>
        </w:r>
        <w:r>
          <w:rPr>
            <w:rStyle w:val="Hyperlink"/>
            <w:rFonts w:hint="eastAsia"/>
          </w:rPr>
          <w:t xml:space="preserve">股票池（20只）与聚焦10只</w:t>
        </w:r>
      </w:hyperlink>
    </w:p>
    <w:p>
      <w:pPr>
        <w:pStyle w:val="Compact"/>
        <w:numPr>
          <w:ilvl w:val="1"/>
          <w:numId w:val="1003"/>
        </w:numPr>
      </w:pPr>
      <w:hyperlink w:anchor="X9470a1d2ad4e3dbdb19d2a8612cb599a672259d">
        <w:r>
          <w:rPr>
            <w:rStyle w:val="Hyperlink"/>
          </w:rPr>
          <w:t xml:space="preserve">2.2 </w:t>
        </w:r>
        <w:r>
          <w:rPr>
            <w:rStyle w:val="Hyperlink"/>
            <w:rFonts w:hint="eastAsia"/>
          </w:rPr>
          <w:t xml:space="preserve">数据来源和字段字典</w:t>
        </w:r>
      </w:hyperlink>
    </w:p>
    <w:p>
      <w:pPr>
        <w:pStyle w:val="Compact"/>
        <w:numPr>
          <w:ilvl w:val="1"/>
          <w:numId w:val="1003"/>
        </w:numPr>
      </w:pPr>
      <w:hyperlink w:anchor="X18110d8894a8893d32d5aeb7b24c937512ec5a6">
        <w:r>
          <w:rPr>
            <w:rStyle w:val="Hyperlink"/>
          </w:rPr>
          <w:t xml:space="preserve">2.3 </w:t>
        </w:r>
        <w:r>
          <w:rPr>
            <w:rStyle w:val="Hyperlink"/>
            <w:rFonts w:hint="eastAsia"/>
          </w:rPr>
          <w:t xml:space="preserve">文件说明</w:t>
        </w:r>
      </w:hyperlink>
    </w:p>
    <w:p>
      <w:pPr>
        <w:pStyle w:val="Compact"/>
        <w:numPr>
          <w:ilvl w:val="1"/>
          <w:numId w:val="1003"/>
        </w:numPr>
      </w:pPr>
      <w:hyperlink w:anchor="X3b765f4115d94d4cd3c93deedacba495d6a6515">
        <w:r>
          <w:rPr>
            <w:rStyle w:val="Hyperlink"/>
          </w:rPr>
          <w:t xml:space="preserve">2.4 </w:t>
        </w:r>
        <w:r>
          <w:rPr>
            <w:rStyle w:val="Hyperlink"/>
            <w:rFonts w:hint="eastAsia"/>
          </w:rPr>
          <w:t xml:space="preserve">质量处理</w:t>
        </w:r>
      </w:hyperlink>
    </w:p>
    <w:p>
      <w:pPr>
        <w:pStyle w:val="Compact"/>
        <w:numPr>
          <w:ilvl w:val="1"/>
          <w:numId w:val="1003"/>
        </w:numPr>
      </w:pPr>
      <w:hyperlink w:anchor="Xe34c4836b07996a9e72634f800c9562ebe4fbe1">
        <w:r>
          <w:rPr>
            <w:rStyle w:val="Hyperlink"/>
          </w:rPr>
          <w:t xml:space="preserve">2.5 </w:t>
        </w:r>
        <w:r>
          <w:rPr>
            <w:rStyle w:val="Hyperlink"/>
            <w:rFonts w:hint="eastAsia"/>
          </w:rPr>
          <w:t xml:space="preserve">回测区间</w:t>
        </w:r>
      </w:hyperlink>
    </w:p>
    <w:p>
      <w:pPr>
        <w:pStyle w:val="Compact"/>
        <w:numPr>
          <w:ilvl w:val="0"/>
          <w:numId w:val="1001"/>
        </w:numPr>
      </w:pPr>
      <w:hyperlink w:anchor="第3章-策略设计">
        <w:r>
          <w:rPr>
            <w:rStyle w:val="Hyperlink"/>
            <w:rFonts w:hint="eastAsia"/>
          </w:rPr>
          <w:t xml:space="preserve">第3章</w:t>
        </w:r>
        <w:r>
          <w:rPr>
            <w:rStyle w:val="Hyperlink"/>
          </w:rPr>
          <w:t xml:space="preserve"> </w:t>
        </w:r>
        <w:r>
          <w:rPr>
            <w:rStyle w:val="Hyperlink"/>
            <w:rFonts w:hint="eastAsia"/>
          </w:rPr>
          <w:t xml:space="preserve">策略设计</w:t>
        </w:r>
      </w:hyperlink>
    </w:p>
    <w:p>
      <w:pPr>
        <w:pStyle w:val="Compact"/>
        <w:numPr>
          <w:ilvl w:val="1"/>
          <w:numId w:val="1004"/>
        </w:numPr>
      </w:pPr>
      <w:hyperlink w:anchor="Xa752c89b169e71c539992c4d9fe92eaea5aec9c">
        <w:r>
          <w:rPr>
            <w:rStyle w:val="Hyperlink"/>
          </w:rPr>
          <w:t xml:space="preserve">3.1 </w:t>
        </w:r>
        <w:r>
          <w:rPr>
            <w:rStyle w:val="Hyperlink"/>
            <w:rFonts w:hint="eastAsia"/>
          </w:rPr>
          <w:t xml:space="preserve">关键设定</w:t>
        </w:r>
      </w:hyperlink>
    </w:p>
    <w:p>
      <w:pPr>
        <w:pStyle w:val="Compact"/>
        <w:numPr>
          <w:ilvl w:val="1"/>
          <w:numId w:val="1004"/>
        </w:numPr>
      </w:pPr>
      <w:hyperlink w:anchor="X272c82879acd9a7448d038782b7ee9061250ad8">
        <w:r>
          <w:rPr>
            <w:rStyle w:val="Hyperlink"/>
          </w:rPr>
          <w:t xml:space="preserve">3.2 </w:t>
        </w:r>
        <w:r>
          <w:rPr>
            <w:rStyle w:val="Hyperlink"/>
            <w:rFonts w:hint="eastAsia"/>
          </w:rPr>
          <w:t xml:space="preserve">可复现步骤</w:t>
        </w:r>
      </w:hyperlink>
    </w:p>
    <w:p>
      <w:pPr>
        <w:pStyle w:val="Compact"/>
        <w:numPr>
          <w:ilvl w:val="0"/>
          <w:numId w:val="1001"/>
        </w:numPr>
      </w:pPr>
      <w:hyperlink w:anchor="第4章-核心结果10只股票组合">
        <w:r>
          <w:rPr>
            <w:rStyle w:val="Hyperlink"/>
            <w:rFonts w:hint="eastAsia"/>
          </w:rPr>
          <w:t xml:space="preserve">第4章</w:t>
        </w:r>
        <w:r>
          <w:rPr>
            <w:rStyle w:val="Hyperlink"/>
          </w:rPr>
          <w:t xml:space="preserve"> </w:t>
        </w:r>
        <w:r>
          <w:rPr>
            <w:rStyle w:val="Hyperlink"/>
            <w:rFonts w:hint="eastAsia"/>
          </w:rPr>
          <w:t xml:space="preserve">核心结果（10只股票组合）</w:t>
        </w:r>
      </w:hyperlink>
    </w:p>
    <w:p>
      <w:pPr>
        <w:pStyle w:val="Compact"/>
        <w:numPr>
          <w:ilvl w:val="1"/>
          <w:numId w:val="1005"/>
        </w:numPr>
      </w:pPr>
      <w:hyperlink w:anchor="X13202fe5cd3c5964954126a8dc6f11ec75972b5">
        <w:r>
          <w:rPr>
            <w:rStyle w:val="Hyperlink"/>
          </w:rPr>
          <w:t xml:space="preserve">4.1 </w:t>
        </w:r>
        <w:r>
          <w:rPr>
            <w:rStyle w:val="Hyperlink"/>
            <w:rFonts w:hint="eastAsia"/>
          </w:rPr>
          <w:t xml:space="preserve">执行摘要</w:t>
        </w:r>
      </w:hyperlink>
    </w:p>
    <w:p>
      <w:pPr>
        <w:pStyle w:val="Compact"/>
        <w:numPr>
          <w:ilvl w:val="1"/>
          <w:numId w:val="1005"/>
        </w:numPr>
      </w:pPr>
      <w:hyperlink w:anchor="Xd1d951ebaf11aa3f7103c7d6f35a54395b950c8">
        <w:r>
          <w:rPr>
            <w:rStyle w:val="Hyperlink"/>
          </w:rPr>
          <w:t xml:space="preserve">4.2 </w:t>
        </w:r>
        <w:r>
          <w:rPr>
            <w:rStyle w:val="Hyperlink"/>
            <w:rFonts w:hint="eastAsia"/>
          </w:rPr>
          <w:t xml:space="preserve">绩效总表</w:t>
        </w:r>
      </w:hyperlink>
    </w:p>
    <w:p>
      <w:pPr>
        <w:pStyle w:val="Compact"/>
        <w:numPr>
          <w:ilvl w:val="1"/>
          <w:numId w:val="1005"/>
        </w:numPr>
      </w:pPr>
      <w:hyperlink w:anchor="Xec04511041e4b8efd21eae3e2161794ff523647">
        <w:r>
          <w:rPr>
            <w:rStyle w:val="Hyperlink"/>
          </w:rPr>
          <w:t xml:space="preserve">4.3 </w:t>
        </w:r>
        <w:r>
          <w:rPr>
            <w:rStyle w:val="Hyperlink"/>
            <w:rFonts w:hint="eastAsia"/>
          </w:rPr>
          <w:t xml:space="preserve">必做三图</w:t>
        </w:r>
      </w:hyperlink>
    </w:p>
    <w:p>
      <w:pPr>
        <w:pStyle w:val="Compact"/>
        <w:numPr>
          <w:ilvl w:val="0"/>
          <w:numId w:val="1001"/>
        </w:numPr>
      </w:pPr>
      <w:hyperlink w:anchor="第5章-细分分析">
        <w:r>
          <w:rPr>
            <w:rStyle w:val="Hyperlink"/>
            <w:rFonts w:hint="eastAsia"/>
          </w:rPr>
          <w:t xml:space="preserve">第5章</w:t>
        </w:r>
        <w:r>
          <w:rPr>
            <w:rStyle w:val="Hyperlink"/>
          </w:rPr>
          <w:t xml:space="preserve"> </w:t>
        </w:r>
        <w:r>
          <w:rPr>
            <w:rStyle w:val="Hyperlink"/>
            <w:rFonts w:hint="eastAsia"/>
          </w:rPr>
          <w:t xml:space="preserve">细分分析</w:t>
        </w:r>
      </w:hyperlink>
    </w:p>
    <w:p>
      <w:pPr>
        <w:pStyle w:val="Compact"/>
        <w:numPr>
          <w:ilvl w:val="1"/>
          <w:numId w:val="1006"/>
        </w:numPr>
      </w:pPr>
      <w:hyperlink w:anchor="Xad48af04896ffe67fb6ddcb8023de51d74919bc">
        <w:r>
          <w:rPr>
            <w:rStyle w:val="Hyperlink"/>
          </w:rPr>
          <w:t xml:space="preserve">5.1 </w:t>
        </w:r>
        <w:r>
          <w:rPr>
            <w:rStyle w:val="Hyperlink"/>
            <w:rFonts w:hint="eastAsia"/>
          </w:rPr>
          <w:t xml:space="preserve">聚焦10只个股表现表</w:t>
        </w:r>
      </w:hyperlink>
    </w:p>
    <w:p>
      <w:pPr>
        <w:pStyle w:val="Compact"/>
        <w:numPr>
          <w:ilvl w:val="1"/>
          <w:numId w:val="1006"/>
        </w:numPr>
      </w:pPr>
      <w:hyperlink w:anchor="X6f0e701446331a453b481dfc9dd7b27b3f34248">
        <w:r>
          <w:rPr>
            <w:rStyle w:val="Hyperlink"/>
          </w:rPr>
          <w:t xml:space="preserve">5.2 </w:t>
        </w:r>
        <w:r>
          <w:rPr>
            <w:rStyle w:val="Hyperlink"/>
            <w:rFonts w:hint="eastAsia"/>
          </w:rPr>
          <w:t xml:space="preserve">贡献说明</w:t>
        </w:r>
      </w:hyperlink>
    </w:p>
    <w:p>
      <w:pPr>
        <w:pStyle w:val="Compact"/>
        <w:numPr>
          <w:ilvl w:val="1"/>
          <w:numId w:val="1006"/>
        </w:numPr>
      </w:pPr>
      <w:hyperlink w:anchor="Xa589a8223a7d73e3b32fb382bc0d386ad812004">
        <w:r>
          <w:rPr>
            <w:rStyle w:val="Hyperlink"/>
          </w:rPr>
          <w:t xml:space="preserve">5.3 </w:t>
        </w:r>
        <w:r>
          <w:rPr>
            <w:rStyle w:val="Hyperlink"/>
            <w:rFonts w:hint="eastAsia"/>
          </w:rPr>
          <w:t xml:space="preserve">市场环境表现</w:t>
        </w:r>
      </w:hyperlink>
    </w:p>
    <w:p>
      <w:pPr>
        <w:pStyle w:val="Compact"/>
        <w:numPr>
          <w:ilvl w:val="1"/>
          <w:numId w:val="1006"/>
        </w:numPr>
      </w:pPr>
      <w:hyperlink w:anchor="Xede7b352d3f9e474bb9a85dd643482797a4f056">
        <w:r>
          <w:rPr>
            <w:rStyle w:val="Hyperlink"/>
          </w:rPr>
          <w:t xml:space="preserve">5.4 </w:t>
        </w:r>
        <w:r>
          <w:rPr>
            <w:rStyle w:val="Hyperlink"/>
            <w:rFonts w:hint="eastAsia"/>
          </w:rPr>
          <w:t xml:space="preserve">攻防风格分析</w:t>
        </w:r>
      </w:hyperlink>
    </w:p>
    <w:p>
      <w:pPr>
        <w:pStyle w:val="Compact"/>
        <w:numPr>
          <w:ilvl w:val="0"/>
          <w:numId w:val="1001"/>
        </w:numPr>
      </w:pPr>
      <w:hyperlink w:anchor="第6章-结论局限与下一步">
        <w:r>
          <w:rPr>
            <w:rStyle w:val="Hyperlink"/>
            <w:rFonts w:hint="eastAsia"/>
          </w:rPr>
          <w:t xml:space="preserve">第6章</w:t>
        </w:r>
        <w:r>
          <w:rPr>
            <w:rStyle w:val="Hyperlink"/>
          </w:rPr>
          <w:t xml:space="preserve"> </w:t>
        </w:r>
        <w:r>
          <w:rPr>
            <w:rStyle w:val="Hyperlink"/>
            <w:rFonts w:hint="eastAsia"/>
          </w:rPr>
          <w:t xml:space="preserve">结论、局限与下一步</w:t>
        </w:r>
      </w:hyperlink>
    </w:p>
    <w:p>
      <w:pPr>
        <w:pStyle w:val="Compact"/>
        <w:numPr>
          <w:ilvl w:val="1"/>
          <w:numId w:val="1007"/>
        </w:numPr>
      </w:pPr>
      <w:hyperlink w:anchor="Xd2a283907c2137648f1c85ab6bd88fd2045008a">
        <w:r>
          <w:rPr>
            <w:rStyle w:val="Hyperlink"/>
          </w:rPr>
          <w:t xml:space="preserve">6.1 </w:t>
        </w:r>
        <w:r>
          <w:rPr>
            <w:rStyle w:val="Hyperlink"/>
            <w:rFonts w:hint="eastAsia"/>
          </w:rPr>
          <w:t xml:space="preserve">结论</w:t>
        </w:r>
      </w:hyperlink>
    </w:p>
    <w:p>
      <w:pPr>
        <w:pStyle w:val="Compact"/>
        <w:numPr>
          <w:ilvl w:val="1"/>
          <w:numId w:val="1007"/>
        </w:numPr>
      </w:pPr>
      <w:hyperlink w:anchor="Xe938ed5fdd4a91b114a70aef4d96553652aa127">
        <w:r>
          <w:rPr>
            <w:rStyle w:val="Hyperlink"/>
          </w:rPr>
          <w:t xml:space="preserve">6.2 </w:t>
        </w:r>
        <w:r>
          <w:rPr>
            <w:rStyle w:val="Hyperlink"/>
            <w:rFonts w:hint="eastAsia"/>
          </w:rPr>
          <w:t xml:space="preserve">局限</w:t>
        </w:r>
      </w:hyperlink>
    </w:p>
    <w:p>
      <w:pPr>
        <w:pStyle w:val="Compact"/>
        <w:numPr>
          <w:ilvl w:val="1"/>
          <w:numId w:val="1007"/>
        </w:numPr>
      </w:pPr>
      <w:hyperlink w:anchor="Xc236f2b88af695dbf9ed58b4aeacff8c5a0665a">
        <w:r>
          <w:rPr>
            <w:rStyle w:val="Hyperlink"/>
          </w:rPr>
          <w:t xml:space="preserve">6.3 </w:t>
        </w:r>
        <w:r>
          <w:rPr>
            <w:rStyle w:val="Hyperlink"/>
            <w:rFonts w:hint="eastAsia"/>
          </w:rPr>
          <w:t xml:space="preserve">下一步</w:t>
        </w:r>
      </w:hyperlink>
    </w:p>
    <w:p>
      <w:pPr>
        <w:pStyle w:val="Compact"/>
        <w:numPr>
          <w:ilvl w:val="0"/>
          <w:numId w:val="1001"/>
        </w:numPr>
      </w:pPr>
      <w:hyperlink w:anchor="参考文献">
        <w:r>
          <w:rPr>
            <w:rStyle w:val="Hyperlink"/>
            <w:rFonts w:hint="eastAsia"/>
          </w:rPr>
          <w:t xml:space="preserve">参考文献</w:t>
        </w:r>
      </w:hyperlink>
    </w:p>
    <w:p>
      <w:pPr>
        <w:pStyle w:val="Compact"/>
        <w:numPr>
          <w:ilvl w:val="0"/>
          <w:numId w:val="1001"/>
        </w:numPr>
      </w:pPr>
      <w:hyperlink w:anchor="附录">
        <w:r>
          <w:rPr>
            <w:rStyle w:val="Hyperlink"/>
            <w:rFonts w:hint="eastAsia"/>
          </w:rPr>
          <w:t xml:space="preserve">附录</w:t>
        </w:r>
      </w:hyperlink>
    </w:p>
    <w:p>
      <w:pPr>
        <w:pStyle w:val="Compact"/>
        <w:numPr>
          <w:ilvl w:val="1"/>
          <w:numId w:val="1008"/>
        </w:numPr>
      </w:pPr>
      <w:hyperlink w:anchor="附录a20只股票完整列表与数据文件">
        <w:r>
          <w:rPr>
            <w:rStyle w:val="Hyperlink"/>
            <w:rFonts w:hint="eastAsia"/>
          </w:rPr>
          <w:t xml:space="preserve">附录A：20只股票完整列表与数据文件</w:t>
        </w:r>
      </w:hyperlink>
    </w:p>
    <w:p>
      <w:pPr>
        <w:pStyle w:val="Compact"/>
        <w:numPr>
          <w:ilvl w:val="1"/>
          <w:numId w:val="1008"/>
        </w:numPr>
      </w:pPr>
      <w:hyperlink w:anchor="附录bcsv字段与文件路径见22和23">
        <w:r>
          <w:rPr>
            <w:rStyle w:val="Hyperlink"/>
            <w:rFonts w:hint="eastAsia"/>
          </w:rPr>
          <w:t xml:space="preserve">附录B：CSV字段与文件路径</w:t>
        </w:r>
      </w:hyperlink>
    </w:p>
    <w:p>
      <w:pPr>
        <w:pStyle w:val="Compact"/>
        <w:numPr>
          <w:ilvl w:val="1"/>
          <w:numId w:val="1008"/>
        </w:numPr>
      </w:pPr>
      <w:hyperlink w:anchor="附录c完整指标表补充">
        <w:r>
          <w:rPr>
            <w:rStyle w:val="Hyperlink"/>
            <w:rFonts w:hint="eastAsia"/>
          </w:rPr>
          <w:t xml:space="preserve">附录C：完整指标表</w:t>
        </w:r>
      </w:hyperlink>
    </w:p>
    <w:p>
      <w:pPr>
        <w:pStyle w:val="Compact"/>
        <w:numPr>
          <w:ilvl w:val="1"/>
          <w:numId w:val="1008"/>
        </w:numPr>
      </w:pPr>
      <w:hyperlink w:anchor="附录d计算代码notebook路径">
        <w:r>
          <w:rPr>
            <w:rStyle w:val="Hyperlink"/>
            <w:rFonts w:hint="eastAsia"/>
          </w:rPr>
          <w:t xml:space="preserve">附录D：计算代码</w:t>
        </w:r>
      </w:hyperlink>
    </w:p>
    <w:p>
      <w:r>
        <w:pict>
          <v:rect style="width:0;height:1.5pt" o:hralign="center" o:hrstd="t" o:hr="t"/>
        </w:pict>
      </w:r>
    </w:p>
    <w:bookmarkEnd w:id="9"/>
    <w:bookmarkStart w:id="13" w:name="第1章-研究问题与目标"/>
    <w:p>
      <w:pPr>
        <w:pStyle w:val="Heading1"/>
      </w:pPr>
      <w:r>
        <w:rPr>
          <w:rFonts w:hint="eastAsia"/>
        </w:rPr>
        <w:t xml:space="preserve">第1章</w:t>
      </w:r>
      <w:r>
        <w:t xml:space="preserve"> </w:t>
      </w:r>
      <w:r>
        <w:rPr>
          <w:rFonts w:hint="eastAsia"/>
        </w:rPr>
        <w:t xml:space="preserve">研究问题与目标</w:t>
      </w:r>
    </w:p>
    <w:bookmarkStart w:id="10" w:name="研究问题"/>
    <w:p>
      <w:pPr>
        <w:pStyle w:val="Heading2"/>
      </w:pPr>
      <w:r>
        <w:t xml:space="preserve">1.1 </w:t>
      </w:r>
      <w:r>
        <w:rPr>
          <w:rFonts w:hint="eastAsia"/>
        </w:rPr>
        <w:t xml:space="preserve">研究问题</w:t>
      </w:r>
    </w:p>
    <w:p>
      <w:pPr>
        <w:pStyle w:val="FirstParagraph"/>
      </w:pPr>
      <w:r>
        <w:rPr>
          <w:rFonts w:hint="eastAsia"/>
          <w:b/>
          <w:bCs/>
        </w:rPr>
        <w:t xml:space="preserve">在</w:t>
      </w:r>
      <w:r>
        <w:rPr>
          <w:b/>
          <w:bCs/>
        </w:rPr>
        <w:t xml:space="preserve"> 2024-07-19 </w:t>
      </w:r>
      <w:r>
        <w:rPr>
          <w:rFonts w:hint="eastAsia"/>
          <w:b/>
          <w:bCs/>
        </w:rPr>
        <w:t xml:space="preserve">至</w:t>
      </w:r>
      <w:r>
        <w:rPr>
          <w:b/>
          <w:bCs/>
        </w:rPr>
        <w:t xml:space="preserve"> 2026-07-21 </w:t>
      </w:r>
      <w:r>
        <w:rPr>
          <w:rFonts w:hint="eastAsia"/>
          <w:b/>
          <w:bCs/>
        </w:rPr>
        <w:t xml:space="preserve">期间，基于</w:t>
      </w:r>
      <w:r>
        <w:rPr>
          <w:b/>
          <w:bCs/>
        </w:rPr>
        <w:t xml:space="preserve"> Value + Quality + Momentum </w:t>
      </w:r>
      <w:r>
        <w:rPr>
          <w:rFonts w:hint="eastAsia"/>
          <w:b/>
          <w:bCs/>
        </w:rPr>
        <w:t xml:space="preserve">三因子模型</w:t>
      </w:r>
      <w:r>
        <w:rPr>
          <w:b/>
          <w:bCs/>
        </w:rPr>
        <w:t xml:space="preserve"> (Fama &amp; French, 1993; Carhart, 1997) </w:t>
      </w:r>
      <w:r>
        <w:rPr>
          <w:rFonts w:hint="eastAsia"/>
          <w:b/>
          <w:bCs/>
        </w:rPr>
        <w:t xml:space="preserve">从</w:t>
      </w:r>
      <w:r>
        <w:rPr>
          <w:b/>
          <w:bCs/>
        </w:rPr>
        <w:t xml:space="preserve"> 20 </w:t>
      </w:r>
      <w:r>
        <w:rPr>
          <w:rFonts w:hint="eastAsia"/>
          <w:b/>
          <w:bCs/>
        </w:rPr>
        <w:t xml:space="preserve">只股票中月度选股构建的组合，其风险收益特征如何？是否跑赢同期沪深</w:t>
      </w:r>
      <w:r>
        <w:rPr>
          <w:b/>
          <w:bCs/>
        </w:rPr>
        <w:t xml:space="preserve"> 300 </w:t>
      </w:r>
      <w:r>
        <w:rPr>
          <w:rFonts w:hint="eastAsia"/>
          <w:b/>
          <w:bCs/>
        </w:rPr>
        <w:t xml:space="preserve">指数？</w:t>
      </w:r>
    </w:p>
    <w:bookmarkEnd w:id="10"/>
    <w:bookmarkStart w:id="11" w:name="事先设定的成功标准"/>
    <w:p>
      <w:pPr>
        <w:pStyle w:val="Heading2"/>
      </w:pPr>
      <w:r>
        <w:t xml:space="preserve">1.2 </w:t>
      </w:r>
      <w:r>
        <w:rPr>
          <w:rFonts w:hint="eastAsia"/>
        </w:rPr>
        <w:t xml:space="preserve">事先设定的成功标准</w:t>
      </w:r>
    </w:p>
    <w:p>
      <w:pPr>
        <w:pStyle w:val="Compact"/>
        <w:numPr>
          <w:ilvl w:val="0"/>
          <w:numId w:val="1009"/>
        </w:numPr>
      </w:pPr>
      <w:r>
        <w:rPr>
          <w:rFonts w:hint="eastAsia"/>
        </w:rPr>
        <w:t xml:space="preserve">区间累计收益率</w:t>
      </w:r>
      <w:r>
        <w:t xml:space="preserve"> </w:t>
      </w:r>
      <w:r>
        <w:rPr>
          <w:b/>
          <w:bCs/>
        </w:rPr>
        <w:t xml:space="preserve">≥ 0</w:t>
      </w:r>
      <w:r>
        <w:rPr>
          <w:rFonts w:hint="eastAsia"/>
        </w:rPr>
        <w:t xml:space="preserve">（绝对收益）</w:t>
      </w:r>
    </w:p>
    <w:p>
      <w:pPr>
        <w:pStyle w:val="Compact"/>
        <w:numPr>
          <w:ilvl w:val="0"/>
          <w:numId w:val="1009"/>
        </w:numPr>
      </w:pPr>
      <w:r>
        <w:rPr>
          <w:rFonts w:hint="eastAsia"/>
        </w:rPr>
        <w:t xml:space="preserve">区间超额收益率（组合</w:t>
      </w:r>
      <w:r>
        <w:t xml:space="preserve"> vs </w:t>
      </w:r>
      <w:r>
        <w:rPr>
          <w:rFonts w:hint="eastAsia"/>
        </w:rPr>
        <w:t xml:space="preserve">沪深300）</w:t>
      </w:r>
      <w:r>
        <w:rPr>
          <w:b/>
          <w:bCs/>
        </w:rPr>
        <w:t xml:space="preserve">≥ 0</w:t>
      </w:r>
    </w:p>
    <w:p>
      <w:pPr>
        <w:pStyle w:val="Compact"/>
        <w:numPr>
          <w:ilvl w:val="0"/>
          <w:numId w:val="1009"/>
        </w:numPr>
      </w:pPr>
      <w:r>
        <w:rPr>
          <w:rFonts w:hint="eastAsia"/>
        </w:rPr>
        <w:t xml:space="preserve">最大回撤</w:t>
      </w:r>
      <w:r>
        <w:t xml:space="preserve"> </w:t>
      </w:r>
      <w:r>
        <w:rPr>
          <w:b/>
          <w:bCs/>
        </w:rPr>
        <w:t xml:space="preserve">≤ 15%</w:t>
      </w:r>
      <w:r>
        <w:rPr>
          <w:rFonts w:hint="eastAsia"/>
        </w:rPr>
        <w:t xml:space="preserve">（风险控制目标）</w:t>
      </w:r>
    </w:p>
    <w:bookmarkEnd w:id="11"/>
    <w:bookmarkStart w:id="12" w:name="本次明确不做的事项"/>
    <w:p>
      <w:pPr>
        <w:pStyle w:val="Heading2"/>
      </w:pPr>
      <w:r>
        <w:t xml:space="preserve">1.3 </w:t>
      </w:r>
      <w:r>
        <w:rPr>
          <w:rFonts w:hint="eastAsia"/>
        </w:rPr>
        <w:t xml:space="preserve">本次明确不做的事项</w:t>
      </w:r>
    </w:p>
    <w:p>
      <w:pPr>
        <w:pStyle w:val="Compact"/>
        <w:numPr>
          <w:ilvl w:val="0"/>
          <w:numId w:val="1010"/>
        </w:numPr>
      </w:pPr>
      <w:r>
        <w:rPr>
          <w:rFonts w:hint="eastAsia"/>
        </w:rPr>
        <w:t xml:space="preserve">不进行实盘交易</w:t>
      </w:r>
    </w:p>
    <w:p>
      <w:pPr>
        <w:pStyle w:val="Compact"/>
        <w:numPr>
          <w:ilvl w:val="0"/>
          <w:numId w:val="1010"/>
        </w:numPr>
      </w:pPr>
      <w:r>
        <w:rPr>
          <w:rFonts w:hint="eastAsia"/>
        </w:rPr>
        <w:t xml:space="preserve">不考虑冲击成本、滑点、税费</w:t>
      </w:r>
    </w:p>
    <w:p>
      <w:pPr>
        <w:pStyle w:val="Compact"/>
        <w:numPr>
          <w:ilvl w:val="0"/>
          <w:numId w:val="1010"/>
        </w:numPr>
      </w:pPr>
      <w:r>
        <w:rPr>
          <w:rFonts w:hint="eastAsia"/>
        </w:rPr>
        <w:t xml:space="preserve">不做高频交易，仅月度调仓</w:t>
      </w:r>
    </w:p>
    <w:bookmarkEnd w:id="12"/>
    <w:bookmarkEnd w:id="13"/>
    <w:bookmarkStart w:id="22" w:name="第2章-数据说明"/>
    <w:p>
      <w:pPr>
        <w:pStyle w:val="Heading1"/>
      </w:pPr>
      <w:r>
        <w:rPr>
          <w:rFonts w:hint="eastAsia"/>
        </w:rPr>
        <w:t xml:space="preserve">第2章</w:t>
      </w:r>
      <w:r>
        <w:t xml:space="preserve"> </w:t>
      </w:r>
      <w:r>
        <w:rPr>
          <w:rFonts w:hint="eastAsia"/>
        </w:rPr>
        <w:t xml:space="preserve">数据说明</w:t>
      </w:r>
    </w:p>
    <w:bookmarkStart w:id="15" w:name="股票池20只与聚焦10只"/>
    <w:p>
      <w:pPr>
        <w:pStyle w:val="Heading2"/>
      </w:pPr>
      <w:r>
        <w:t xml:space="preserve">2.1 </w:t>
      </w:r>
      <w:r>
        <w:rPr>
          <w:rFonts w:hint="eastAsia"/>
        </w:rPr>
        <w:t xml:space="preserve">股票池（20只）与聚焦10只</w:t>
      </w:r>
    </w:p>
    <w:p>
      <w:pPr>
        <w:pStyle w:val="FirstParagraph"/>
      </w:pPr>
      <w:r>
        <w:rPr>
          <w:rFonts w:hint="eastAsia"/>
        </w:rPr>
        <w:t xml:space="preserve">本报告按“科技进攻+传统行业防守+etf保底”的原则筛选出</w:t>
      </w:r>
      <w:r>
        <w:t xml:space="preserve"> 20 </w:t>
      </w:r>
      <w:r>
        <w:rPr>
          <w:rFonts w:hint="eastAsia"/>
        </w:rPr>
        <w:t xml:space="preserve">只作为初始股票池。下表列出全部</w:t>
      </w:r>
      <w:r>
        <w:t xml:space="preserve"> 20 </w:t>
      </w:r>
      <w:r>
        <w:rPr>
          <w:rFonts w:hint="eastAsia"/>
        </w:rPr>
        <w:t xml:space="preserve">只股票的基本面入选理由，以及</w:t>
      </w:r>
      <w:r>
        <w:t xml:space="preserve"> VQM </w:t>
      </w:r>
      <w:r>
        <w:rPr>
          <w:rFonts w:hint="eastAsia"/>
        </w:rPr>
        <w:t xml:space="preserve">三因子策略在</w:t>
      </w:r>
      <w:r>
        <w:t xml:space="preserve"> 19 </w:t>
      </w:r>
      <w:r>
        <w:rPr>
          <w:rFonts w:hint="eastAsia"/>
        </w:rPr>
        <w:t xml:space="preserve">个调仓月（2025-01</w:t>
      </w:r>
      <w:r>
        <w:t xml:space="preserve"> ~ </w:t>
      </w:r>
      <w:r>
        <w:rPr>
          <w:rFonts w:hint="eastAsia"/>
        </w:rPr>
        <w:t xml:space="preserve">2026-07）中的实际动态入选次数。</w:t>
      </w:r>
      <w:r>
        <w:rPr>
          <w:rFonts w:hint="eastAsia"/>
        </w:rPr>
        <w:t xml:space="preserve">“是否进入10只”</w:t>
      </w:r>
      <w:r>
        <w:rPr>
          <w:rFonts w:hint="eastAsia"/>
        </w:rPr>
        <w:t xml:space="preserve">一列标注的是策略运行前人工预设的聚焦名单，</w:t>
      </w:r>
      <w:r>
        <w:rPr>
          <w:rFonts w:hint="eastAsia"/>
        </w:rPr>
        <w:t xml:space="preserve">“VQM入选次数”</w:t>
      </w:r>
      <w:r>
        <w:rPr>
          <w:rFonts w:hint="eastAsia"/>
        </w:rPr>
        <w:t xml:space="preserve">则反映策略实际动态选股的结果——两者对比可以直观看到模型选股与主观判断的差异。</w:t>
      </w:r>
    </w:p>
    <w:tbl>
      <w:tblPr>
        <w:tblStyle w:val="Table"/>
        <w:tblW w:type="pct" w:w="5000"/>
        <w:tblLayout w:type="fixed"/>
        <w:tblLook w:firstRow="1" w:lastRow="0" w:firstColumn="0" w:lastColumn="0" w:noHBand="0" w:noVBand="0" w:val="0020"/>
      </w:tblPr>
      <w:tblGrid>
        <w:gridCol w:w="792"/>
        <w:gridCol w:w="792"/>
        <w:gridCol w:w="792"/>
        <w:gridCol w:w="792"/>
        <w:gridCol w:w="1320"/>
        <w:gridCol w:w="1716"/>
        <w:gridCol w:w="1716"/>
      </w:tblGrid>
      <w:tr>
        <w:trPr>
          <w:tblHeader w:val="on"/>
        </w:trPr>
        <w:tc>
          <w:tcPr/>
          <w:p>
            <w:pPr>
              <w:pStyle w:val="Compact"/>
            </w:pPr>
            <w:r>
              <w:rPr>
                <w:rFonts w:hint="eastAsia"/>
              </w:rPr>
              <w:t xml:space="preserve">序号</w:t>
            </w:r>
          </w:p>
        </w:tc>
        <w:tc>
          <w:tcPr/>
          <w:p>
            <w:pPr>
              <w:pStyle w:val="Compact"/>
            </w:pPr>
            <w:r>
              <w:rPr>
                <w:rFonts w:hint="eastAsia"/>
              </w:rPr>
              <w:t xml:space="preserve">代码</w:t>
            </w:r>
          </w:p>
        </w:tc>
        <w:tc>
          <w:tcPr/>
          <w:p>
            <w:pPr>
              <w:pStyle w:val="Compact"/>
            </w:pPr>
            <w:r>
              <w:rPr>
                <w:rFonts w:hint="eastAsia"/>
              </w:rPr>
              <w:t xml:space="preserve">名称</w:t>
            </w:r>
          </w:p>
        </w:tc>
        <w:tc>
          <w:tcPr/>
          <w:p>
            <w:pPr>
              <w:pStyle w:val="Compact"/>
            </w:pPr>
            <w:r>
              <w:rPr>
                <w:rFonts w:hint="eastAsia"/>
              </w:rPr>
              <w:t xml:space="preserve">行业</w:t>
            </w:r>
          </w:p>
        </w:tc>
        <w:tc>
          <w:tcPr/>
          <w:p>
            <w:pPr>
              <w:pStyle w:val="Compact"/>
            </w:pPr>
            <w:r>
              <w:rPr>
                <w:rFonts w:hint="eastAsia"/>
              </w:rPr>
              <w:t xml:space="preserve">入选理由</w:t>
            </w:r>
          </w:p>
        </w:tc>
        <w:tc>
          <w:tcPr/>
          <w:p>
            <w:pPr>
              <w:pStyle w:val="Compact"/>
            </w:pPr>
            <w:r>
              <w:rPr>
                <w:rFonts w:hint="eastAsia"/>
              </w:rPr>
              <w:t xml:space="preserve">VQM入选次数</w:t>
            </w:r>
          </w:p>
        </w:tc>
        <w:tc>
          <w:tcPr/>
          <w:p>
            <w:pPr>
              <w:pStyle w:val="Compact"/>
            </w:pPr>
            <w:r>
              <w:rPr>
                <w:rFonts w:hint="eastAsia"/>
              </w:rPr>
              <w:t xml:space="preserve">主观选择是否进入10只</w:t>
            </w:r>
          </w:p>
        </w:tc>
      </w:tr>
      <w:tr>
        <w:tc>
          <w:tcPr/>
          <w:p>
            <w:pPr>
              <w:pStyle w:val="Compact"/>
            </w:pPr>
            <w:r>
              <w:t xml:space="preserve">1</w:t>
            </w:r>
          </w:p>
        </w:tc>
        <w:tc>
          <w:tcPr/>
          <w:p>
            <w:pPr>
              <w:pStyle w:val="Compact"/>
            </w:pPr>
            <w:r>
              <w:t xml:space="preserve">600085</w:t>
            </w:r>
          </w:p>
        </w:tc>
        <w:tc>
          <w:tcPr/>
          <w:p>
            <w:pPr>
              <w:pStyle w:val="Compact"/>
            </w:pPr>
            <w:r>
              <w:rPr>
                <w:rFonts w:hint="eastAsia"/>
              </w:rPr>
              <w:t xml:space="preserve">同仁堂</w:t>
            </w:r>
          </w:p>
        </w:tc>
        <w:tc>
          <w:tcPr/>
          <w:p>
            <w:pPr>
              <w:pStyle w:val="Compact"/>
            </w:pPr>
            <w:r>
              <w:rPr>
                <w:rFonts w:hint="eastAsia"/>
              </w:rPr>
              <w:t xml:space="preserve">医药/中药</w:t>
            </w:r>
          </w:p>
        </w:tc>
        <w:tc>
          <w:tcPr/>
          <w:p>
            <w:pPr>
              <w:pStyle w:val="Compact"/>
            </w:pPr>
            <w:r>
              <w:rPr>
                <w:rFonts w:hint="eastAsia"/>
              </w:rPr>
              <w:t xml:space="preserve">中成药全产业链，品牌壁垒深厚</w:t>
            </w:r>
          </w:p>
        </w:tc>
        <w:tc>
          <w:tcPr/>
          <w:p>
            <w:pPr>
              <w:pStyle w:val="Compact"/>
            </w:pPr>
            <w:r>
              <w:t xml:space="preserve">0</w:t>
            </w:r>
          </w:p>
        </w:tc>
        <w:tc>
          <w:tcPr/>
          <w:p>
            <w:pPr>
              <w:pStyle w:val="Compact"/>
            </w:pPr>
            <w:r>
              <w:rPr>
                <w:rFonts w:hint="eastAsia"/>
              </w:rPr>
              <w:t xml:space="preserve">是</w:t>
            </w:r>
          </w:p>
        </w:tc>
      </w:tr>
      <w:tr>
        <w:tc>
          <w:tcPr/>
          <w:p>
            <w:pPr>
              <w:pStyle w:val="Compact"/>
            </w:pPr>
            <w:r>
              <w:t xml:space="preserve">2</w:t>
            </w:r>
          </w:p>
        </w:tc>
        <w:tc>
          <w:tcPr/>
          <w:p>
            <w:pPr>
              <w:pStyle w:val="Compact"/>
            </w:pPr>
            <w:r>
              <w:t xml:space="preserve">600436</w:t>
            </w:r>
          </w:p>
        </w:tc>
        <w:tc>
          <w:tcPr/>
          <w:p>
            <w:pPr>
              <w:pStyle w:val="Compact"/>
            </w:pPr>
            <w:r>
              <w:rPr>
                <w:rFonts w:hint="eastAsia"/>
              </w:rPr>
              <w:t xml:space="preserve">片仔癀</w:t>
            </w:r>
          </w:p>
        </w:tc>
        <w:tc>
          <w:tcPr/>
          <w:p>
            <w:pPr>
              <w:pStyle w:val="Compact"/>
            </w:pPr>
            <w:r>
              <w:rPr>
                <w:rFonts w:hint="eastAsia"/>
              </w:rPr>
              <w:t xml:space="preserve">医药/中药</w:t>
            </w:r>
          </w:p>
        </w:tc>
        <w:tc>
          <w:tcPr/>
          <w:p>
            <w:pPr>
              <w:pStyle w:val="Compact"/>
            </w:pPr>
            <w:r>
              <w:rPr>
                <w:rFonts w:hint="eastAsia"/>
              </w:rPr>
              <w:t xml:space="preserve">绝密配方，高单价高现金流</w:t>
            </w:r>
          </w:p>
        </w:tc>
        <w:tc>
          <w:tcPr/>
          <w:p>
            <w:pPr>
              <w:pStyle w:val="Compact"/>
            </w:pPr>
            <w:r>
              <w:t xml:space="preserve">0</w:t>
            </w:r>
          </w:p>
        </w:tc>
        <w:tc>
          <w:tcPr/>
          <w:p>
            <w:pPr>
              <w:pStyle w:val="Compact"/>
            </w:pPr>
            <w:r>
              <w:rPr>
                <w:rFonts w:hint="eastAsia"/>
              </w:rPr>
              <w:t xml:space="preserve">否</w:t>
            </w:r>
          </w:p>
        </w:tc>
      </w:tr>
      <w:tr>
        <w:tc>
          <w:tcPr/>
          <w:p>
            <w:pPr>
              <w:pStyle w:val="Compact"/>
            </w:pPr>
            <w:r>
              <w:t xml:space="preserve">3</w:t>
            </w:r>
          </w:p>
        </w:tc>
        <w:tc>
          <w:tcPr/>
          <w:p>
            <w:pPr>
              <w:pStyle w:val="Compact"/>
            </w:pPr>
            <w:r>
              <w:t xml:space="preserve">600329</w:t>
            </w:r>
          </w:p>
        </w:tc>
        <w:tc>
          <w:tcPr/>
          <w:p>
            <w:pPr>
              <w:pStyle w:val="Compact"/>
            </w:pPr>
            <w:r>
              <w:rPr>
                <w:rFonts w:hint="eastAsia"/>
              </w:rPr>
              <w:t xml:space="preserve">达仁堂</w:t>
            </w:r>
          </w:p>
        </w:tc>
        <w:tc>
          <w:tcPr/>
          <w:p>
            <w:pPr>
              <w:pStyle w:val="Compact"/>
            </w:pPr>
            <w:r>
              <w:rPr>
                <w:rFonts w:hint="eastAsia"/>
              </w:rPr>
              <w:t xml:space="preserve">医药/中药</w:t>
            </w:r>
          </w:p>
        </w:tc>
        <w:tc>
          <w:tcPr/>
          <w:p>
            <w:pPr>
              <w:pStyle w:val="Compact"/>
            </w:pPr>
            <w:r>
              <w:rPr>
                <w:rFonts w:hint="eastAsia"/>
              </w:rPr>
              <w:t xml:space="preserve">独家品种丰富，速效救心丸</w:t>
            </w:r>
          </w:p>
        </w:tc>
        <w:tc>
          <w:tcPr/>
          <w:p>
            <w:pPr>
              <w:pStyle w:val="Compact"/>
            </w:pPr>
            <w:r>
              <w:t xml:space="preserve">6</w:t>
            </w:r>
          </w:p>
        </w:tc>
        <w:tc>
          <w:tcPr/>
          <w:p>
            <w:pPr>
              <w:pStyle w:val="Compact"/>
            </w:pPr>
            <w:r>
              <w:rPr>
                <w:rFonts w:hint="eastAsia"/>
              </w:rPr>
              <w:t xml:space="preserve">否</w:t>
            </w:r>
          </w:p>
        </w:tc>
      </w:tr>
      <w:tr>
        <w:tc>
          <w:tcPr/>
          <w:p>
            <w:pPr>
              <w:pStyle w:val="Compact"/>
            </w:pPr>
            <w:r>
              <w:t xml:space="preserve">4</w:t>
            </w:r>
          </w:p>
        </w:tc>
        <w:tc>
          <w:tcPr/>
          <w:p>
            <w:pPr>
              <w:pStyle w:val="Compact"/>
            </w:pPr>
            <w:r>
              <w:t xml:space="preserve">002287</w:t>
            </w:r>
          </w:p>
        </w:tc>
        <w:tc>
          <w:tcPr/>
          <w:p>
            <w:pPr>
              <w:pStyle w:val="Compact"/>
            </w:pPr>
            <w:r>
              <w:rPr>
                <w:rFonts w:hint="eastAsia"/>
              </w:rPr>
              <w:t xml:space="preserve">奇正藏药</w:t>
            </w:r>
          </w:p>
        </w:tc>
        <w:tc>
          <w:tcPr/>
          <w:p>
            <w:pPr>
              <w:pStyle w:val="Compact"/>
            </w:pPr>
            <w:r>
              <w:rPr>
                <w:rFonts w:hint="eastAsia"/>
              </w:rPr>
              <w:t xml:space="preserve">医药/中药</w:t>
            </w:r>
          </w:p>
        </w:tc>
        <w:tc>
          <w:tcPr/>
          <w:p>
            <w:pPr>
              <w:pStyle w:val="Compact"/>
            </w:pPr>
            <w:r>
              <w:rPr>
                <w:rFonts w:hint="eastAsia"/>
              </w:rPr>
              <w:t xml:space="preserve">藏药龙头，独家品种</w:t>
            </w:r>
          </w:p>
        </w:tc>
        <w:tc>
          <w:tcPr/>
          <w:p>
            <w:pPr>
              <w:pStyle w:val="Compact"/>
            </w:pPr>
            <w:r>
              <w:t xml:space="preserve">1</w:t>
            </w:r>
          </w:p>
        </w:tc>
        <w:tc>
          <w:tcPr/>
          <w:p>
            <w:pPr>
              <w:pStyle w:val="Compact"/>
            </w:pPr>
            <w:r>
              <w:rPr>
                <w:rFonts w:hint="eastAsia"/>
              </w:rPr>
              <w:t xml:space="preserve">是</w:t>
            </w:r>
          </w:p>
        </w:tc>
      </w:tr>
      <w:tr>
        <w:tc>
          <w:tcPr/>
          <w:p>
            <w:pPr>
              <w:pStyle w:val="Compact"/>
            </w:pPr>
            <w:r>
              <w:t xml:space="preserve">5</w:t>
            </w:r>
          </w:p>
        </w:tc>
        <w:tc>
          <w:tcPr/>
          <w:p>
            <w:pPr>
              <w:pStyle w:val="Compact"/>
            </w:pPr>
            <w:r>
              <w:t xml:space="preserve">603986</w:t>
            </w:r>
          </w:p>
        </w:tc>
        <w:tc>
          <w:tcPr/>
          <w:p>
            <w:pPr>
              <w:pStyle w:val="Compact"/>
            </w:pPr>
            <w:r>
              <w:rPr>
                <w:rFonts w:hint="eastAsia"/>
              </w:rPr>
              <w:t xml:space="preserve">兆易创新</w:t>
            </w:r>
          </w:p>
        </w:tc>
        <w:tc>
          <w:tcPr/>
          <w:p>
            <w:pPr>
              <w:pStyle w:val="Compact"/>
            </w:pPr>
            <w:r>
              <w:rPr>
                <w:rFonts w:hint="eastAsia"/>
              </w:rPr>
              <w:t xml:space="preserve">半导体/存储芯片设计</w:t>
            </w:r>
          </w:p>
        </w:tc>
        <w:tc>
          <w:tcPr/>
          <w:p>
            <w:pPr>
              <w:pStyle w:val="Compact"/>
            </w:pPr>
            <w:r>
              <w:rPr>
                <w:rFonts w:hint="eastAsia"/>
              </w:rPr>
              <w:t xml:space="preserve">国产存储设计龙头，NOR</w:t>
            </w:r>
            <w:r>
              <w:t xml:space="preserve"> </w:t>
            </w:r>
            <w:r>
              <w:rPr>
                <w:rFonts w:hint="eastAsia"/>
              </w:rPr>
              <w:t xml:space="preserve">Flash全球第二</w:t>
            </w:r>
          </w:p>
        </w:tc>
        <w:tc>
          <w:tcPr/>
          <w:p>
            <w:pPr>
              <w:pStyle w:val="Compact"/>
            </w:pPr>
            <w:r>
              <w:t xml:space="preserve">5</w:t>
            </w:r>
          </w:p>
        </w:tc>
        <w:tc>
          <w:tcPr/>
          <w:p>
            <w:pPr>
              <w:pStyle w:val="Compact"/>
            </w:pPr>
            <w:r>
              <w:rPr>
                <w:rFonts w:hint="eastAsia"/>
              </w:rPr>
              <w:t xml:space="preserve">是</w:t>
            </w:r>
          </w:p>
        </w:tc>
      </w:tr>
      <w:tr>
        <w:tc>
          <w:tcPr/>
          <w:p>
            <w:pPr>
              <w:pStyle w:val="Compact"/>
            </w:pPr>
            <w:r>
              <w:t xml:space="preserve">6</w:t>
            </w:r>
          </w:p>
        </w:tc>
        <w:tc>
          <w:tcPr/>
          <w:p>
            <w:pPr>
              <w:pStyle w:val="Compact"/>
            </w:pPr>
            <w:r>
              <w:t xml:space="preserve">301308</w:t>
            </w:r>
          </w:p>
        </w:tc>
        <w:tc>
          <w:tcPr/>
          <w:p>
            <w:pPr>
              <w:pStyle w:val="Compact"/>
            </w:pPr>
            <w:r>
              <w:rPr>
                <w:rFonts w:hint="eastAsia"/>
              </w:rPr>
              <w:t xml:space="preserve">江波龙</w:t>
            </w:r>
          </w:p>
        </w:tc>
        <w:tc>
          <w:tcPr/>
          <w:p>
            <w:pPr>
              <w:pStyle w:val="Compact"/>
            </w:pPr>
            <w:r>
              <w:rPr>
                <w:rFonts w:hint="eastAsia"/>
              </w:rPr>
              <w:t xml:space="preserve">半导体/存储模组</w:t>
            </w:r>
          </w:p>
        </w:tc>
        <w:tc>
          <w:tcPr/>
          <w:p>
            <w:pPr>
              <w:pStyle w:val="Compact"/>
            </w:pPr>
            <w:r>
              <w:rPr>
                <w:rFonts w:hint="eastAsia"/>
              </w:rPr>
              <w:t xml:space="preserve">国内存储模组龙头，Lexar品牌高端化</w:t>
            </w:r>
          </w:p>
        </w:tc>
        <w:tc>
          <w:tcPr/>
          <w:p>
            <w:pPr>
              <w:pStyle w:val="Compact"/>
            </w:pPr>
            <w:r>
              <w:t xml:space="preserve">16</w:t>
            </w:r>
          </w:p>
        </w:tc>
        <w:tc>
          <w:tcPr/>
          <w:p>
            <w:pPr>
              <w:pStyle w:val="Compact"/>
            </w:pPr>
            <w:r>
              <w:rPr>
                <w:rFonts w:hint="eastAsia"/>
              </w:rPr>
              <w:t xml:space="preserve">否</w:t>
            </w:r>
          </w:p>
        </w:tc>
      </w:tr>
      <w:tr>
        <w:tc>
          <w:tcPr/>
          <w:p>
            <w:pPr>
              <w:pStyle w:val="Compact"/>
            </w:pPr>
            <w:r>
              <w:t xml:space="preserve">7</w:t>
            </w:r>
          </w:p>
        </w:tc>
        <w:tc>
          <w:tcPr/>
          <w:p>
            <w:pPr>
              <w:pStyle w:val="Compact"/>
            </w:pPr>
            <w:r>
              <w:t xml:space="preserve">688525</w:t>
            </w:r>
          </w:p>
        </w:tc>
        <w:tc>
          <w:tcPr/>
          <w:p>
            <w:pPr>
              <w:pStyle w:val="Compact"/>
            </w:pPr>
            <w:r>
              <w:rPr>
                <w:rFonts w:hint="eastAsia"/>
              </w:rPr>
              <w:t xml:space="preserve">佰维存储</w:t>
            </w:r>
          </w:p>
        </w:tc>
        <w:tc>
          <w:tcPr/>
          <w:p>
            <w:pPr>
              <w:pStyle w:val="Compact"/>
            </w:pPr>
            <w:r>
              <w:rPr>
                <w:rFonts w:hint="eastAsia"/>
              </w:rPr>
              <w:t xml:space="preserve">半导体/存储+封测</w:t>
            </w:r>
          </w:p>
        </w:tc>
        <w:tc>
          <w:tcPr/>
          <w:p>
            <w:pPr>
              <w:pStyle w:val="Compact"/>
            </w:pPr>
            <w:r>
              <w:rPr>
                <w:rFonts w:hint="eastAsia"/>
              </w:rPr>
              <w:t xml:space="preserve">存储芯片+先进封测综合服务商</w:t>
            </w:r>
          </w:p>
        </w:tc>
        <w:tc>
          <w:tcPr/>
          <w:p>
            <w:pPr>
              <w:pStyle w:val="Compact"/>
            </w:pPr>
            <w:r>
              <w:t xml:space="preserve">15</w:t>
            </w:r>
          </w:p>
        </w:tc>
        <w:tc>
          <w:tcPr/>
          <w:p>
            <w:pPr>
              <w:pStyle w:val="Compact"/>
            </w:pPr>
            <w:r>
              <w:rPr>
                <w:rFonts w:hint="eastAsia"/>
              </w:rPr>
              <w:t xml:space="preserve">否</w:t>
            </w:r>
          </w:p>
        </w:tc>
      </w:tr>
      <w:tr>
        <w:tc>
          <w:tcPr/>
          <w:p>
            <w:pPr>
              <w:pStyle w:val="Compact"/>
            </w:pPr>
            <w:r>
              <w:t xml:space="preserve">8</w:t>
            </w:r>
          </w:p>
        </w:tc>
        <w:tc>
          <w:tcPr/>
          <w:p>
            <w:pPr>
              <w:pStyle w:val="Compact"/>
            </w:pPr>
            <w:r>
              <w:t xml:space="preserve">688008</w:t>
            </w:r>
          </w:p>
        </w:tc>
        <w:tc>
          <w:tcPr/>
          <w:p>
            <w:pPr>
              <w:pStyle w:val="Compact"/>
            </w:pPr>
            <w:r>
              <w:rPr>
                <w:rFonts w:hint="eastAsia"/>
              </w:rPr>
              <w:t xml:space="preserve">澜起科技</w:t>
            </w:r>
          </w:p>
        </w:tc>
        <w:tc>
          <w:tcPr/>
          <w:p>
            <w:pPr>
              <w:pStyle w:val="Compact"/>
            </w:pPr>
            <w:r>
              <w:rPr>
                <w:rFonts w:hint="eastAsia"/>
              </w:rPr>
              <w:t xml:space="preserve">半导体/内存接口</w:t>
            </w:r>
          </w:p>
        </w:tc>
        <w:tc>
          <w:tcPr/>
          <w:p>
            <w:pPr>
              <w:pStyle w:val="Compact"/>
            </w:pPr>
            <w:r>
              <w:rPr>
                <w:rFonts w:hint="eastAsia"/>
              </w:rPr>
              <w:t xml:space="preserve">全球内存接口龙头，主导DDR5标准</w:t>
            </w:r>
          </w:p>
        </w:tc>
        <w:tc>
          <w:tcPr/>
          <w:p>
            <w:pPr>
              <w:pStyle w:val="Compact"/>
            </w:pPr>
            <w:r>
              <w:t xml:space="preserve">1</w:t>
            </w:r>
          </w:p>
        </w:tc>
        <w:tc>
          <w:tcPr/>
          <w:p>
            <w:pPr>
              <w:pStyle w:val="Compact"/>
            </w:pPr>
            <w:r>
              <w:rPr>
                <w:rFonts w:hint="eastAsia"/>
              </w:rPr>
              <w:t xml:space="preserve">否</w:t>
            </w:r>
          </w:p>
        </w:tc>
      </w:tr>
      <w:tr>
        <w:tc>
          <w:tcPr/>
          <w:p>
            <w:pPr>
              <w:pStyle w:val="Compact"/>
            </w:pPr>
            <w:r>
              <w:t xml:space="preserve">9</w:t>
            </w:r>
          </w:p>
        </w:tc>
        <w:tc>
          <w:tcPr/>
          <w:p>
            <w:pPr>
              <w:pStyle w:val="Compact"/>
            </w:pPr>
            <w:r>
              <w:t xml:space="preserve">001309</w:t>
            </w:r>
          </w:p>
        </w:tc>
        <w:tc>
          <w:tcPr/>
          <w:p>
            <w:pPr>
              <w:pStyle w:val="Compact"/>
            </w:pPr>
            <w:r>
              <w:rPr>
                <w:rFonts w:hint="eastAsia"/>
              </w:rPr>
              <w:t xml:space="preserve">德明利</w:t>
            </w:r>
          </w:p>
        </w:tc>
        <w:tc>
          <w:tcPr/>
          <w:p>
            <w:pPr>
              <w:pStyle w:val="Compact"/>
            </w:pPr>
            <w:r>
              <w:rPr>
                <w:rFonts w:hint="eastAsia"/>
              </w:rPr>
              <w:t xml:space="preserve">半导体/存储主控+模组</w:t>
            </w:r>
          </w:p>
        </w:tc>
        <w:tc>
          <w:tcPr/>
          <w:p>
            <w:pPr>
              <w:pStyle w:val="Compact"/>
            </w:pPr>
            <w:r>
              <w:rPr>
                <w:rFonts w:hint="eastAsia"/>
              </w:rPr>
              <w:t xml:space="preserve">企业级存储领军，自研SSD主控国内前三</w:t>
            </w:r>
          </w:p>
        </w:tc>
        <w:tc>
          <w:tcPr/>
          <w:p>
            <w:pPr>
              <w:pStyle w:val="Compact"/>
            </w:pPr>
            <w:r>
              <w:t xml:space="preserve">15</w:t>
            </w:r>
          </w:p>
        </w:tc>
        <w:tc>
          <w:tcPr/>
          <w:p>
            <w:pPr>
              <w:pStyle w:val="Compact"/>
            </w:pPr>
            <w:r>
              <w:rPr>
                <w:rFonts w:hint="eastAsia"/>
              </w:rPr>
              <w:t xml:space="preserve">是</w:t>
            </w:r>
          </w:p>
        </w:tc>
      </w:tr>
      <w:tr>
        <w:tc>
          <w:tcPr/>
          <w:p>
            <w:pPr>
              <w:pStyle w:val="Compact"/>
            </w:pPr>
            <w:r>
              <w:t xml:space="preserve">10</w:t>
            </w:r>
          </w:p>
        </w:tc>
        <w:tc>
          <w:tcPr/>
          <w:p>
            <w:pPr>
              <w:pStyle w:val="Compact"/>
            </w:pPr>
            <w:r>
              <w:t xml:space="preserve">688766</w:t>
            </w:r>
          </w:p>
        </w:tc>
        <w:tc>
          <w:tcPr/>
          <w:p>
            <w:pPr>
              <w:pStyle w:val="Compact"/>
            </w:pPr>
            <w:r>
              <w:rPr>
                <w:rFonts w:hint="eastAsia"/>
              </w:rPr>
              <w:t xml:space="preserve">普冉股份</w:t>
            </w:r>
          </w:p>
        </w:tc>
        <w:tc>
          <w:tcPr/>
          <w:p>
            <w:pPr>
              <w:pStyle w:val="Compact"/>
            </w:pPr>
            <w:r>
              <w:rPr>
                <w:rFonts w:hint="eastAsia"/>
              </w:rPr>
              <w:t xml:space="preserve">半导体/NOR+EEPROM</w:t>
            </w:r>
          </w:p>
        </w:tc>
        <w:tc>
          <w:tcPr/>
          <w:p>
            <w:pPr>
              <w:pStyle w:val="Compact"/>
            </w:pPr>
            <w:r>
              <w:rPr>
                <w:rFonts w:hint="eastAsia"/>
              </w:rPr>
              <w:t xml:space="preserve">低功耗NOR</w:t>
            </w:r>
            <w:r>
              <w:t xml:space="preserve"> </w:t>
            </w:r>
            <w:r>
              <w:rPr>
                <w:rFonts w:hint="eastAsia"/>
              </w:rPr>
              <w:t xml:space="preserve">Flash+EEPROM，布局AI端侧</w:t>
            </w:r>
          </w:p>
        </w:tc>
        <w:tc>
          <w:tcPr/>
          <w:p>
            <w:pPr>
              <w:pStyle w:val="Compact"/>
            </w:pPr>
            <w:r>
              <w:t xml:space="preserve">5</w:t>
            </w:r>
          </w:p>
        </w:tc>
        <w:tc>
          <w:tcPr/>
          <w:p>
            <w:pPr>
              <w:pStyle w:val="Compact"/>
            </w:pPr>
            <w:r>
              <w:rPr>
                <w:rFonts w:hint="eastAsia"/>
              </w:rPr>
              <w:t xml:space="preserve">否</w:t>
            </w:r>
          </w:p>
        </w:tc>
      </w:tr>
      <w:tr>
        <w:tc>
          <w:tcPr/>
          <w:p>
            <w:pPr>
              <w:pStyle w:val="Compact"/>
            </w:pPr>
            <w:r>
              <w:t xml:space="preserve">11</w:t>
            </w:r>
          </w:p>
        </w:tc>
        <w:tc>
          <w:tcPr/>
          <w:p>
            <w:pPr>
              <w:pStyle w:val="Compact"/>
            </w:pPr>
            <w:r>
              <w:t xml:space="preserve">000538</w:t>
            </w:r>
          </w:p>
        </w:tc>
        <w:tc>
          <w:tcPr/>
          <w:p>
            <w:pPr>
              <w:pStyle w:val="Compact"/>
            </w:pPr>
            <w:r>
              <w:rPr>
                <w:rFonts w:hint="eastAsia"/>
              </w:rPr>
              <w:t xml:space="preserve">云南白药</w:t>
            </w:r>
          </w:p>
        </w:tc>
        <w:tc>
          <w:tcPr/>
          <w:p>
            <w:pPr>
              <w:pStyle w:val="Compact"/>
            </w:pPr>
            <w:r>
              <w:rPr>
                <w:rFonts w:hint="eastAsia"/>
              </w:rPr>
              <w:t xml:space="preserve">医药/中药健康消费</w:t>
            </w:r>
          </w:p>
        </w:tc>
        <w:tc>
          <w:tcPr/>
          <w:p>
            <w:pPr>
              <w:pStyle w:val="Compact"/>
            </w:pPr>
            <w:r>
              <w:rPr>
                <w:rFonts w:hint="eastAsia"/>
              </w:rPr>
              <w:t xml:space="preserve">品牌壁垒强，健康消费品现金流稳</w:t>
            </w:r>
          </w:p>
        </w:tc>
        <w:tc>
          <w:tcPr/>
          <w:p>
            <w:pPr>
              <w:pStyle w:val="Compact"/>
            </w:pPr>
            <w:r>
              <w:t xml:space="preserve">0</w:t>
            </w:r>
          </w:p>
        </w:tc>
        <w:tc>
          <w:tcPr/>
          <w:p>
            <w:pPr>
              <w:pStyle w:val="Compact"/>
            </w:pPr>
            <w:r>
              <w:rPr>
                <w:rFonts w:hint="eastAsia"/>
              </w:rPr>
              <w:t xml:space="preserve">否</w:t>
            </w:r>
          </w:p>
        </w:tc>
      </w:tr>
      <w:tr>
        <w:tc>
          <w:tcPr/>
          <w:p>
            <w:pPr>
              <w:pStyle w:val="Compact"/>
            </w:pPr>
            <w:r>
              <w:t xml:space="preserve">12</w:t>
            </w:r>
          </w:p>
        </w:tc>
        <w:tc>
          <w:tcPr/>
          <w:p>
            <w:pPr>
              <w:pStyle w:val="Compact"/>
            </w:pPr>
            <w:r>
              <w:t xml:space="preserve">600276</w:t>
            </w:r>
          </w:p>
        </w:tc>
        <w:tc>
          <w:tcPr/>
          <w:p>
            <w:pPr>
              <w:pStyle w:val="Compact"/>
            </w:pPr>
            <w:r>
              <w:rPr>
                <w:rFonts w:hint="eastAsia"/>
              </w:rPr>
              <w:t xml:space="preserve">恒瑞医药</w:t>
            </w:r>
          </w:p>
        </w:tc>
        <w:tc>
          <w:tcPr/>
          <w:p>
            <w:pPr>
              <w:pStyle w:val="Compact"/>
            </w:pPr>
            <w:r>
              <w:rPr>
                <w:rFonts w:hint="eastAsia"/>
              </w:rPr>
              <w:t xml:space="preserve">医药/创新药</w:t>
            </w:r>
          </w:p>
        </w:tc>
        <w:tc>
          <w:tcPr/>
          <w:p>
            <w:pPr>
              <w:pStyle w:val="Compact"/>
            </w:pPr>
            <w:r>
              <w:rPr>
                <w:rFonts w:hint="eastAsia"/>
              </w:rPr>
              <w:t xml:space="preserve">创新药龙头，研发管线深厚</w:t>
            </w:r>
          </w:p>
        </w:tc>
        <w:tc>
          <w:tcPr/>
          <w:p>
            <w:pPr>
              <w:pStyle w:val="Compact"/>
            </w:pPr>
            <w:r>
              <w:t xml:space="preserve">0</w:t>
            </w:r>
          </w:p>
        </w:tc>
        <w:tc>
          <w:tcPr/>
          <w:p>
            <w:pPr>
              <w:pStyle w:val="Compact"/>
            </w:pPr>
            <w:r>
              <w:rPr>
                <w:rFonts w:hint="eastAsia"/>
              </w:rPr>
              <w:t xml:space="preserve">是</w:t>
            </w:r>
          </w:p>
        </w:tc>
      </w:tr>
      <w:tr>
        <w:tc>
          <w:tcPr/>
          <w:p>
            <w:pPr>
              <w:pStyle w:val="Compact"/>
            </w:pPr>
            <w:r>
              <w:t xml:space="preserve">13</w:t>
            </w:r>
          </w:p>
        </w:tc>
        <w:tc>
          <w:tcPr/>
          <w:p>
            <w:pPr>
              <w:pStyle w:val="Compact"/>
            </w:pPr>
            <w:r>
              <w:t xml:space="preserve">688235</w:t>
            </w:r>
          </w:p>
        </w:tc>
        <w:tc>
          <w:tcPr/>
          <w:p>
            <w:pPr>
              <w:pStyle w:val="Compact"/>
            </w:pPr>
            <w:r>
              <w:rPr>
                <w:rFonts w:hint="eastAsia"/>
              </w:rPr>
              <w:t xml:space="preserve">百济神州</w:t>
            </w:r>
          </w:p>
        </w:tc>
        <w:tc>
          <w:tcPr/>
          <w:p>
            <w:pPr>
              <w:pStyle w:val="Compact"/>
            </w:pPr>
            <w:r>
              <w:rPr>
                <w:rFonts w:hint="eastAsia"/>
              </w:rPr>
              <w:t xml:space="preserve">医药/创新药</w:t>
            </w:r>
          </w:p>
        </w:tc>
        <w:tc>
          <w:tcPr/>
          <w:p>
            <w:pPr>
              <w:pStyle w:val="Compact"/>
            </w:pPr>
            <w:r>
              <w:rPr>
                <w:rFonts w:hint="eastAsia"/>
              </w:rPr>
              <w:t xml:space="preserve">国际化创新药标杆，全球商业化突出</w:t>
            </w:r>
          </w:p>
        </w:tc>
        <w:tc>
          <w:tcPr/>
          <w:p>
            <w:pPr>
              <w:pStyle w:val="Compact"/>
            </w:pPr>
            <w:r>
              <w:t xml:space="preserve">0</w:t>
            </w:r>
          </w:p>
        </w:tc>
        <w:tc>
          <w:tcPr/>
          <w:p>
            <w:pPr>
              <w:pStyle w:val="Compact"/>
            </w:pPr>
            <w:r>
              <w:rPr>
                <w:rFonts w:hint="eastAsia"/>
              </w:rPr>
              <w:t xml:space="preserve">是</w:t>
            </w:r>
          </w:p>
        </w:tc>
      </w:tr>
      <w:tr>
        <w:tc>
          <w:tcPr/>
          <w:p>
            <w:pPr>
              <w:pStyle w:val="Compact"/>
            </w:pPr>
            <w:r>
              <w:t xml:space="preserve">14</w:t>
            </w:r>
          </w:p>
        </w:tc>
        <w:tc>
          <w:tcPr/>
          <w:p>
            <w:pPr>
              <w:pStyle w:val="Compact"/>
            </w:pPr>
            <w:r>
              <w:t xml:space="preserve">600519</w:t>
            </w:r>
          </w:p>
        </w:tc>
        <w:tc>
          <w:tcPr/>
          <w:p>
            <w:pPr>
              <w:pStyle w:val="Compact"/>
            </w:pPr>
            <w:r>
              <w:rPr>
                <w:rFonts w:hint="eastAsia"/>
              </w:rPr>
              <w:t xml:space="preserve">贵州茅台</w:t>
            </w:r>
          </w:p>
        </w:tc>
        <w:tc>
          <w:tcPr/>
          <w:p>
            <w:pPr>
              <w:pStyle w:val="Compact"/>
            </w:pPr>
            <w:r>
              <w:rPr>
                <w:rFonts w:hint="eastAsia"/>
              </w:rPr>
              <w:t xml:space="preserve">食品饮料/白酒</w:t>
            </w:r>
          </w:p>
        </w:tc>
        <w:tc>
          <w:tcPr/>
          <w:p>
            <w:pPr>
              <w:pStyle w:val="Compact"/>
            </w:pPr>
            <w:r>
              <w:rPr>
                <w:rFonts w:hint="eastAsia"/>
              </w:rPr>
              <w:t xml:space="preserve">A股价值标杆，品牌护城河极深</w:t>
            </w:r>
          </w:p>
        </w:tc>
        <w:tc>
          <w:tcPr/>
          <w:p>
            <w:pPr>
              <w:pStyle w:val="Compact"/>
            </w:pPr>
            <w:r>
              <w:t xml:space="preserve">3</w:t>
            </w:r>
          </w:p>
        </w:tc>
        <w:tc>
          <w:tcPr/>
          <w:p>
            <w:pPr>
              <w:pStyle w:val="Compact"/>
            </w:pPr>
            <w:r>
              <w:rPr>
                <w:rFonts w:hint="eastAsia"/>
              </w:rPr>
              <w:t xml:space="preserve">是</w:t>
            </w:r>
          </w:p>
        </w:tc>
      </w:tr>
      <w:tr>
        <w:tc>
          <w:tcPr/>
          <w:p>
            <w:pPr>
              <w:pStyle w:val="Compact"/>
            </w:pPr>
            <w:r>
              <w:t xml:space="preserve">15</w:t>
            </w:r>
          </w:p>
        </w:tc>
        <w:tc>
          <w:tcPr/>
          <w:p>
            <w:pPr>
              <w:pStyle w:val="Compact"/>
            </w:pPr>
            <w:r>
              <w:t xml:space="preserve">002422</w:t>
            </w:r>
          </w:p>
        </w:tc>
        <w:tc>
          <w:tcPr/>
          <w:p>
            <w:pPr>
              <w:pStyle w:val="Compact"/>
            </w:pPr>
            <w:r>
              <w:rPr>
                <w:rFonts w:hint="eastAsia"/>
              </w:rPr>
              <w:t xml:space="preserve">科伦药业</w:t>
            </w:r>
          </w:p>
        </w:tc>
        <w:tc>
          <w:tcPr/>
          <w:p>
            <w:pPr>
              <w:pStyle w:val="Compact"/>
            </w:pPr>
            <w:r>
              <w:rPr>
                <w:rFonts w:hint="eastAsia"/>
              </w:rPr>
              <w:t xml:space="preserve">医药/创新药</w:t>
            </w:r>
          </w:p>
        </w:tc>
        <w:tc>
          <w:tcPr/>
          <w:p>
            <w:pPr>
              <w:pStyle w:val="Compact"/>
            </w:pPr>
            <w:r>
              <w:rPr>
                <w:rFonts w:hint="eastAsia"/>
              </w:rPr>
              <w:t xml:space="preserve">大输液龙头转型创新药</w:t>
            </w:r>
          </w:p>
        </w:tc>
        <w:tc>
          <w:tcPr/>
          <w:p>
            <w:pPr>
              <w:pStyle w:val="Compact"/>
            </w:pPr>
            <w:r>
              <w:t xml:space="preserve">1</w:t>
            </w:r>
          </w:p>
        </w:tc>
        <w:tc>
          <w:tcPr/>
          <w:p>
            <w:pPr>
              <w:pStyle w:val="Compact"/>
            </w:pPr>
            <w:r>
              <w:rPr>
                <w:rFonts w:hint="eastAsia"/>
              </w:rPr>
              <w:t xml:space="preserve">否</w:t>
            </w:r>
          </w:p>
        </w:tc>
      </w:tr>
      <w:tr>
        <w:tc>
          <w:tcPr/>
          <w:p>
            <w:pPr>
              <w:pStyle w:val="Compact"/>
            </w:pPr>
            <w:r>
              <w:t xml:space="preserve">16</w:t>
            </w:r>
          </w:p>
        </w:tc>
        <w:tc>
          <w:tcPr/>
          <w:p>
            <w:pPr>
              <w:pStyle w:val="Compact"/>
            </w:pPr>
            <w:r>
              <w:t xml:space="preserve">000333</w:t>
            </w:r>
          </w:p>
        </w:tc>
        <w:tc>
          <w:tcPr/>
          <w:p>
            <w:pPr>
              <w:pStyle w:val="Compact"/>
            </w:pPr>
            <w:r>
              <w:rPr>
                <w:rFonts w:hint="eastAsia"/>
              </w:rPr>
              <w:t xml:space="preserve">美的集团</w:t>
            </w:r>
          </w:p>
        </w:tc>
        <w:tc>
          <w:tcPr/>
          <w:p>
            <w:pPr>
              <w:pStyle w:val="Compact"/>
            </w:pPr>
            <w:r>
              <w:rPr>
                <w:rFonts w:hint="eastAsia"/>
              </w:rPr>
              <w:t xml:space="preserve">消费/家电</w:t>
            </w:r>
          </w:p>
        </w:tc>
        <w:tc>
          <w:tcPr/>
          <w:p>
            <w:pPr>
              <w:pStyle w:val="Compact"/>
            </w:pPr>
            <w:r>
              <w:rPr>
                <w:rFonts w:hint="eastAsia"/>
              </w:rPr>
              <w:t xml:space="preserve">白电龙头，全球化布局，ROE稳定</w:t>
            </w:r>
          </w:p>
        </w:tc>
        <w:tc>
          <w:tcPr/>
          <w:p>
            <w:pPr>
              <w:pStyle w:val="Compact"/>
            </w:pPr>
            <w:r>
              <w:t xml:space="preserve">5</w:t>
            </w:r>
          </w:p>
        </w:tc>
        <w:tc>
          <w:tcPr/>
          <w:p>
            <w:pPr>
              <w:pStyle w:val="Compact"/>
            </w:pPr>
            <w:r>
              <w:rPr>
                <w:rFonts w:hint="eastAsia"/>
              </w:rPr>
              <w:t xml:space="preserve">否</w:t>
            </w:r>
          </w:p>
        </w:tc>
      </w:tr>
      <w:tr>
        <w:tc>
          <w:tcPr/>
          <w:p>
            <w:pPr>
              <w:pStyle w:val="Compact"/>
            </w:pPr>
            <w:r>
              <w:t xml:space="preserve">17</w:t>
            </w:r>
          </w:p>
        </w:tc>
        <w:tc>
          <w:tcPr/>
          <w:p>
            <w:pPr>
              <w:pStyle w:val="Compact"/>
            </w:pPr>
            <w:r>
              <w:t xml:space="preserve">600887</w:t>
            </w:r>
          </w:p>
        </w:tc>
        <w:tc>
          <w:tcPr/>
          <w:p>
            <w:pPr>
              <w:pStyle w:val="Compact"/>
            </w:pPr>
            <w:r>
              <w:rPr>
                <w:rFonts w:hint="eastAsia"/>
              </w:rPr>
              <w:t xml:space="preserve">伊利股份</w:t>
            </w:r>
          </w:p>
        </w:tc>
        <w:tc>
          <w:tcPr/>
          <w:p>
            <w:pPr>
              <w:pStyle w:val="Compact"/>
            </w:pPr>
            <w:r>
              <w:rPr>
                <w:rFonts w:hint="eastAsia"/>
              </w:rPr>
              <w:t xml:space="preserve">消费/食品饮料</w:t>
            </w:r>
          </w:p>
        </w:tc>
        <w:tc>
          <w:tcPr/>
          <w:p>
            <w:pPr>
              <w:pStyle w:val="Compact"/>
            </w:pPr>
            <w:r>
              <w:rPr>
                <w:rFonts w:hint="eastAsia"/>
              </w:rPr>
              <w:t xml:space="preserve">乳业龙头，市占率与现金流优势</w:t>
            </w:r>
          </w:p>
        </w:tc>
        <w:tc>
          <w:tcPr/>
          <w:p>
            <w:pPr>
              <w:pStyle w:val="Compact"/>
            </w:pPr>
            <w:r>
              <w:t xml:space="preserve">6</w:t>
            </w:r>
          </w:p>
        </w:tc>
        <w:tc>
          <w:tcPr/>
          <w:p>
            <w:pPr>
              <w:pStyle w:val="Compact"/>
            </w:pPr>
            <w:r>
              <w:rPr>
                <w:rFonts w:hint="eastAsia"/>
              </w:rPr>
              <w:t xml:space="preserve">否</w:t>
            </w:r>
          </w:p>
        </w:tc>
      </w:tr>
      <w:tr>
        <w:tc>
          <w:tcPr/>
          <w:p>
            <w:pPr>
              <w:pStyle w:val="Compact"/>
            </w:pPr>
            <w:r>
              <w:t xml:space="preserve">18</w:t>
            </w:r>
          </w:p>
        </w:tc>
        <w:tc>
          <w:tcPr/>
          <w:p>
            <w:pPr>
              <w:pStyle w:val="Compact"/>
            </w:pPr>
            <w:r>
              <w:t xml:space="preserve">hk9992</w:t>
            </w:r>
          </w:p>
        </w:tc>
        <w:tc>
          <w:tcPr/>
          <w:p>
            <w:pPr>
              <w:pStyle w:val="Compact"/>
            </w:pPr>
            <w:r>
              <w:rPr>
                <w:rFonts w:hint="eastAsia"/>
              </w:rPr>
              <w:t xml:space="preserve">泡泡玛特</w:t>
            </w:r>
          </w:p>
        </w:tc>
        <w:tc>
          <w:tcPr/>
          <w:p>
            <w:pPr>
              <w:pStyle w:val="Compact"/>
            </w:pPr>
            <w:r>
              <w:rPr>
                <w:rFonts w:hint="eastAsia"/>
              </w:rPr>
              <w:t xml:space="preserve">新消费</w:t>
            </w:r>
          </w:p>
        </w:tc>
        <w:tc>
          <w:tcPr/>
          <w:p>
            <w:pPr>
              <w:pStyle w:val="Compact"/>
            </w:pPr>
            <w:r>
              <w:rPr>
                <w:rFonts w:hint="eastAsia"/>
              </w:rPr>
              <w:t xml:space="preserve">高弹性成长，IP运营+出海驱动</w:t>
            </w:r>
          </w:p>
        </w:tc>
        <w:tc>
          <w:tcPr/>
          <w:p>
            <w:pPr>
              <w:pStyle w:val="Compact"/>
            </w:pPr>
            <w:r>
              <w:t xml:space="preserve">6</w:t>
            </w:r>
          </w:p>
        </w:tc>
        <w:tc>
          <w:tcPr/>
          <w:p>
            <w:pPr>
              <w:pStyle w:val="Compact"/>
            </w:pPr>
            <w:r>
              <w:rPr>
                <w:rFonts w:hint="eastAsia"/>
              </w:rPr>
              <w:t xml:space="preserve">是</w:t>
            </w:r>
          </w:p>
        </w:tc>
      </w:tr>
      <w:tr>
        <w:tc>
          <w:tcPr/>
          <w:p>
            <w:pPr>
              <w:pStyle w:val="Compact"/>
            </w:pPr>
            <w:r>
              <w:t xml:space="preserve">19</w:t>
            </w:r>
          </w:p>
        </w:tc>
        <w:tc>
          <w:tcPr/>
          <w:p>
            <w:pPr>
              <w:pStyle w:val="Compact"/>
            </w:pPr>
            <w:r>
              <w:t xml:space="preserve">hk0700</w:t>
            </w:r>
          </w:p>
        </w:tc>
        <w:tc>
          <w:tcPr/>
          <w:p>
            <w:pPr>
              <w:pStyle w:val="Compact"/>
            </w:pPr>
            <w:r>
              <w:rPr>
                <w:rFonts w:hint="eastAsia"/>
              </w:rPr>
              <w:t xml:space="preserve">腾讯控股</w:t>
            </w:r>
          </w:p>
        </w:tc>
        <w:tc>
          <w:tcPr/>
          <w:p>
            <w:pPr>
              <w:pStyle w:val="Compact"/>
            </w:pPr>
            <w:r>
              <w:rPr>
                <w:rFonts w:hint="eastAsia"/>
              </w:rPr>
              <w:t xml:space="preserve">互联网科技</w:t>
            </w:r>
          </w:p>
        </w:tc>
        <w:tc>
          <w:tcPr/>
          <w:p>
            <w:pPr>
              <w:pStyle w:val="Compact"/>
            </w:pPr>
            <w:r>
              <w:rPr>
                <w:rFonts w:hint="eastAsia"/>
              </w:rPr>
              <w:t xml:space="preserve">社交生态+AI+游戏多元驱动</w:t>
            </w:r>
          </w:p>
        </w:tc>
        <w:tc>
          <w:tcPr/>
          <w:p>
            <w:pPr>
              <w:pStyle w:val="Compact"/>
            </w:pPr>
            <w:r>
              <w:t xml:space="preserve">10</w:t>
            </w:r>
          </w:p>
        </w:tc>
        <w:tc>
          <w:tcPr/>
          <w:p>
            <w:pPr>
              <w:pStyle w:val="Compact"/>
            </w:pPr>
            <w:r>
              <w:rPr>
                <w:rFonts w:hint="eastAsia"/>
              </w:rPr>
              <w:t xml:space="preserve">是</w:t>
            </w:r>
          </w:p>
        </w:tc>
      </w:tr>
      <w:tr>
        <w:tc>
          <w:tcPr/>
          <w:p>
            <w:pPr>
              <w:pStyle w:val="Compact"/>
            </w:pPr>
            <w:r>
              <w:t xml:space="preserve">20</w:t>
            </w:r>
          </w:p>
        </w:tc>
        <w:tc>
          <w:tcPr/>
          <w:p>
            <w:pPr>
              <w:pStyle w:val="Compact"/>
            </w:pPr>
            <w:r>
              <w:t xml:space="preserve">515100</w:t>
            </w:r>
          </w:p>
        </w:tc>
        <w:tc>
          <w:tcPr/>
          <w:p>
            <w:pPr>
              <w:pStyle w:val="Compact"/>
            </w:pPr>
            <w:r>
              <w:rPr>
                <w:rFonts w:hint="eastAsia"/>
              </w:rPr>
              <w:t xml:space="preserve">中证红利低波动100景顺长城</w:t>
            </w:r>
          </w:p>
        </w:tc>
        <w:tc>
          <w:tcPr/>
          <w:p>
            <w:pPr>
              <w:pStyle w:val="Compact"/>
            </w:pPr>
            <w:r>
              <w:rPr>
                <w:rFonts w:hint="eastAsia"/>
              </w:rPr>
              <w:t xml:space="preserve">红利策略/宽基</w:t>
            </w:r>
          </w:p>
        </w:tc>
        <w:tc>
          <w:tcPr/>
          <w:p>
            <w:pPr>
              <w:pStyle w:val="Compact"/>
            </w:pPr>
            <w:r>
              <w:rPr>
                <w:rFonts w:hint="eastAsia"/>
              </w:rPr>
              <w:t xml:space="preserve">高股息低波动，穿越周期稳收益</w:t>
            </w:r>
          </w:p>
        </w:tc>
        <w:tc>
          <w:tcPr/>
          <w:p>
            <w:pPr>
              <w:pStyle w:val="Compact"/>
            </w:pPr>
            <w:r>
              <w:t xml:space="preserve">0</w:t>
            </w:r>
          </w:p>
        </w:tc>
        <w:tc>
          <w:tcPr/>
          <w:p>
            <w:pPr>
              <w:pStyle w:val="Compact"/>
            </w:pPr>
            <w:r>
              <w:rPr>
                <w:rFonts w:hint="eastAsia"/>
              </w:rPr>
              <w:t xml:space="preserve">是</w:t>
            </w:r>
          </w:p>
        </w:tc>
      </w:tr>
    </w:tbl>
    <w:p>
      <w:pPr>
        <w:pStyle w:val="BodyText"/>
      </w:pPr>
      <w:r>
        <w:rPr>
          <w:rFonts w:hint="eastAsia"/>
          <w:b/>
          <w:bCs/>
        </w:rPr>
        <w:t xml:space="preserve">VQM动态选股</w:t>
      </w:r>
      <w:r>
        <w:rPr>
          <w:b/>
          <w:bCs/>
        </w:rPr>
        <w:t xml:space="preserve"> vs </w:t>
      </w:r>
      <w:r>
        <w:rPr>
          <w:rFonts w:hint="eastAsia"/>
          <w:b/>
          <w:bCs/>
        </w:rPr>
        <w:t xml:space="preserve">人工预设的差异</w:t>
      </w:r>
      <w:r>
        <w:rPr>
          <w:rFonts w:hint="eastAsia"/>
        </w:rPr>
        <w:t xml:space="preserve">：人工预设的10只中有3只（同仁堂、恒瑞医药、百济神州）从未被策略选中，红利ETF同样未被选中；而策略实际高频选中的江波龙（16次）、佰维存储（15次）在预设名单中均标为”否”。策略动态选出的10只持仓股票为：德明利、江波龙、佰维存储、普冉股份、兆易创新、泡泡玛特、腾讯控股、达仁堂、美的集团、伊利股份，与人工预设名单仅有5只重合。</w:t>
      </w:r>
    </w:p>
    <w:bookmarkStart w:id="14" w:name="聚焦10只股票的行业分布"/>
    <w:p>
      <w:pPr>
        <w:pStyle w:val="Heading3"/>
      </w:pPr>
      <w:r>
        <w:rPr>
          <w:rFonts w:hint="eastAsia"/>
        </w:rPr>
        <w:t xml:space="preserve">聚焦10只股票的行业分布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行业</w:t>
            </w:r>
          </w:p>
        </w:tc>
        <w:tc>
          <w:tcPr/>
          <w:p>
            <w:pPr>
              <w:pStyle w:val="Compact"/>
              <w:jc w:val="right"/>
            </w:pPr>
            <w:r>
              <w:rPr>
                <w:rFonts w:hint="eastAsia"/>
              </w:rPr>
              <w:t xml:space="preserve">数量</w:t>
            </w:r>
          </w:p>
        </w:tc>
        <w:tc>
          <w:tcPr/>
          <w:p>
            <w:pPr>
              <w:pStyle w:val="Compact"/>
              <w:jc w:val="left"/>
            </w:pPr>
            <w:r>
              <w:rPr>
                <w:rFonts w:hint="eastAsia"/>
              </w:rPr>
              <w:t xml:space="preserve">代表股票</w:t>
            </w:r>
          </w:p>
        </w:tc>
      </w:tr>
      <w:tr>
        <w:tc>
          <w:tcPr/>
          <w:p>
            <w:pPr>
              <w:pStyle w:val="Compact"/>
              <w:jc w:val="left"/>
            </w:pPr>
            <w:r>
              <w:rPr>
                <w:rFonts w:hint="eastAsia"/>
              </w:rPr>
              <w:t xml:space="preserve">半导体</w:t>
            </w:r>
          </w:p>
        </w:tc>
        <w:tc>
          <w:tcPr/>
          <w:p>
            <w:pPr>
              <w:pStyle w:val="Compact"/>
              <w:jc w:val="right"/>
            </w:pPr>
            <w:r>
              <w:t xml:space="preserve">5</w:t>
            </w:r>
          </w:p>
        </w:tc>
        <w:tc>
          <w:tcPr/>
          <w:p>
            <w:pPr>
              <w:pStyle w:val="Compact"/>
              <w:jc w:val="left"/>
            </w:pPr>
            <w:r>
              <w:rPr>
                <w:rFonts w:hint="eastAsia"/>
              </w:rPr>
              <w:t xml:space="preserve">德明利、江波龙、佰维存储、兆易创新、普冉股份</w:t>
            </w:r>
          </w:p>
        </w:tc>
      </w:tr>
      <w:tr>
        <w:tc>
          <w:tcPr/>
          <w:p>
            <w:pPr>
              <w:pStyle w:val="Compact"/>
              <w:jc w:val="left"/>
            </w:pPr>
            <w:r>
              <w:rPr>
                <w:rFonts w:hint="eastAsia"/>
              </w:rPr>
              <w:t xml:space="preserve">消费</w:t>
            </w:r>
          </w:p>
        </w:tc>
        <w:tc>
          <w:tcPr/>
          <w:p>
            <w:pPr>
              <w:pStyle w:val="Compact"/>
              <w:jc w:val="right"/>
            </w:pPr>
            <w:r>
              <w:t xml:space="preserve">3</w:t>
            </w:r>
          </w:p>
        </w:tc>
        <w:tc>
          <w:tcPr/>
          <w:p>
            <w:pPr>
              <w:pStyle w:val="Compact"/>
              <w:jc w:val="left"/>
            </w:pPr>
            <w:r>
              <w:rPr>
                <w:rFonts w:hint="eastAsia"/>
              </w:rPr>
              <w:t xml:space="preserve">泡泡玛特、美的集团、伊利股份</w:t>
            </w:r>
          </w:p>
        </w:tc>
      </w:tr>
      <w:tr>
        <w:tc>
          <w:tcPr/>
          <w:p>
            <w:pPr>
              <w:pStyle w:val="Compact"/>
              <w:jc w:val="left"/>
            </w:pPr>
            <w:r>
              <w:rPr>
                <w:rFonts w:hint="eastAsia"/>
              </w:rPr>
              <w:t xml:space="preserve">互联网</w:t>
            </w:r>
          </w:p>
        </w:tc>
        <w:tc>
          <w:tcPr/>
          <w:p>
            <w:pPr>
              <w:pStyle w:val="Compact"/>
              <w:jc w:val="right"/>
            </w:pPr>
            <w:r>
              <w:t xml:space="preserve">1</w:t>
            </w:r>
          </w:p>
        </w:tc>
        <w:tc>
          <w:tcPr/>
          <w:p>
            <w:pPr>
              <w:pStyle w:val="Compact"/>
              <w:jc w:val="left"/>
            </w:pPr>
            <w:r>
              <w:rPr>
                <w:rFonts w:hint="eastAsia"/>
              </w:rPr>
              <w:t xml:space="preserve">腾讯控股</w:t>
            </w:r>
          </w:p>
        </w:tc>
      </w:tr>
      <w:tr>
        <w:tc>
          <w:tcPr/>
          <w:p>
            <w:pPr>
              <w:pStyle w:val="Compact"/>
              <w:jc w:val="left"/>
            </w:pPr>
            <w:r>
              <w:rPr>
                <w:rFonts w:hint="eastAsia"/>
              </w:rPr>
              <w:t xml:space="preserve">医药</w:t>
            </w:r>
          </w:p>
        </w:tc>
        <w:tc>
          <w:tcPr/>
          <w:p>
            <w:pPr>
              <w:pStyle w:val="Compact"/>
              <w:jc w:val="right"/>
            </w:pPr>
            <w:r>
              <w:t xml:space="preserve">1</w:t>
            </w:r>
          </w:p>
        </w:tc>
        <w:tc>
          <w:tcPr/>
          <w:p>
            <w:pPr>
              <w:pStyle w:val="Compact"/>
              <w:jc w:val="left"/>
            </w:pPr>
            <w:r>
              <w:rPr>
                <w:rFonts w:hint="eastAsia"/>
              </w:rPr>
              <w:t xml:space="preserve">达仁堂</w:t>
            </w:r>
          </w:p>
        </w:tc>
      </w:tr>
    </w:tbl>
    <w:bookmarkEnd w:id="14"/>
    <w:bookmarkEnd w:id="15"/>
    <w:bookmarkStart w:id="18" w:name="数据来源和字段字典"/>
    <w:p>
      <w:pPr>
        <w:pStyle w:val="Heading2"/>
      </w:pPr>
      <w:r>
        <w:t xml:space="preserve">2.2 </w:t>
      </w:r>
      <w:r>
        <w:rPr>
          <w:rFonts w:hint="eastAsia"/>
        </w:rPr>
        <w:t xml:space="preserve">数据来源和字段字典</w:t>
      </w:r>
    </w:p>
    <w:bookmarkStart w:id="16" w:name="数据来源"/>
    <w:p>
      <w:pPr>
        <w:pStyle w:val="Heading3"/>
      </w:pPr>
      <w:r>
        <w:t xml:space="preserve">2.2.1 </w:t>
      </w:r>
      <w:r>
        <w:rPr>
          <w:rFonts w:hint="eastAsia"/>
        </w:rPr>
        <w:t xml:space="preserve">数据来源</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数据类型</w:t>
            </w:r>
          </w:p>
        </w:tc>
        <w:tc>
          <w:tcPr/>
          <w:p>
            <w:pPr>
              <w:pStyle w:val="Compact"/>
              <w:jc w:val="left"/>
            </w:pPr>
            <w:r>
              <w:rPr>
                <w:rFonts w:hint="eastAsia"/>
              </w:rPr>
              <w:t xml:space="preserve">来源</w:t>
            </w:r>
          </w:p>
        </w:tc>
        <w:tc>
          <w:tcPr/>
          <w:p>
            <w:pPr>
              <w:pStyle w:val="Compact"/>
              <w:jc w:val="left"/>
            </w:pPr>
            <w:r>
              <w:rPr>
                <w:rFonts w:hint="eastAsia"/>
              </w:rPr>
              <w:t xml:space="preserve">说明</w:t>
            </w:r>
          </w:p>
        </w:tc>
      </w:tr>
      <w:tr>
        <w:tc>
          <w:tcPr/>
          <w:p>
            <w:pPr>
              <w:pStyle w:val="Compact"/>
              <w:jc w:val="left"/>
            </w:pPr>
            <w:r>
              <w:rPr>
                <w:rFonts w:hint="eastAsia"/>
              </w:rPr>
              <w:t xml:space="preserve">A股日线（17只）</w:t>
            </w:r>
          </w:p>
        </w:tc>
        <w:tc>
          <w:tcPr/>
          <w:p>
            <w:pPr>
              <w:pStyle w:val="Compact"/>
              <w:jc w:val="left"/>
            </w:pPr>
            <w:r>
              <w:rPr>
                <w:rFonts w:hint="eastAsia"/>
              </w:rPr>
              <w:t xml:space="preserve">本地</w:t>
            </w:r>
            <w:r>
              <w:t xml:space="preserve"> </w:t>
            </w:r>
            <w:r>
              <w:rPr>
                <w:rFonts w:hint="eastAsia"/>
              </w:rPr>
              <w:t xml:space="preserve">CSV（Ashare20260721</w:t>
            </w:r>
            <w:r>
              <w:t xml:space="preserve"> </w:t>
            </w:r>
            <w:r>
              <w:rPr>
                <w:rFonts w:hint="eastAsia"/>
              </w:rPr>
              <w:t xml:space="preserve">目录）</w:t>
            </w:r>
          </w:p>
        </w:tc>
        <w:tc>
          <w:tcPr/>
          <w:p>
            <w:pPr>
              <w:pStyle w:val="Compact"/>
              <w:jc w:val="left"/>
            </w:pPr>
            <w:r>
              <w:rPr>
                <w:rFonts w:hint="eastAsia"/>
              </w:rPr>
              <w:t xml:space="preserve">29列含前复权/后复权价格，由</w:t>
            </w:r>
            <w:r>
              <w:t xml:space="preserve"> Tushare </w:t>
            </w:r>
            <w:r>
              <w:rPr>
                <w:rFonts w:hint="eastAsia"/>
              </w:rPr>
              <w:t xml:space="preserve">导出</w:t>
            </w:r>
          </w:p>
        </w:tc>
      </w:tr>
      <w:tr>
        <w:tc>
          <w:tcPr/>
          <w:p>
            <w:pPr>
              <w:pStyle w:val="Compact"/>
              <w:jc w:val="left"/>
            </w:pPr>
            <w:r>
              <w:rPr>
                <w:rFonts w:hint="eastAsia"/>
              </w:rPr>
              <w:t xml:space="preserve">港股日线（2只）</w:t>
            </w:r>
          </w:p>
        </w:tc>
        <w:tc>
          <w:tcPr/>
          <w:p>
            <w:pPr>
              <w:pStyle w:val="Compact"/>
              <w:jc w:val="left"/>
            </w:pPr>
            <w:r>
              <w:t xml:space="preserve">akshare</w:t>
            </w:r>
            <w:r>
              <w:t xml:space="preserve"> </w:t>
            </w:r>
            <w:r>
              <w:rPr>
                <w:rStyle w:val="VerbatimChar"/>
              </w:rPr>
              <w:t xml:space="preserve">stock_hk_daily(adjust="qfq")</w:t>
            </w:r>
          </w:p>
        </w:tc>
        <w:tc>
          <w:tcPr/>
          <w:p>
            <w:pPr>
              <w:pStyle w:val="Compact"/>
              <w:jc w:val="left"/>
            </w:pPr>
            <w:r>
              <w:rPr>
                <w:rFonts w:hint="eastAsia"/>
              </w:rPr>
              <w:t xml:space="preserve">腾讯控股(00700)、泡泡玛特(09992)</w:t>
            </w:r>
          </w:p>
        </w:tc>
      </w:tr>
      <w:tr>
        <w:tc>
          <w:tcPr/>
          <w:p>
            <w:pPr>
              <w:pStyle w:val="Compact"/>
              <w:jc w:val="left"/>
            </w:pPr>
            <w:r>
              <w:rPr>
                <w:rFonts w:hint="eastAsia"/>
              </w:rPr>
              <w:t xml:space="preserve">ETF日线（1只）</w:t>
            </w:r>
          </w:p>
        </w:tc>
        <w:tc>
          <w:tcPr/>
          <w:p>
            <w:pPr>
              <w:pStyle w:val="Compact"/>
              <w:jc w:val="left"/>
            </w:pPr>
            <w:r>
              <w:t xml:space="preserve">akshare</w:t>
            </w:r>
            <w:r>
              <w:t xml:space="preserve"> </w:t>
            </w:r>
            <w:r>
              <w:rPr>
                <w:rStyle w:val="VerbatimChar"/>
              </w:rPr>
              <w:t xml:space="preserve">fund_etf_hist_sina</w:t>
            </w:r>
            <w:r>
              <w:t xml:space="preserve"> </w:t>
            </w:r>
            <w:r>
              <w:t xml:space="preserve">+ </w:t>
            </w:r>
            <w:r>
              <w:rPr>
                <w:rFonts w:hint="eastAsia"/>
              </w:rPr>
              <w:t xml:space="preserve">手动前复权</w:t>
            </w:r>
          </w:p>
        </w:tc>
        <w:tc>
          <w:tcPr/>
          <w:p>
            <w:pPr>
              <w:pStyle w:val="Compact"/>
              <w:jc w:val="left"/>
            </w:pPr>
            <w:r>
              <w:rPr>
                <w:rFonts w:hint="eastAsia"/>
              </w:rPr>
              <w:t xml:space="preserve">红利ETF(515100)，用分红数据手动计算复权因子</w:t>
            </w:r>
          </w:p>
        </w:tc>
      </w:tr>
      <w:tr>
        <w:tc>
          <w:tcPr/>
          <w:p>
            <w:pPr>
              <w:pStyle w:val="Compact"/>
              <w:jc w:val="left"/>
            </w:pPr>
            <w:r>
              <w:rPr>
                <w:rFonts w:hint="eastAsia"/>
              </w:rPr>
              <w:t xml:space="preserve">PE（市盈率TTM）</w:t>
            </w:r>
          </w:p>
        </w:tc>
        <w:tc>
          <w:tcPr/>
          <w:p>
            <w:pPr>
              <w:pStyle w:val="Compact"/>
              <w:jc w:val="left"/>
            </w:pPr>
            <w:r>
              <w:t xml:space="preserve">akshare</w:t>
            </w:r>
            <w:r>
              <w:t xml:space="preserve"> </w:t>
            </w:r>
            <w:r>
              <w:rPr>
                <w:rStyle w:val="VerbatimChar"/>
              </w:rPr>
              <w:t xml:space="preserve">stock_zh_valuation_baidu</w:t>
            </w:r>
            <w:r>
              <w:t xml:space="preserve"> </w:t>
            </w:r>
            <w:r>
              <w:t xml:space="preserve">/</w:t>
            </w:r>
            <w:r>
              <w:t xml:space="preserve"> </w:t>
            </w:r>
            <w:r>
              <w:rPr>
                <w:rStyle w:val="VerbatimChar"/>
              </w:rPr>
              <w:t xml:space="preserve">stock_hk_valuation_baidu</w:t>
            </w:r>
          </w:p>
        </w:tc>
        <w:tc>
          <w:tcPr/>
          <w:p>
            <w:pPr>
              <w:pStyle w:val="Compact"/>
              <w:jc w:val="left"/>
            </w:pPr>
            <w:r>
              <w:rPr>
                <w:rFonts w:hint="eastAsia"/>
              </w:rPr>
              <w:t xml:space="preserve">A股/港股分别获取，ETF无PE设为NaN</w:t>
            </w:r>
          </w:p>
        </w:tc>
      </w:tr>
      <w:tr>
        <w:tc>
          <w:tcPr/>
          <w:p>
            <w:pPr>
              <w:pStyle w:val="Compact"/>
              <w:jc w:val="left"/>
            </w:pPr>
            <w:r>
              <w:rPr>
                <w:rFonts w:hint="eastAsia"/>
              </w:rPr>
              <w:t xml:space="preserve">ROE（净资产收益率）</w:t>
            </w:r>
          </w:p>
        </w:tc>
        <w:tc>
          <w:tcPr/>
          <w:p>
            <w:pPr>
              <w:pStyle w:val="Compact"/>
              <w:jc w:val="left"/>
            </w:pPr>
            <w:r>
              <w:t xml:space="preserve">akshare</w:t>
            </w:r>
            <w:r>
              <w:t xml:space="preserve"> </w:t>
            </w:r>
            <w:r>
              <w:rPr>
                <w:rStyle w:val="VerbatimChar"/>
              </w:rPr>
              <w:t xml:space="preserve">stock_financial_analysis_indicator</w:t>
            </w:r>
            <w:r>
              <w:t xml:space="preserve"> </w:t>
            </w:r>
            <w:r>
              <w:t xml:space="preserve">/</w:t>
            </w:r>
            <w:r>
              <w:t xml:space="preserve"> </w:t>
            </w:r>
            <w:r>
              <w:rPr>
                <w:rStyle w:val="VerbatimChar"/>
              </w:rPr>
              <w:t xml:space="preserve">stock_financial_hk_analysis_indicator_em</w:t>
            </w:r>
          </w:p>
        </w:tc>
        <w:tc>
          <w:tcPr/>
          <w:p>
            <w:pPr>
              <w:pStyle w:val="Compact"/>
              <w:jc w:val="left"/>
            </w:pPr>
            <w:r>
              <w:rPr>
                <w:rFonts w:hint="eastAsia"/>
              </w:rPr>
              <w:t xml:space="preserve">A股需传</w:t>
            </w:r>
            <w:r>
              <w:t xml:space="preserve"> </w:t>
            </w:r>
            <w:r>
              <w:rPr>
                <w:rStyle w:val="VerbatimChar"/>
              </w:rPr>
              <w:t xml:space="preserve">start_year="2023"</w:t>
            </w:r>
            <w:r>
              <w:rPr>
                <w:rFonts w:hint="eastAsia"/>
              </w:rPr>
              <w:t xml:space="preserve">，ETF无ROE设为NaN</w:t>
            </w:r>
          </w:p>
        </w:tc>
      </w:tr>
      <w:tr>
        <w:tc>
          <w:tcPr/>
          <w:p>
            <w:pPr>
              <w:pStyle w:val="Compact"/>
              <w:jc w:val="left"/>
            </w:pPr>
            <w:r>
              <w:rPr>
                <w:rFonts w:hint="eastAsia"/>
              </w:rPr>
              <w:t xml:space="preserve">沪深300指数</w:t>
            </w:r>
          </w:p>
        </w:tc>
        <w:tc>
          <w:tcPr/>
          <w:p>
            <w:pPr>
              <w:pStyle w:val="Compact"/>
              <w:jc w:val="left"/>
            </w:pPr>
            <w:r>
              <w:t xml:space="preserve">akshare</w:t>
            </w:r>
            <w:r>
              <w:t xml:space="preserve"> </w:t>
            </w:r>
            <w:r>
              <w:rPr>
                <w:rStyle w:val="VerbatimChar"/>
              </w:rPr>
              <w:t xml:space="preserve">stock_zh_index_daily(symbol="sh000300")</w:t>
            </w:r>
          </w:p>
        </w:tc>
        <w:tc>
          <w:tcPr/>
          <w:p>
            <w:pPr>
              <w:pStyle w:val="Compact"/>
              <w:jc w:val="left"/>
            </w:pPr>
            <w:r>
              <w:rPr>
                <w:rFonts w:hint="eastAsia"/>
              </w:rPr>
              <w:t xml:space="preserve">用作基准对比</w:t>
            </w:r>
          </w:p>
        </w:tc>
      </w:tr>
    </w:tbl>
    <w:bookmarkEnd w:id="16"/>
    <w:bookmarkStart w:id="17" w:name="字段字典"/>
    <w:p>
      <w:pPr>
        <w:pStyle w:val="Heading3"/>
      </w:pPr>
      <w:r>
        <w:t xml:space="preserve">2.2.2 </w:t>
      </w:r>
      <w:r>
        <w:rPr>
          <w:rFonts w:hint="eastAsia"/>
        </w:rPr>
        <w:t xml:space="preserve">字段字典</w:t>
      </w:r>
    </w:p>
    <w:p>
      <w:pPr>
        <w:pStyle w:val="FirstParagraph"/>
      </w:pPr>
      <w:r>
        <w:rPr>
          <w:rFonts w:hint="eastAsia"/>
        </w:rPr>
        <w:t xml:space="preserve">数据来源于本地</w:t>
      </w:r>
      <w:r>
        <w:t xml:space="preserve"> Tushare </w:t>
      </w:r>
      <w:r>
        <w:rPr>
          <w:rFonts w:hint="eastAsia"/>
        </w:rPr>
        <w:t xml:space="preserve">CSV（A股17只）、AKShare</w:t>
      </w:r>
      <w:r>
        <w:t xml:space="preserve"> </w:t>
      </w:r>
      <w:r>
        <w:rPr>
          <w:rFonts w:hint="eastAsia"/>
        </w:rPr>
        <w:t xml:space="preserve">在线接口（港股2只</w:t>
      </w:r>
      <w:r>
        <w:t xml:space="preserve"> + ETF </w:t>
      </w:r>
      <w:r>
        <w:rPr>
          <w:rFonts w:hint="eastAsia"/>
        </w:rPr>
        <w:t xml:space="preserve">1只），最终合并为统一的前复权日线</w:t>
      </w:r>
      <w:r>
        <w:t xml:space="preserve"> CSV </w:t>
      </w:r>
      <w:r>
        <w:rPr>
          <w:rFonts w:hint="eastAsia"/>
        </w:rPr>
        <w:t xml:space="preserve">文件。共</w:t>
      </w:r>
      <w:r>
        <w:t xml:space="preserve"> 29 </w:t>
      </w:r>
      <w:r>
        <w:rPr>
          <w:rFonts w:hint="eastAsia"/>
        </w:rPr>
        <w:t xml:space="preserve">列，策略实际使用的关键字段如下：</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字段名</w:t>
            </w:r>
          </w:p>
        </w:tc>
        <w:tc>
          <w:tcPr/>
          <w:p>
            <w:pPr>
              <w:pStyle w:val="Compact"/>
              <w:jc w:val="left"/>
            </w:pPr>
            <w:r>
              <w:rPr>
                <w:rFonts w:hint="eastAsia"/>
              </w:rPr>
              <w:t xml:space="preserve">含义</w:t>
            </w:r>
          </w:p>
        </w:tc>
        <w:tc>
          <w:tcPr/>
          <w:p>
            <w:pPr>
              <w:pStyle w:val="Compact"/>
              <w:jc w:val="left"/>
            </w:pPr>
            <w:r>
              <w:rPr>
                <w:rFonts w:hint="eastAsia"/>
              </w:rPr>
              <w:t xml:space="preserve">单位</w:t>
            </w:r>
          </w:p>
        </w:tc>
        <w:tc>
          <w:tcPr/>
          <w:p>
            <w:pPr>
              <w:pStyle w:val="Compact"/>
              <w:jc w:val="left"/>
            </w:pPr>
            <w:r>
              <w:rPr>
                <w:rFonts w:hint="eastAsia"/>
              </w:rPr>
              <w:t xml:space="preserve">备注</w:t>
            </w:r>
          </w:p>
        </w:tc>
      </w:tr>
      <w:tr>
        <w:tc>
          <w:tcPr/>
          <w:p>
            <w:pPr>
              <w:pStyle w:val="Compact"/>
              <w:jc w:val="left"/>
            </w:pPr>
            <w:r>
              <w:t xml:space="preserve">ts_code</w:t>
            </w:r>
          </w:p>
        </w:tc>
        <w:tc>
          <w:tcPr/>
          <w:p>
            <w:pPr>
              <w:pStyle w:val="Compact"/>
              <w:jc w:val="left"/>
            </w:pPr>
            <w:r>
              <w:rPr>
                <w:rFonts w:hint="eastAsia"/>
              </w:rPr>
              <w:t xml:space="preserve">股票代码</w:t>
            </w:r>
          </w:p>
        </w:tc>
        <w:tc>
          <w:tcPr/>
          <w:p>
            <w:pPr>
              <w:pStyle w:val="Compact"/>
              <w:jc w:val="left"/>
            </w:pPr>
            <w:r>
              <w:t xml:space="preserve">—</w:t>
            </w:r>
          </w:p>
        </w:tc>
        <w:tc>
          <w:tcPr/>
          <w:p>
            <w:pPr>
              <w:pStyle w:val="Compact"/>
              <w:jc w:val="left"/>
            </w:pPr>
            <w:r>
              <w:rPr>
                <w:rFonts w:hint="eastAsia"/>
              </w:rPr>
              <w:t xml:space="preserve">格式</w:t>
            </w:r>
            <w:r>
              <w:t xml:space="preserve"> </w:t>
            </w:r>
            <w:r>
              <w:rPr>
                <w:rStyle w:val="VerbatimChar"/>
              </w:rPr>
              <w:t xml:space="preserve">600519.SH</w:t>
            </w:r>
            <w:r>
              <w:t xml:space="preserve"> </w:t>
            </w:r>
            <w:r>
              <w:t xml:space="preserve">/</w:t>
            </w:r>
            <w:r>
              <w:t xml:space="preserve"> </w:t>
            </w:r>
            <w:r>
              <w:rPr>
                <w:rStyle w:val="VerbatimChar"/>
              </w:rPr>
              <w:t xml:space="preserve">00700.HK</w:t>
            </w:r>
          </w:p>
        </w:tc>
      </w:tr>
      <w:tr>
        <w:tc>
          <w:tcPr/>
          <w:p>
            <w:pPr>
              <w:pStyle w:val="Compact"/>
              <w:jc w:val="left"/>
            </w:pPr>
            <w:r>
              <w:t xml:space="preserve">trade_date</w:t>
            </w:r>
          </w:p>
        </w:tc>
        <w:tc>
          <w:tcPr/>
          <w:p>
            <w:pPr>
              <w:pStyle w:val="Compact"/>
              <w:jc w:val="left"/>
            </w:pPr>
            <w:r>
              <w:rPr>
                <w:rFonts w:hint="eastAsia"/>
              </w:rPr>
              <w:t xml:space="preserve">交易日期</w:t>
            </w:r>
          </w:p>
        </w:tc>
        <w:tc>
          <w:tcPr/>
          <w:p>
            <w:pPr>
              <w:pStyle w:val="Compact"/>
              <w:jc w:val="left"/>
            </w:pPr>
            <w:r>
              <w:t xml:space="preserve">—</w:t>
            </w:r>
          </w:p>
        </w:tc>
        <w:tc>
          <w:tcPr/>
          <w:p>
            <w:pPr>
              <w:pStyle w:val="Compact"/>
              <w:jc w:val="left"/>
            </w:pPr>
            <w:r>
              <w:t xml:space="preserve">YYYY-MM-DD</w:t>
            </w:r>
          </w:p>
        </w:tc>
      </w:tr>
      <w:tr>
        <w:tc>
          <w:tcPr/>
          <w:p>
            <w:pPr>
              <w:pStyle w:val="Compact"/>
              <w:jc w:val="left"/>
            </w:pPr>
            <w:r>
              <w:t xml:space="preserve">name</w:t>
            </w:r>
          </w:p>
        </w:tc>
        <w:tc>
          <w:tcPr/>
          <w:p>
            <w:pPr>
              <w:pStyle w:val="Compact"/>
              <w:jc w:val="left"/>
            </w:pPr>
            <w:r>
              <w:rPr>
                <w:rFonts w:hint="eastAsia"/>
              </w:rPr>
              <w:t xml:space="preserve">股票名称</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open</w:t>
            </w:r>
          </w:p>
        </w:tc>
        <w:tc>
          <w:tcPr/>
          <w:p>
            <w:pPr>
              <w:pStyle w:val="Compact"/>
              <w:jc w:val="left"/>
            </w:pPr>
            <w:r>
              <w:rPr>
                <w:rFonts w:hint="eastAsia"/>
              </w:rPr>
              <w:t xml:space="preserve">开盘价</w:t>
            </w:r>
          </w:p>
        </w:tc>
        <w:tc>
          <w:tcPr/>
          <w:p>
            <w:pPr>
              <w:pStyle w:val="Compact"/>
              <w:jc w:val="left"/>
            </w:pPr>
            <w:r>
              <w:rPr>
                <w:rFonts w:hint="eastAsia"/>
              </w:rPr>
              <w:t xml:space="preserve">元</w:t>
            </w:r>
          </w:p>
        </w:tc>
        <w:tc>
          <w:tcPr/>
          <w:p>
            <w:pPr>
              <w:pStyle w:val="Compact"/>
              <w:jc w:val="left"/>
            </w:pPr>
            <w:r>
              <w:rPr>
                <w:rFonts w:hint="eastAsia"/>
              </w:rPr>
              <w:t xml:space="preserve">原始价格</w:t>
            </w:r>
          </w:p>
        </w:tc>
      </w:tr>
      <w:tr>
        <w:tc>
          <w:tcPr/>
          <w:p>
            <w:pPr>
              <w:pStyle w:val="Compact"/>
              <w:jc w:val="left"/>
            </w:pPr>
            <w:r>
              <w:t xml:space="preserve">high</w:t>
            </w:r>
          </w:p>
        </w:tc>
        <w:tc>
          <w:tcPr/>
          <w:p>
            <w:pPr>
              <w:pStyle w:val="Compact"/>
              <w:jc w:val="left"/>
            </w:pPr>
            <w:r>
              <w:rPr>
                <w:rFonts w:hint="eastAsia"/>
              </w:rPr>
              <w:t xml:space="preserve">最高价</w:t>
            </w:r>
          </w:p>
        </w:tc>
        <w:tc>
          <w:tcPr/>
          <w:p>
            <w:pPr>
              <w:pStyle w:val="Compact"/>
              <w:jc w:val="left"/>
            </w:pPr>
            <w:r>
              <w:rPr>
                <w:rFonts w:hint="eastAsia"/>
              </w:rPr>
              <w:t xml:space="preserve">元</w:t>
            </w:r>
          </w:p>
        </w:tc>
        <w:tc>
          <w:tcPr/>
          <w:p>
            <w:pPr>
              <w:pStyle w:val="Compact"/>
              <w:jc w:val="left"/>
            </w:pPr>
            <w:r>
              <w:rPr>
                <w:rFonts w:hint="eastAsia"/>
              </w:rPr>
              <w:t xml:space="preserve">原始价格</w:t>
            </w:r>
          </w:p>
        </w:tc>
      </w:tr>
      <w:tr>
        <w:tc>
          <w:tcPr/>
          <w:p>
            <w:pPr>
              <w:pStyle w:val="Compact"/>
              <w:jc w:val="left"/>
            </w:pPr>
            <w:r>
              <w:t xml:space="preserve">low</w:t>
            </w:r>
          </w:p>
        </w:tc>
        <w:tc>
          <w:tcPr/>
          <w:p>
            <w:pPr>
              <w:pStyle w:val="Compact"/>
              <w:jc w:val="left"/>
            </w:pPr>
            <w:r>
              <w:rPr>
                <w:rFonts w:hint="eastAsia"/>
              </w:rPr>
              <w:t xml:space="preserve">最低价</w:t>
            </w:r>
          </w:p>
        </w:tc>
        <w:tc>
          <w:tcPr/>
          <w:p>
            <w:pPr>
              <w:pStyle w:val="Compact"/>
              <w:jc w:val="left"/>
            </w:pPr>
            <w:r>
              <w:rPr>
                <w:rFonts w:hint="eastAsia"/>
              </w:rPr>
              <w:t xml:space="preserve">元</w:t>
            </w:r>
          </w:p>
        </w:tc>
        <w:tc>
          <w:tcPr/>
          <w:p>
            <w:pPr>
              <w:pStyle w:val="Compact"/>
              <w:jc w:val="left"/>
            </w:pPr>
            <w:r>
              <w:rPr>
                <w:rFonts w:hint="eastAsia"/>
              </w:rPr>
              <w:t xml:space="preserve">原始价格</w:t>
            </w:r>
          </w:p>
        </w:tc>
      </w:tr>
      <w:tr>
        <w:tc>
          <w:tcPr/>
          <w:p>
            <w:pPr>
              <w:pStyle w:val="Compact"/>
              <w:jc w:val="left"/>
            </w:pPr>
            <w:r>
              <w:t xml:space="preserve">close</w:t>
            </w:r>
          </w:p>
        </w:tc>
        <w:tc>
          <w:tcPr/>
          <w:p>
            <w:pPr>
              <w:pStyle w:val="Compact"/>
              <w:jc w:val="left"/>
            </w:pPr>
            <w:r>
              <w:rPr>
                <w:rFonts w:hint="eastAsia"/>
              </w:rPr>
              <w:t xml:space="preserve">收盘价</w:t>
            </w:r>
          </w:p>
        </w:tc>
        <w:tc>
          <w:tcPr/>
          <w:p>
            <w:pPr>
              <w:pStyle w:val="Compact"/>
              <w:jc w:val="left"/>
            </w:pPr>
            <w:r>
              <w:rPr>
                <w:rFonts w:hint="eastAsia"/>
              </w:rPr>
              <w:t xml:space="preserve">元</w:t>
            </w:r>
          </w:p>
        </w:tc>
        <w:tc>
          <w:tcPr/>
          <w:p>
            <w:pPr>
              <w:pStyle w:val="Compact"/>
              <w:jc w:val="left"/>
            </w:pPr>
            <w:r>
              <w:rPr>
                <w:rFonts w:hint="eastAsia"/>
              </w:rPr>
              <w:t xml:space="preserve">原始价格</w:t>
            </w:r>
          </w:p>
        </w:tc>
      </w:tr>
      <w:tr>
        <w:tc>
          <w:tcPr/>
          <w:p>
            <w:pPr>
              <w:pStyle w:val="Compact"/>
              <w:jc w:val="left"/>
            </w:pPr>
            <w:r>
              <w:t xml:space="preserve">pre_close</w:t>
            </w:r>
          </w:p>
        </w:tc>
        <w:tc>
          <w:tcPr/>
          <w:p>
            <w:pPr>
              <w:pStyle w:val="Compact"/>
              <w:jc w:val="left"/>
            </w:pPr>
            <w:r>
              <w:rPr>
                <w:rFonts w:hint="eastAsia"/>
              </w:rPr>
              <w:t xml:space="preserve">前收盘价</w:t>
            </w:r>
          </w:p>
        </w:tc>
        <w:tc>
          <w:tcPr/>
          <w:p>
            <w:pPr>
              <w:pStyle w:val="Compact"/>
              <w:jc w:val="left"/>
            </w:pPr>
            <w:r>
              <w:rPr>
                <w:rFonts w:hint="eastAsia"/>
              </w:rPr>
              <w:t xml:space="preserve">元</w:t>
            </w:r>
          </w:p>
        </w:tc>
        <w:tc>
          <w:tcPr/>
          <w:p>
            <w:pPr>
              <w:pStyle w:val="Compact"/>
              <w:jc w:val="left"/>
            </w:pPr>
            <w:r>
              <w:rPr>
                <w:rFonts w:hint="eastAsia"/>
              </w:rPr>
              <w:t xml:space="preserve">港股/ETF为NaN</w:t>
            </w:r>
          </w:p>
        </w:tc>
      </w:tr>
      <w:tr>
        <w:tc>
          <w:tcPr/>
          <w:p>
            <w:pPr>
              <w:pStyle w:val="Compact"/>
              <w:jc w:val="left"/>
            </w:pPr>
            <w:r>
              <w:t xml:space="preserve">pct_chg</w:t>
            </w:r>
          </w:p>
        </w:tc>
        <w:tc>
          <w:tcPr/>
          <w:p>
            <w:pPr>
              <w:pStyle w:val="Compact"/>
              <w:jc w:val="left"/>
            </w:pPr>
            <w:r>
              <w:rPr>
                <w:rFonts w:hint="eastAsia"/>
              </w:rPr>
              <w:t xml:space="preserve">涨跌幅</w:t>
            </w:r>
          </w:p>
        </w:tc>
        <w:tc>
          <w:tcPr/>
          <w:p>
            <w:pPr>
              <w:pStyle w:val="Compact"/>
              <w:jc w:val="left"/>
            </w:pPr>
            <w:r>
              <w:t xml:space="preserve">%</w:t>
            </w:r>
          </w:p>
        </w:tc>
        <w:tc>
          <w:tcPr/>
          <w:p>
            <w:pPr>
              <w:pStyle w:val="Compact"/>
              <w:jc w:val="left"/>
            </w:pPr>
            <w:r>
              <w:rPr>
                <w:rFonts w:hint="eastAsia"/>
              </w:rPr>
              <w:t xml:space="preserve">当日涨跌幅</w:t>
            </w:r>
          </w:p>
        </w:tc>
      </w:tr>
      <w:tr>
        <w:tc>
          <w:tcPr/>
          <w:p>
            <w:pPr>
              <w:pStyle w:val="Compact"/>
              <w:jc w:val="left"/>
            </w:pPr>
            <w:r>
              <w:t xml:space="preserve">vol</w:t>
            </w:r>
          </w:p>
        </w:tc>
        <w:tc>
          <w:tcPr/>
          <w:p>
            <w:pPr>
              <w:pStyle w:val="Compact"/>
              <w:jc w:val="left"/>
            </w:pPr>
            <w:r>
              <w:rPr>
                <w:rFonts w:hint="eastAsia"/>
              </w:rPr>
              <w:t xml:space="preserve">成交量</w:t>
            </w:r>
          </w:p>
        </w:tc>
        <w:tc>
          <w:tcPr/>
          <w:p>
            <w:pPr>
              <w:pStyle w:val="Compact"/>
              <w:jc w:val="left"/>
            </w:pPr>
            <w:r>
              <w:rPr>
                <w:rFonts w:hint="eastAsia"/>
              </w:rPr>
              <w:t xml:space="preserve">手</w:t>
            </w:r>
          </w:p>
        </w:tc>
        <w:tc>
          <w:tcPr/>
          <w:p>
            <w:pPr>
              <w:pStyle w:val="Compact"/>
              <w:jc w:val="left"/>
            </w:pPr>
            <w:r>
              <w:t xml:space="preserve">—</w:t>
            </w:r>
          </w:p>
        </w:tc>
      </w:tr>
      <w:tr>
        <w:tc>
          <w:tcPr/>
          <w:p>
            <w:pPr>
              <w:pStyle w:val="Compact"/>
              <w:jc w:val="left"/>
            </w:pPr>
            <w:r>
              <w:t xml:space="preserve">amount</w:t>
            </w:r>
          </w:p>
        </w:tc>
        <w:tc>
          <w:tcPr/>
          <w:p>
            <w:pPr>
              <w:pStyle w:val="Compact"/>
              <w:jc w:val="left"/>
            </w:pPr>
            <w:r>
              <w:rPr>
                <w:rFonts w:hint="eastAsia"/>
              </w:rPr>
              <w:t xml:space="preserve">成交额</w:t>
            </w:r>
          </w:p>
        </w:tc>
        <w:tc>
          <w:tcPr/>
          <w:p>
            <w:pPr>
              <w:pStyle w:val="Compact"/>
              <w:jc w:val="left"/>
            </w:pPr>
            <w:r>
              <w:rPr>
                <w:rFonts w:hint="eastAsia"/>
              </w:rPr>
              <w:t xml:space="preserve">元</w:t>
            </w:r>
          </w:p>
        </w:tc>
        <w:tc>
          <w:tcPr/>
          <w:p>
            <w:pPr>
              <w:pStyle w:val="Compact"/>
              <w:jc w:val="left"/>
            </w:pPr>
            <w:r>
              <w:t xml:space="preserve">—</w:t>
            </w:r>
          </w:p>
        </w:tc>
      </w:tr>
      <w:tr>
        <w:tc>
          <w:tcPr/>
          <w:p>
            <w:pPr>
              <w:pStyle w:val="Compact"/>
              <w:jc w:val="left"/>
            </w:pPr>
            <w:r>
              <w:t xml:space="preserve">adj_factor</w:t>
            </w:r>
          </w:p>
        </w:tc>
        <w:tc>
          <w:tcPr/>
          <w:p>
            <w:pPr>
              <w:pStyle w:val="Compact"/>
              <w:jc w:val="left"/>
            </w:pPr>
            <w:r>
              <w:rPr>
                <w:rFonts w:hint="eastAsia"/>
              </w:rPr>
              <w:t xml:space="preserve">复权因子</w:t>
            </w:r>
          </w:p>
        </w:tc>
        <w:tc>
          <w:tcPr/>
          <w:p>
            <w:pPr>
              <w:pStyle w:val="Compact"/>
              <w:jc w:val="left"/>
            </w:pPr>
            <w:r>
              <w:t xml:space="preserve">—</w:t>
            </w:r>
          </w:p>
        </w:tc>
        <w:tc>
          <w:tcPr/>
          <w:p>
            <w:pPr>
              <w:pStyle w:val="Compact"/>
              <w:jc w:val="left"/>
            </w:pPr>
            <w:r>
              <w:rPr>
                <w:rFonts w:hint="eastAsia"/>
              </w:rPr>
              <w:t xml:space="preserve">港股/ETF为NaN</w:t>
            </w:r>
          </w:p>
        </w:tc>
      </w:tr>
      <w:tr>
        <w:tc>
          <w:tcPr/>
          <w:p>
            <w:pPr>
              <w:pStyle w:val="Compact"/>
              <w:jc w:val="left"/>
            </w:pPr>
            <w:r>
              <w:t xml:space="preserve">close_qfq</w:t>
            </w:r>
          </w:p>
        </w:tc>
        <w:tc>
          <w:tcPr/>
          <w:p>
            <w:pPr>
              <w:pStyle w:val="Compact"/>
              <w:jc w:val="left"/>
            </w:pPr>
            <w:r>
              <w:rPr>
                <w:rFonts w:hint="eastAsia"/>
              </w:rPr>
              <w:t xml:space="preserve">前复权收盘价</w:t>
            </w:r>
          </w:p>
        </w:tc>
        <w:tc>
          <w:tcPr/>
          <w:p>
            <w:pPr>
              <w:pStyle w:val="Compact"/>
              <w:jc w:val="left"/>
            </w:pPr>
            <w:r>
              <w:rPr>
                <w:rFonts w:hint="eastAsia"/>
              </w:rPr>
              <w:t xml:space="preserve">元</w:t>
            </w:r>
          </w:p>
        </w:tc>
        <w:tc>
          <w:tcPr/>
          <w:p>
            <w:pPr>
              <w:pStyle w:val="Compact"/>
              <w:jc w:val="left"/>
            </w:pPr>
            <w:r>
              <w:rPr>
                <w:rFonts w:hint="eastAsia"/>
                <w:b/>
                <w:bCs/>
              </w:rPr>
              <w:t xml:space="preserve">策略核心字段</w:t>
            </w:r>
            <w:r>
              <w:rPr>
                <w:rFonts w:hint="eastAsia"/>
              </w:rPr>
              <w:t xml:space="preserve">，用于动量、均线、收益率</w:t>
            </w:r>
          </w:p>
        </w:tc>
      </w:tr>
      <w:tr>
        <w:tc>
          <w:tcPr/>
          <w:p>
            <w:pPr>
              <w:pStyle w:val="Compact"/>
              <w:jc w:val="left"/>
            </w:pPr>
            <w:r>
              <w:t xml:space="preserve">pct_chg_qfq</w:t>
            </w:r>
          </w:p>
        </w:tc>
        <w:tc>
          <w:tcPr/>
          <w:p>
            <w:pPr>
              <w:pStyle w:val="Compact"/>
              <w:jc w:val="left"/>
            </w:pPr>
            <w:r>
              <w:rPr>
                <w:rFonts w:hint="eastAsia"/>
              </w:rPr>
              <w:t xml:space="preserve">前复权涨跌幅</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close_hfq</w:t>
            </w:r>
          </w:p>
        </w:tc>
        <w:tc>
          <w:tcPr/>
          <w:p>
            <w:pPr>
              <w:pStyle w:val="Compact"/>
              <w:jc w:val="left"/>
            </w:pPr>
            <w:r>
              <w:rPr>
                <w:rFonts w:hint="eastAsia"/>
              </w:rPr>
              <w:t xml:space="preserve">后复权收盘价</w:t>
            </w:r>
          </w:p>
        </w:tc>
        <w:tc>
          <w:tcPr/>
          <w:p>
            <w:pPr>
              <w:pStyle w:val="Compact"/>
              <w:jc w:val="left"/>
            </w:pPr>
            <w:r>
              <w:rPr>
                <w:rFonts w:hint="eastAsia"/>
              </w:rPr>
              <w:t xml:space="preserve">元</w:t>
            </w:r>
          </w:p>
        </w:tc>
        <w:tc>
          <w:tcPr/>
          <w:p>
            <w:pPr>
              <w:pStyle w:val="Compact"/>
              <w:jc w:val="left"/>
            </w:pPr>
            <w:r>
              <w:rPr>
                <w:rFonts w:hint="eastAsia"/>
              </w:rPr>
              <w:t xml:space="preserve">港股/ETF为NaN</w:t>
            </w:r>
          </w:p>
        </w:tc>
      </w:tr>
      <w:tr>
        <w:tc>
          <w:tcPr/>
          <w:p>
            <w:pPr>
              <w:pStyle w:val="Compact"/>
              <w:jc w:val="left"/>
            </w:pPr>
            <w:r>
              <w:t xml:space="preserve">PE (TTM)</w:t>
            </w:r>
          </w:p>
        </w:tc>
        <w:tc>
          <w:tcPr/>
          <w:p>
            <w:pPr>
              <w:pStyle w:val="Compact"/>
              <w:jc w:val="left"/>
            </w:pPr>
            <w:r>
              <w:rPr>
                <w:rFonts w:hint="eastAsia"/>
              </w:rPr>
              <w:t xml:space="preserve">市盈率（滚动12个月）</w:t>
            </w:r>
          </w:p>
        </w:tc>
        <w:tc>
          <w:tcPr/>
          <w:p>
            <w:pPr>
              <w:pStyle w:val="Compact"/>
              <w:jc w:val="left"/>
            </w:pPr>
            <w:r>
              <w:rPr>
                <w:rFonts w:hint="eastAsia"/>
              </w:rPr>
              <w:t xml:space="preserve">倍</w:t>
            </w:r>
          </w:p>
        </w:tc>
        <w:tc>
          <w:tcPr/>
          <w:p>
            <w:pPr>
              <w:pStyle w:val="Compact"/>
              <w:jc w:val="left"/>
            </w:pPr>
            <w:r>
              <w:rPr>
                <w:rFonts w:hint="eastAsia"/>
              </w:rPr>
              <w:t xml:space="preserve">在线获取，A股用</w:t>
            </w:r>
            <w:r>
              <w:t xml:space="preserve"> </w:t>
            </w:r>
            <w:r>
              <w:rPr>
                <w:rStyle w:val="VerbatimChar"/>
              </w:rPr>
              <w:t xml:space="preserve">stock_zh_valuation_baidu</w:t>
            </w:r>
            <w:r>
              <w:rPr>
                <w:rFonts w:hint="eastAsia"/>
              </w:rPr>
              <w:t xml:space="preserve">，港股用</w:t>
            </w:r>
            <w:r>
              <w:t xml:space="preserve"> </w:t>
            </w:r>
            <w:r>
              <w:rPr>
                <w:rStyle w:val="VerbatimChar"/>
              </w:rPr>
              <w:t xml:space="preserve">stock_hk_valuation_baidu</w:t>
            </w:r>
            <w:r>
              <w:rPr>
                <w:rFonts w:hint="eastAsia"/>
              </w:rPr>
              <w:t xml:space="preserve">，ETF无PE设为NaN</w:t>
            </w:r>
          </w:p>
        </w:tc>
      </w:tr>
      <w:tr>
        <w:tc>
          <w:tcPr/>
          <w:p>
            <w:pPr>
              <w:pStyle w:val="Compact"/>
              <w:jc w:val="left"/>
            </w:pPr>
            <w:r>
              <w:t xml:space="preserve">ROE</w:t>
            </w:r>
          </w:p>
        </w:tc>
        <w:tc>
          <w:tcPr/>
          <w:p>
            <w:pPr>
              <w:pStyle w:val="Compact"/>
              <w:jc w:val="left"/>
            </w:pPr>
            <w:r>
              <w:rPr>
                <w:rFonts w:hint="eastAsia"/>
              </w:rPr>
              <w:t xml:space="preserve">净资产收益率</w:t>
            </w:r>
          </w:p>
        </w:tc>
        <w:tc>
          <w:tcPr/>
          <w:p>
            <w:pPr>
              <w:pStyle w:val="Compact"/>
              <w:jc w:val="left"/>
            </w:pPr>
            <w:r>
              <w:t xml:space="preserve">%</w:t>
            </w:r>
          </w:p>
        </w:tc>
        <w:tc>
          <w:tcPr/>
          <w:p>
            <w:pPr>
              <w:pStyle w:val="Compact"/>
              <w:jc w:val="left"/>
            </w:pPr>
            <w:r>
              <w:rPr>
                <w:rFonts w:hint="eastAsia"/>
              </w:rPr>
              <w:t xml:space="preserve">在线获取，A股用</w:t>
            </w:r>
            <w:r>
              <w:t xml:space="preserve"> </w:t>
            </w:r>
            <w:r>
              <w:rPr>
                <w:rStyle w:val="VerbatimChar"/>
              </w:rPr>
              <w:t xml:space="preserve">stock_financial_analysis_indicator(start_year="2023")</w:t>
            </w:r>
            <w:r>
              <w:rPr>
                <w:rFonts w:hint="eastAsia"/>
              </w:rPr>
              <w:t xml:space="preserve">，港股用</w:t>
            </w:r>
            <w:r>
              <w:t xml:space="preserve"> </w:t>
            </w:r>
            <w:r>
              <w:rPr>
                <w:rStyle w:val="VerbatimChar"/>
              </w:rPr>
              <w:t xml:space="preserve">stock_financial_hk_analysis_indicator_em</w:t>
            </w:r>
            <w:r>
              <w:rPr>
                <w:rFonts w:hint="eastAsia"/>
              </w:rPr>
              <w:t xml:space="preserve">，ETF无ROE设为NaN</w:t>
            </w:r>
          </w:p>
        </w:tc>
      </w:tr>
      <w:tr>
        <w:tc>
          <w:tcPr/>
          <w:p>
            <w:pPr>
              <w:pStyle w:val="Compact"/>
              <w:jc w:val="left"/>
            </w:pPr>
            <w:r>
              <w:t xml:space="preserve">momentum</w:t>
            </w:r>
          </w:p>
        </w:tc>
        <w:tc>
          <w:tcPr/>
          <w:p>
            <w:pPr>
              <w:pStyle w:val="Compact"/>
              <w:jc w:val="left"/>
            </w:pPr>
            <w:r>
              <w:rPr>
                <w:rFonts w:hint="eastAsia"/>
              </w:rPr>
              <w:t xml:space="preserve">60日动量</w:t>
            </w:r>
          </w:p>
        </w:tc>
        <w:tc>
          <w:tcPr/>
          <w:p>
            <w:pPr>
              <w:pStyle w:val="Compact"/>
              <w:jc w:val="left"/>
            </w:pPr>
            <w:r>
              <w:t xml:space="preserve">—</w:t>
            </w:r>
          </w:p>
        </w:tc>
        <w:tc>
          <w:tcPr/>
          <w:p>
            <w:pPr>
              <w:pStyle w:val="Compact"/>
              <w:jc w:val="left"/>
            </w:pPr>
            <w:r>
              <w:rPr>
                <w:rFonts w:hint="eastAsia"/>
              </w:rPr>
              <w:t xml:space="preserve">策略运行时计算：</w:t>
            </w:r>
            <w:r>
              <w:rPr>
                <w:rStyle w:val="VerbatimChar"/>
              </w:rPr>
              <w:t xml:space="preserve">close_qfq.pct_change(60)</w:t>
            </w:r>
            <w:r>
              <w:rPr>
                <w:rFonts w:hint="eastAsia"/>
              </w:rPr>
              <w:t xml:space="preserve">，即当前前复权收盘价相对60个交易日前的收益率，用于动量因子</w:t>
            </w:r>
          </w:p>
        </w:tc>
      </w:tr>
      <w:tr>
        <w:tc>
          <w:tcPr/>
          <w:p>
            <w:pPr>
              <w:pStyle w:val="Compact"/>
              <w:jc w:val="left"/>
            </w:pPr>
            <w:r>
              <w:t xml:space="preserve">ma120</w:t>
            </w:r>
          </w:p>
        </w:tc>
        <w:tc>
          <w:tcPr/>
          <w:p>
            <w:pPr>
              <w:pStyle w:val="Compact"/>
              <w:jc w:val="left"/>
            </w:pPr>
            <w:r>
              <w:rPr>
                <w:rFonts w:hint="eastAsia"/>
              </w:rPr>
              <w:t xml:space="preserve">120日均线</w:t>
            </w:r>
          </w:p>
        </w:tc>
        <w:tc>
          <w:tcPr/>
          <w:p>
            <w:pPr>
              <w:pStyle w:val="Compact"/>
              <w:jc w:val="left"/>
            </w:pPr>
            <w:r>
              <w:rPr>
                <w:rFonts w:hint="eastAsia"/>
              </w:rPr>
              <w:t xml:space="preserve">元</w:t>
            </w:r>
          </w:p>
        </w:tc>
        <w:tc>
          <w:tcPr/>
          <w:p>
            <w:pPr>
              <w:pStyle w:val="Compact"/>
              <w:jc w:val="left"/>
            </w:pPr>
            <w:r>
              <w:rPr>
                <w:rFonts w:hint="eastAsia"/>
              </w:rPr>
              <w:t xml:space="preserve">策略运行时计算：</w:t>
            </w:r>
            <w:r>
              <w:rPr>
                <w:rStyle w:val="VerbatimChar"/>
              </w:rPr>
              <w:t xml:space="preserve">close_qfq.rolling(120).mean()</w:t>
            </w:r>
            <w:r>
              <w:rPr>
                <w:rFonts w:hint="eastAsia"/>
              </w:rPr>
              <w:t xml:space="preserve">，即前120个交易日收盘价均值，用于均线过滤（跌破即剔除）</w:t>
            </w:r>
          </w:p>
        </w:tc>
      </w:tr>
    </w:tbl>
    <w:p>
      <w:pPr>
        <w:pStyle w:val="BlockText"/>
      </w:pPr>
      <w:r>
        <w:rPr>
          <w:rFonts w:hint="eastAsia"/>
        </w:rPr>
        <w:t xml:space="preserve">其余字段（open_qfq</w:t>
      </w:r>
      <w:r>
        <w:t xml:space="preserve"> / high_qfq / low_hfq </w:t>
      </w:r>
      <w:r>
        <w:rPr>
          <w:rFonts w:hint="eastAsia"/>
        </w:rPr>
        <w:t xml:space="preserve">等）结构与上表对应字段一致，此处省略。完整列名见</w:t>
      </w:r>
      <w:r>
        <w:t xml:space="preserve"> CSV </w:t>
      </w:r>
      <w:r>
        <w:rPr>
          <w:rFonts w:hint="eastAsia"/>
        </w:rPr>
        <w:t xml:space="preserve">文件表头。</w:t>
      </w:r>
    </w:p>
    <w:p>
      <w:pPr>
        <w:pStyle w:val="BlockText"/>
      </w:pPr>
      <w:r>
        <w:t xml:space="preserve">PE </w:t>
      </w:r>
      <w:r>
        <w:rPr>
          <w:rFonts w:hint="eastAsia"/>
        </w:rPr>
        <w:t xml:space="preserve">和</w:t>
      </w:r>
      <w:r>
        <w:t xml:space="preserve"> ROE </w:t>
      </w:r>
      <w:r>
        <w:rPr>
          <w:rFonts w:hint="eastAsia"/>
        </w:rPr>
        <w:t xml:space="preserve">不在</w:t>
      </w:r>
      <w:r>
        <w:t xml:space="preserve"> CSV </w:t>
      </w:r>
      <w:r>
        <w:rPr>
          <w:rFonts w:hint="eastAsia"/>
        </w:rPr>
        <w:t xml:space="preserve">文件中，而是在策略运行时通过</w:t>
      </w:r>
      <w:r>
        <w:t xml:space="preserve"> AKShare </w:t>
      </w:r>
      <w:r>
        <w:rPr>
          <w:rFonts w:hint="eastAsia"/>
        </w:rPr>
        <w:t xml:space="preserve">接口在线获取，再通过股票代码映射到日线数据上。ETF（515100）无</w:t>
      </w:r>
      <w:r>
        <w:t xml:space="preserve"> PE </w:t>
      </w:r>
      <w:r>
        <w:rPr>
          <w:rFonts w:hint="eastAsia"/>
        </w:rPr>
        <w:t xml:space="preserve">和</w:t>
      </w:r>
      <w:r>
        <w:t xml:space="preserve"> ROE </w:t>
      </w:r>
      <w:r>
        <w:rPr>
          <w:rFonts w:hint="eastAsia"/>
        </w:rPr>
        <w:t xml:space="preserve">概念，统一设为</w:t>
      </w:r>
      <w:r>
        <w:t xml:space="preserve"> NaN。momentum </w:t>
      </w:r>
      <w:r>
        <w:rPr>
          <w:rFonts w:hint="eastAsia"/>
        </w:rPr>
        <w:t xml:space="preserve">和</w:t>
      </w:r>
      <w:r>
        <w:t xml:space="preserve"> ma120 </w:t>
      </w:r>
      <w:r>
        <w:rPr>
          <w:rFonts w:hint="eastAsia"/>
        </w:rPr>
        <w:t xml:space="preserve">同样不在</w:t>
      </w:r>
      <w:r>
        <w:t xml:space="preserve"> CSV </w:t>
      </w:r>
      <w:r>
        <w:rPr>
          <w:rFonts w:hint="eastAsia"/>
        </w:rPr>
        <w:t xml:space="preserve">中，由策略代码从</w:t>
      </w:r>
      <w:r>
        <w:t xml:space="preserve"> </w:t>
      </w:r>
      <w:r>
        <w:rPr>
          <w:rStyle w:val="VerbatimChar"/>
        </w:rPr>
        <w:t xml:space="preserve">close_qfq</w:t>
      </w:r>
      <w:r>
        <w:t xml:space="preserve"> </w:t>
      </w:r>
      <w:r>
        <w:rPr>
          <w:rFonts w:hint="eastAsia"/>
        </w:rPr>
        <w:t xml:space="preserve">列实时计算。</w:t>
      </w:r>
    </w:p>
    <w:bookmarkEnd w:id="17"/>
    <w:bookmarkEnd w:id="18"/>
    <w:bookmarkStart w:id="19" w:name="文件说明"/>
    <w:p>
      <w:pPr>
        <w:pStyle w:val="Heading2"/>
      </w:pPr>
      <w:r>
        <w:t xml:space="preserve">2.3 </w:t>
      </w:r>
      <w:r>
        <w:rPr>
          <w:rFonts w:hint="eastAsia"/>
        </w:rPr>
        <w:t xml:space="preserve">文件说明</w:t>
      </w:r>
    </w:p>
    <w:p>
      <w:pPr>
        <w:pStyle w:val="Compact"/>
        <w:numPr>
          <w:ilvl w:val="0"/>
          <w:numId w:val="1011"/>
        </w:numPr>
      </w:pPr>
      <w:r>
        <w:rPr>
          <w:rFonts w:hint="eastAsia"/>
          <w:b/>
          <w:bCs/>
        </w:rPr>
        <w:t xml:space="preserve">文件名</w:t>
      </w:r>
      <w:r>
        <w:rPr>
          <w:rFonts w:hint="eastAsia"/>
        </w:rPr>
        <w:t xml:space="preserve">：</w:t>
      </w:r>
      <w:r>
        <w:rPr>
          <w:rStyle w:val="VerbatimChar"/>
        </w:rPr>
        <w:t xml:space="preserve">price_qfq_20240719_20260721.csv</w:t>
      </w:r>
    </w:p>
    <w:p>
      <w:pPr>
        <w:pStyle w:val="Compact"/>
        <w:numPr>
          <w:ilvl w:val="0"/>
          <w:numId w:val="1011"/>
        </w:numPr>
      </w:pPr>
      <w:r>
        <w:rPr>
          <w:rFonts w:hint="eastAsia"/>
          <w:b/>
          <w:bCs/>
        </w:rPr>
        <w:t xml:space="preserve">记录数</w:t>
      </w:r>
      <w:r>
        <w:rPr>
          <w:rFonts w:hint="eastAsia"/>
        </w:rPr>
        <w:t xml:space="preserve">：9,702</w:t>
      </w:r>
      <w:r>
        <w:t xml:space="preserve"> </w:t>
      </w:r>
      <w:r>
        <w:rPr>
          <w:rFonts w:hint="eastAsia"/>
        </w:rPr>
        <w:t xml:space="preserve">行（20只股票</w:t>
      </w:r>
      <w:r>
        <w:t xml:space="preserve"> × </w:t>
      </w:r>
      <w:r>
        <w:rPr>
          <w:rFonts w:hint="eastAsia"/>
        </w:rPr>
        <w:t xml:space="preserve">约485交易日）</w:t>
      </w:r>
    </w:p>
    <w:p>
      <w:pPr>
        <w:pStyle w:val="Compact"/>
        <w:numPr>
          <w:ilvl w:val="0"/>
          <w:numId w:val="1011"/>
        </w:numPr>
      </w:pPr>
      <w:r>
        <w:rPr>
          <w:rFonts w:hint="eastAsia"/>
          <w:b/>
          <w:bCs/>
        </w:rPr>
        <w:t xml:space="preserve">列数</w:t>
      </w:r>
      <w:r>
        <w:rPr>
          <w:rFonts w:hint="eastAsia"/>
        </w:rPr>
        <w:t xml:space="preserve">：29</w:t>
      </w:r>
      <w:r>
        <w:t xml:space="preserve"> </w:t>
      </w:r>
      <w:r>
        <w:rPr>
          <w:rFonts w:hint="eastAsia"/>
        </w:rPr>
        <w:t xml:space="preserve">列</w:t>
      </w:r>
    </w:p>
    <w:p>
      <w:pPr>
        <w:pStyle w:val="Compact"/>
        <w:numPr>
          <w:ilvl w:val="0"/>
          <w:numId w:val="1011"/>
        </w:numPr>
      </w:pPr>
      <w:r>
        <w:rPr>
          <w:rFonts w:hint="eastAsia"/>
          <w:b/>
          <w:bCs/>
        </w:rPr>
        <w:t xml:space="preserve">时间范围</w:t>
      </w:r>
      <w:r>
        <w:rPr>
          <w:rFonts w:hint="eastAsia"/>
        </w:rPr>
        <w:t xml:space="preserve">：2024-07-19</w:t>
      </w:r>
      <w:r>
        <w:t xml:space="preserve"> </w:t>
      </w:r>
      <w:r>
        <w:rPr>
          <w:rFonts w:hint="eastAsia"/>
        </w:rPr>
        <w:t xml:space="preserve">至</w:t>
      </w:r>
      <w:r>
        <w:t xml:space="preserve"> 2026-07-21</w:t>
      </w:r>
    </w:p>
    <w:p>
      <w:pPr>
        <w:pStyle w:val="Compact"/>
        <w:numPr>
          <w:ilvl w:val="0"/>
          <w:numId w:val="1011"/>
        </w:numPr>
      </w:pPr>
      <w:r>
        <w:rPr>
          <w:rFonts w:hint="eastAsia"/>
          <w:b/>
          <w:bCs/>
        </w:rPr>
        <w:t xml:space="preserve">数据源</w:t>
      </w:r>
      <w:r>
        <w:rPr>
          <w:rFonts w:hint="eastAsia"/>
        </w:rPr>
        <w:t xml:space="preserve">：A股17只为本地</w:t>
      </w:r>
      <w:r>
        <w:t xml:space="preserve"> Tushare </w:t>
      </w:r>
      <w:r>
        <w:rPr>
          <w:rFonts w:hint="eastAsia"/>
        </w:rPr>
        <w:t xml:space="preserve">导出</w:t>
      </w:r>
      <w:r>
        <w:t xml:space="preserve"> </w:t>
      </w:r>
      <w:r>
        <w:rPr>
          <w:rFonts w:hint="eastAsia"/>
        </w:rPr>
        <w:t xml:space="preserve">CSV，港股2只为</w:t>
      </w:r>
      <w:r>
        <w:t xml:space="preserve"> AKShare</w:t>
      </w:r>
      <w:r>
        <w:t xml:space="preserve"> </w:t>
      </w:r>
      <w:r>
        <w:rPr>
          <w:rStyle w:val="VerbatimChar"/>
        </w:rPr>
        <w:t xml:space="preserve">stock_hk_daily(adjust="qfq")</w:t>
      </w:r>
      <w:r>
        <w:t xml:space="preserve"> </w:t>
      </w:r>
      <w:r>
        <w:rPr>
          <w:rFonts w:hint="eastAsia"/>
        </w:rPr>
        <w:t xml:space="preserve">在线获取，ETF</w:t>
      </w:r>
      <w:r>
        <w:t xml:space="preserve"> </w:t>
      </w:r>
      <w:r>
        <w:rPr>
          <w:rFonts w:hint="eastAsia"/>
        </w:rPr>
        <w:t xml:space="preserve">1只为</w:t>
      </w:r>
      <w:r>
        <w:t xml:space="preserve"> AKShare</w:t>
      </w:r>
      <w:r>
        <w:t xml:space="preserve"> </w:t>
      </w:r>
      <w:r>
        <w:rPr>
          <w:rStyle w:val="VerbatimChar"/>
        </w:rPr>
        <w:t xml:space="preserve">fund_etf_hist_sina</w:t>
      </w:r>
      <w:r>
        <w:t xml:space="preserve"> </w:t>
      </w:r>
      <w:r>
        <w:t xml:space="preserve">+ </w:t>
      </w:r>
      <w:r>
        <w:rPr>
          <w:rFonts w:hint="eastAsia"/>
        </w:rPr>
        <w:t xml:space="preserve">分红数据手动前复权</w:t>
      </w:r>
    </w:p>
    <w:bookmarkEnd w:id="19"/>
    <w:bookmarkStart w:id="20" w:name="质量处理"/>
    <w:p>
      <w:pPr>
        <w:pStyle w:val="Heading2"/>
      </w:pPr>
      <w:r>
        <w:t xml:space="preserve">2.4 </w:t>
      </w:r>
      <w:r>
        <w:rPr>
          <w:rFonts w:hint="eastAsia"/>
        </w:rPr>
        <w:t xml:space="preserve">质量处理</w:t>
      </w:r>
    </w:p>
    <w:p>
      <w:pPr>
        <w:pStyle w:val="Compact"/>
        <w:numPr>
          <w:ilvl w:val="0"/>
          <w:numId w:val="1012"/>
        </w:numPr>
      </w:pPr>
      <w:r>
        <w:rPr>
          <w:rFonts w:hint="eastAsia"/>
          <w:b/>
          <w:bCs/>
        </w:rPr>
        <w:t xml:space="preserve">复权方式</w:t>
      </w:r>
      <w:r>
        <w:rPr>
          <w:rFonts w:hint="eastAsia"/>
        </w:rPr>
        <w:t xml:space="preserve">：采用前复权（qfq）价格，保证收益率计算的连续性。港股通过</w:t>
      </w:r>
      <w:r>
        <w:t xml:space="preserve"> AKShare </w:t>
      </w:r>
      <w:r>
        <w:rPr>
          <w:rFonts w:hint="eastAsia"/>
        </w:rPr>
        <w:t xml:space="preserve">接口直接获取前复权数据；ETF</w:t>
      </w:r>
      <w:r>
        <w:t xml:space="preserve"> </w:t>
      </w:r>
      <w:r>
        <w:rPr>
          <w:rFonts w:hint="eastAsia"/>
        </w:rPr>
        <w:t xml:space="preserve">因接口不支持复权参数，通过分红数据手动计算复权因子并乘法调整。</w:t>
      </w:r>
    </w:p>
    <w:p>
      <w:pPr>
        <w:pStyle w:val="Compact"/>
        <w:numPr>
          <w:ilvl w:val="0"/>
          <w:numId w:val="1012"/>
        </w:numPr>
      </w:pPr>
      <w:r>
        <w:rPr>
          <w:rFonts w:hint="eastAsia"/>
          <w:b/>
          <w:bCs/>
        </w:rPr>
        <w:t xml:space="preserve">缺失值处理</w:t>
      </w:r>
      <w:r>
        <w:rPr>
          <w:rFonts w:hint="eastAsia"/>
        </w:rPr>
        <w:t xml:space="preserve">：港股（2只）和</w:t>
      </w:r>
      <w:r>
        <w:t xml:space="preserve"> </w:t>
      </w:r>
      <w:r>
        <w:rPr>
          <w:rFonts w:hint="eastAsia"/>
        </w:rPr>
        <w:t xml:space="preserve">ETF（1只）的</w:t>
      </w:r>
      <w:r>
        <w:t xml:space="preserve"> </w:t>
      </w:r>
      <w:r>
        <w:rPr>
          <w:rStyle w:val="VerbatimChar"/>
        </w:rPr>
        <w:t xml:space="preserve">adj_factor</w:t>
      </w:r>
      <w:r>
        <w:t xml:space="preserve">、</w:t>
      </w:r>
      <w:r>
        <w:rPr>
          <w:rStyle w:val="VerbatimChar"/>
        </w:rPr>
        <w:t xml:space="preserve">pre_close</w:t>
      </w:r>
      <w:r>
        <w:t xml:space="preserve">、</w:t>
      </w:r>
      <w:r>
        <w:rPr>
          <w:rStyle w:val="VerbatimChar"/>
        </w:rPr>
        <w:t xml:space="preserve">change</w:t>
      </w:r>
      <w:r>
        <w:t xml:space="preserve"> </w:t>
      </w:r>
      <w:r>
        <w:rPr>
          <w:rFonts w:hint="eastAsia"/>
        </w:rPr>
        <w:t xml:space="preserve">及全部后复权（hfq）列为</w:t>
      </w:r>
      <w:r>
        <w:t xml:space="preserve"> </w:t>
      </w:r>
      <w:r>
        <w:rPr>
          <w:rFonts w:hint="eastAsia"/>
        </w:rPr>
        <w:t xml:space="preserve">NaN，共影响</w:t>
      </w:r>
      <w:r>
        <w:t xml:space="preserve"> 1,468 </w:t>
      </w:r>
      <w:r>
        <w:rPr>
          <w:rFonts w:hint="eastAsia"/>
        </w:rPr>
        <w:t xml:space="preserve">行（占15.1%），原因是对应数据源不支持这些字段。策略仅使用</w:t>
      </w:r>
      <w:r>
        <w:t xml:space="preserve"> </w:t>
      </w:r>
      <w:r>
        <w:rPr>
          <w:rStyle w:val="VerbatimChar"/>
        </w:rPr>
        <w:t xml:space="preserve">close_qfq</w:t>
      </w:r>
      <w:r>
        <w:t xml:space="preserve"> </w:t>
      </w:r>
      <w:r>
        <w:rPr>
          <w:rFonts w:hint="eastAsia"/>
        </w:rPr>
        <w:t xml:space="preserve">列，不受缺失值影响。</w:t>
      </w:r>
    </w:p>
    <w:p>
      <w:pPr>
        <w:pStyle w:val="Compact"/>
        <w:numPr>
          <w:ilvl w:val="0"/>
          <w:numId w:val="1012"/>
        </w:numPr>
      </w:pPr>
      <w:r>
        <w:rPr>
          <w:rFonts w:hint="eastAsia"/>
          <w:b/>
          <w:bCs/>
        </w:rPr>
        <w:t xml:space="preserve">交易日对齐</w:t>
      </w:r>
      <w:r>
        <w:rPr>
          <w:rFonts w:hint="eastAsia"/>
        </w:rPr>
        <w:t xml:space="preserve">：A股与港股交易日历不完全一致（如港股有半天交易日），通过</w:t>
      </w:r>
      <w:r>
        <w:t xml:space="preserve"> </w:t>
      </w:r>
      <w:r>
        <w:rPr>
          <w:rStyle w:val="VerbatimChar"/>
        </w:rPr>
        <w:t xml:space="preserve">last_common_date()</w:t>
      </w:r>
      <w:r>
        <w:t xml:space="preserve"> </w:t>
      </w:r>
      <w:r>
        <w:rPr>
          <w:rFonts w:hint="eastAsia"/>
        </w:rPr>
        <w:t xml:space="preserve">函数取每月所有股票共有交易日的最后一日作为调仓日，避免因交易日错位导致的伪信号。</w:t>
      </w:r>
    </w:p>
    <w:p>
      <w:pPr>
        <w:pStyle w:val="Compact"/>
        <w:numPr>
          <w:ilvl w:val="0"/>
          <w:numId w:val="1012"/>
        </w:numPr>
      </w:pPr>
      <w:r>
        <w:rPr>
          <w:rFonts w:hint="eastAsia"/>
          <w:b/>
          <w:bCs/>
        </w:rPr>
        <w:t xml:space="preserve">基准</w:t>
      </w:r>
      <w:r>
        <w:rPr>
          <w:rFonts w:hint="eastAsia"/>
        </w:rPr>
        <w:t xml:space="preserve">：沪深300指数（sh000300）日线数据取自</w:t>
      </w:r>
      <w:r>
        <w:t xml:space="preserve"> AKShare</w:t>
      </w:r>
      <w:r>
        <w:t xml:space="preserve"> </w:t>
      </w:r>
      <w:r>
        <w:rPr>
          <w:rStyle w:val="VerbatimChar"/>
        </w:rPr>
        <w:t xml:space="preserve">stock_zh_index_daily</w:t>
      </w:r>
      <w:r>
        <w:rPr>
          <w:rFonts w:hint="eastAsia"/>
        </w:rPr>
        <w:t xml:space="preserve">，与组合净值同期归一化至1。</w:t>
      </w:r>
    </w:p>
    <w:bookmarkEnd w:id="20"/>
    <w:bookmarkStart w:id="21" w:name="回测区间"/>
    <w:p>
      <w:pPr>
        <w:pStyle w:val="Heading2"/>
      </w:pPr>
      <w:r>
        <w:t xml:space="preserve">2.5 </w:t>
      </w:r>
      <w:r>
        <w:rPr>
          <w:rFonts w:hint="eastAsia"/>
        </w:rPr>
        <w:t xml:space="preserve">回测区间</w:t>
      </w:r>
    </w:p>
    <w:p>
      <w:pPr>
        <w:pStyle w:val="Compact"/>
        <w:numPr>
          <w:ilvl w:val="0"/>
          <w:numId w:val="1013"/>
        </w:numPr>
      </w:pPr>
      <w:r>
        <w:rPr>
          <w:rFonts w:hint="eastAsia"/>
          <w:b/>
          <w:bCs/>
        </w:rPr>
        <w:t xml:space="preserve">数据准备期</w:t>
      </w:r>
      <w:r>
        <w:rPr>
          <w:rFonts w:hint="eastAsia"/>
        </w:rPr>
        <w:t xml:space="preserve">：2024-07-19</w:t>
      </w:r>
      <w:r>
        <w:t xml:space="preserve"> ~ </w:t>
      </w:r>
      <w:r>
        <w:rPr>
          <w:rFonts w:hint="eastAsia"/>
        </w:rPr>
        <w:t xml:space="preserve">2025-01-26（用于计算60日动量和120日均线）</w:t>
      </w:r>
    </w:p>
    <w:p>
      <w:pPr>
        <w:pStyle w:val="Compact"/>
        <w:numPr>
          <w:ilvl w:val="0"/>
          <w:numId w:val="1013"/>
        </w:numPr>
      </w:pPr>
      <w:r>
        <w:rPr>
          <w:rFonts w:hint="eastAsia"/>
          <w:b/>
          <w:bCs/>
        </w:rPr>
        <w:t xml:space="preserve">策略回测期</w:t>
      </w:r>
      <w:r>
        <w:rPr>
          <w:rFonts w:hint="eastAsia"/>
        </w:rPr>
        <w:t xml:space="preserve">：2025-01-27</w:t>
      </w:r>
      <w:r>
        <w:t xml:space="preserve"> ~ </w:t>
      </w:r>
      <w:r>
        <w:rPr>
          <w:rFonts w:hint="eastAsia"/>
        </w:rPr>
        <w:t xml:space="preserve">2026-07-21（19个调仓月，366个交易日）</w:t>
      </w:r>
    </w:p>
    <w:p>
      <w:pPr>
        <w:pStyle w:val="Compact"/>
        <w:numPr>
          <w:ilvl w:val="0"/>
          <w:numId w:val="1013"/>
        </w:numPr>
      </w:pPr>
      <w:r>
        <w:rPr>
          <w:rFonts w:hint="eastAsia"/>
          <w:b/>
          <w:bCs/>
        </w:rPr>
        <w:t xml:space="preserve">调仓频率</w:t>
      </w:r>
      <w:r>
        <w:rPr>
          <w:rFonts w:hint="eastAsia"/>
        </w:rPr>
        <w:t xml:space="preserve">：月度（每月最后一个所有股票共有的交易日）</w:t>
      </w:r>
    </w:p>
    <w:p>
      <w:pPr>
        <w:pStyle w:val="Compact"/>
        <w:numPr>
          <w:ilvl w:val="0"/>
          <w:numId w:val="1013"/>
        </w:numPr>
      </w:pPr>
      <w:r>
        <w:rPr>
          <w:rFonts w:hint="eastAsia"/>
          <w:b/>
          <w:bCs/>
        </w:rPr>
        <w:t xml:space="preserve">持仓数量</w:t>
      </w:r>
      <w:r>
        <w:rPr>
          <w:rFonts w:hint="eastAsia"/>
        </w:rPr>
        <w:t xml:space="preserve">：每月5只，等权配置（各20%）</w:t>
      </w:r>
    </w:p>
    <w:bookmarkEnd w:id="21"/>
    <w:bookmarkEnd w:id="22"/>
    <w:bookmarkStart w:id="28" w:name="第3章-策略设计"/>
    <w:p>
      <w:pPr>
        <w:pStyle w:val="Heading1"/>
      </w:pPr>
      <w:r>
        <w:rPr>
          <w:rFonts w:hint="eastAsia"/>
        </w:rPr>
        <w:t xml:space="preserve">第3章</w:t>
      </w:r>
      <w:r>
        <w:t xml:space="preserve"> </w:t>
      </w:r>
      <w:r>
        <w:rPr>
          <w:rFonts w:hint="eastAsia"/>
        </w:rPr>
        <w:t xml:space="preserve">策略设计</w:t>
      </w:r>
    </w:p>
    <w:bookmarkStart w:id="26" w:name="关键设定"/>
    <w:p>
      <w:pPr>
        <w:pStyle w:val="Heading2"/>
      </w:pPr>
      <w:r>
        <w:t xml:space="preserve">3.1 </w:t>
      </w:r>
      <w:r>
        <w:rPr>
          <w:rFonts w:hint="eastAsia"/>
        </w:rPr>
        <w:t xml:space="preserve">关键设定</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rFonts w:hint="eastAsia"/>
              </w:rPr>
              <w:t xml:space="preserve">项目</w:t>
            </w:r>
          </w:p>
        </w:tc>
        <w:tc>
          <w:tcPr/>
          <w:p>
            <w:pPr>
              <w:pStyle w:val="Compact"/>
              <w:jc w:val="left"/>
            </w:pPr>
            <w:r>
              <w:rPr>
                <w:rFonts w:hint="eastAsia"/>
              </w:rPr>
              <w:t xml:space="preserve">设定</w:t>
            </w:r>
          </w:p>
        </w:tc>
      </w:tr>
      <w:tr>
        <w:tc>
          <w:tcPr/>
          <w:p>
            <w:pPr>
              <w:pStyle w:val="Compact"/>
              <w:jc w:val="left"/>
            </w:pPr>
            <w:r>
              <w:rPr>
                <w:rFonts w:hint="eastAsia"/>
              </w:rPr>
              <w:t xml:space="preserve">样本</w:t>
            </w:r>
          </w:p>
        </w:tc>
        <w:tc>
          <w:tcPr/>
          <w:p>
            <w:pPr>
              <w:pStyle w:val="Compact"/>
              <w:jc w:val="left"/>
            </w:pPr>
            <w:r>
              <w:rPr>
                <w:rFonts w:hint="eastAsia"/>
              </w:rPr>
              <w:t xml:space="preserve">从候选20只股票池中，每月底计算</w:t>
            </w:r>
            <w:r>
              <w:t xml:space="preserve"> </w:t>
            </w:r>
            <w:r>
              <w:rPr>
                <w:rFonts w:hint="eastAsia"/>
                <w:b/>
                <w:bCs/>
              </w:rPr>
              <w:t xml:space="preserve">PE、ROE、60日动量</w:t>
            </w:r>
            <w:r>
              <w:rPr>
                <w:rFonts w:hint="eastAsia"/>
              </w:rPr>
              <w:t xml:space="preserve">，经120日均线过滤后标准化排序，选择得分最高的</w:t>
            </w:r>
            <w:r>
              <w:t xml:space="preserve"> </w:t>
            </w:r>
            <w:r>
              <w:rPr>
                <w:rFonts w:hint="eastAsia"/>
                <w:b/>
                <w:bCs/>
              </w:rPr>
              <w:t xml:space="preserve">前5只</w:t>
            </w:r>
            <w:r>
              <w:t xml:space="preserve"> </w:t>
            </w:r>
            <w:r>
              <w:rPr>
                <w:rFonts w:hint="eastAsia"/>
              </w:rPr>
              <w:t xml:space="preserve">构建组合</w:t>
            </w:r>
          </w:p>
        </w:tc>
      </w:tr>
      <w:tr>
        <w:tc>
          <w:tcPr/>
          <w:p>
            <w:pPr>
              <w:pStyle w:val="Compact"/>
              <w:jc w:val="left"/>
            </w:pPr>
            <w:r>
              <w:rPr>
                <w:rFonts w:hint="eastAsia"/>
              </w:rPr>
              <w:t xml:space="preserve">组合构建</w:t>
            </w:r>
          </w:p>
        </w:tc>
        <w:tc>
          <w:tcPr/>
          <w:p>
            <w:pPr>
              <w:pStyle w:val="Compact"/>
              <w:jc w:val="left"/>
            </w:pPr>
            <w:r>
              <w:rPr>
                <w:rFonts w:hint="eastAsia"/>
              </w:rPr>
              <w:t xml:space="preserve">等权配置（各20%），月初建仓，持有至下月调仓日</w:t>
            </w:r>
          </w:p>
        </w:tc>
      </w:tr>
      <w:tr>
        <w:tc>
          <w:tcPr/>
          <w:p>
            <w:pPr>
              <w:pStyle w:val="Compact"/>
              <w:jc w:val="left"/>
            </w:pPr>
            <w:r>
              <w:rPr>
                <w:rFonts w:hint="eastAsia"/>
              </w:rPr>
              <w:t xml:space="preserve">再平衡</w:t>
            </w:r>
          </w:p>
        </w:tc>
        <w:tc>
          <w:tcPr/>
          <w:p>
            <w:pPr>
              <w:pStyle w:val="Compact"/>
              <w:jc w:val="left"/>
            </w:pPr>
            <w:r>
              <w:rPr>
                <w:rFonts w:hint="eastAsia"/>
              </w:rPr>
              <w:t xml:space="preserve">月度调仓（每月最后一个所有股票共有交易日重新计算因子并调整持仓）</w:t>
            </w:r>
          </w:p>
        </w:tc>
      </w:tr>
      <w:tr>
        <w:tc>
          <w:tcPr/>
          <w:p>
            <w:pPr>
              <w:pStyle w:val="Compact"/>
              <w:jc w:val="left"/>
            </w:pPr>
            <w:r>
              <w:rPr>
                <w:rFonts w:hint="eastAsia"/>
              </w:rPr>
              <w:t xml:space="preserve">收益计算</w:t>
            </w:r>
          </w:p>
        </w:tc>
        <w:tc>
          <w:tcPr/>
          <w:p>
            <w:pPr>
              <w:pStyle w:val="Compact"/>
              <w:jc w:val="left"/>
            </w:pPr>
            <w:r>
              <w:rPr>
                <w:rFonts w:hint="eastAsia"/>
              </w:rPr>
              <w:t xml:space="preserve">简单收益率（Simple</w:t>
            </w:r>
            <w:r>
              <w:t xml:space="preserve"> </w:t>
            </w:r>
            <w:r>
              <w:rPr>
                <w:rFonts w:hint="eastAsia"/>
              </w:rPr>
              <w:t xml:space="preserve">Return），基于前复权收盘价</w:t>
            </w:r>
          </w:p>
        </w:tc>
      </w:tr>
      <w:tr>
        <w:tc>
          <w:tcPr/>
          <w:p>
            <w:pPr>
              <w:pStyle w:val="Compact"/>
              <w:jc w:val="left"/>
            </w:pPr>
            <w:r>
              <w:rPr>
                <w:rFonts w:hint="eastAsia"/>
              </w:rPr>
              <w:t xml:space="preserve">无风险利率</w:t>
            </w:r>
          </w:p>
        </w:tc>
        <w:tc>
          <w:tcPr/>
          <w:p>
            <w:pPr>
              <w:pStyle w:val="Compact"/>
              <w:jc w:val="left"/>
            </w:pPr>
            <w:r>
              <w:rPr>
                <w:rFonts w:hint="eastAsia"/>
              </w:rPr>
              <w:t xml:space="preserve">年化</w:t>
            </w:r>
            <w:r>
              <w:t xml:space="preserve"> </w:t>
            </w:r>
            <w:r>
              <w:rPr>
                <w:rFonts w:hint="eastAsia"/>
              </w:rPr>
              <w:t xml:space="preserve">2%（用于夏普比率计算）</w:t>
            </w:r>
          </w:p>
        </w:tc>
      </w:tr>
      <w:tr>
        <w:tc>
          <w:tcPr/>
          <w:p>
            <w:pPr>
              <w:pStyle w:val="Compact"/>
              <w:jc w:val="left"/>
            </w:pPr>
            <w:r>
              <w:rPr>
                <w:rFonts w:hint="eastAsia"/>
              </w:rPr>
              <w:t xml:space="preserve">交易成本</w:t>
            </w:r>
          </w:p>
        </w:tc>
        <w:tc>
          <w:tcPr/>
          <w:p>
            <w:pPr>
              <w:pStyle w:val="Compact"/>
              <w:jc w:val="left"/>
            </w:pPr>
            <w:r>
              <w:rPr>
                <w:rFonts w:hint="eastAsia"/>
              </w:rPr>
              <w:t xml:space="preserve">不考虑冲击成本、滑点、税费</w:t>
            </w:r>
          </w:p>
        </w:tc>
      </w:tr>
      <w:tr>
        <w:tc>
          <w:tcPr/>
          <w:p>
            <w:pPr>
              <w:pStyle w:val="Compact"/>
              <w:jc w:val="left"/>
            </w:pPr>
            <w:r>
              <w:rPr>
                <w:rFonts w:hint="eastAsia"/>
              </w:rPr>
              <w:t xml:space="preserve">基准</w:t>
            </w:r>
          </w:p>
        </w:tc>
        <w:tc>
          <w:tcPr/>
          <w:p>
            <w:pPr>
              <w:pStyle w:val="Compact"/>
              <w:jc w:val="left"/>
            </w:pPr>
            <w:r>
              <w:rPr>
                <w:rFonts w:hint="eastAsia"/>
              </w:rPr>
              <w:t xml:space="preserve">沪深300指数（CSI</w:t>
            </w:r>
            <w:r>
              <w:t xml:space="preserve"> </w:t>
            </w:r>
            <w:r>
              <w:rPr>
                <w:rFonts w:hint="eastAsia"/>
              </w:rPr>
              <w:t xml:space="preserve">300，sh000300），同期归一化至1</w:t>
            </w:r>
          </w:p>
        </w:tc>
      </w:tr>
    </w:tbl>
    <w:bookmarkStart w:id="23" w:name="三因子定义"/>
    <w:p>
      <w:pPr>
        <w:pStyle w:val="Heading3"/>
      </w:pPr>
      <w:r>
        <w:rPr>
          <w:rFonts w:hint="eastAsia"/>
        </w:rPr>
        <w:t xml:space="preserve">三因子定义</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因子</w:t>
            </w:r>
          </w:p>
        </w:tc>
        <w:tc>
          <w:tcPr/>
          <w:p>
            <w:pPr>
              <w:pStyle w:val="Compact"/>
              <w:jc w:val="left"/>
            </w:pPr>
            <w:r>
              <w:rPr>
                <w:rFonts w:hint="eastAsia"/>
              </w:rPr>
              <w:t xml:space="preserve">计算公式</w:t>
            </w:r>
          </w:p>
        </w:tc>
        <w:tc>
          <w:tcPr/>
          <w:p>
            <w:pPr>
              <w:pStyle w:val="Compact"/>
              <w:jc w:val="left"/>
            </w:pPr>
            <w:r>
              <w:rPr>
                <w:rFonts w:hint="eastAsia"/>
              </w:rPr>
              <w:t xml:space="preserve">方向</w:t>
            </w:r>
          </w:p>
        </w:tc>
        <w:tc>
          <w:tcPr/>
          <w:p>
            <w:pPr>
              <w:pStyle w:val="Compact"/>
              <w:jc w:val="right"/>
            </w:pPr>
            <w:r>
              <w:rPr>
                <w:rFonts w:hint="eastAsia"/>
              </w:rPr>
              <w:t xml:space="preserve">权重</w:t>
            </w:r>
          </w:p>
        </w:tc>
        <w:tc>
          <w:tcPr/>
          <w:p>
            <w:pPr>
              <w:pStyle w:val="Compact"/>
              <w:jc w:val="left"/>
            </w:pPr>
            <w:r>
              <w:rPr>
                <w:rFonts w:hint="eastAsia"/>
              </w:rPr>
              <w:t xml:space="preserve">参考文献</w:t>
            </w:r>
          </w:p>
        </w:tc>
      </w:tr>
      <w:tr>
        <w:tc>
          <w:tcPr/>
          <w:p>
            <w:pPr>
              <w:pStyle w:val="Compact"/>
              <w:jc w:val="left"/>
            </w:pPr>
            <w:r>
              <w:rPr>
                <w:rFonts w:hint="eastAsia"/>
              </w:rPr>
              <w:t xml:space="preserve">动量</w:t>
            </w:r>
            <w:r>
              <w:t xml:space="preserve"> (Momentum)</w:t>
            </w:r>
          </w:p>
        </w:tc>
        <w:tc>
          <w:tcPr/>
          <w:p>
            <w:pPr>
              <w:pStyle w:val="Compact"/>
              <w:jc w:val="left"/>
            </w:pPr>
            <m:oMathPara>
              <m:oMathParaPr>
                <m:jc m:val="center"/>
              </m:oMathParaPr>
              <m:oMath>
                <m:sSub>
                  <m:e>
                    <m:r>
                      <m:rPr>
                        <m:nor/>
                        <m:sty m:val="p"/>
                      </m:rPr>
                      <m:t>MOM</m:t>
                    </m:r>
                  </m:e>
                  <m:sub>
                    <m:r>
                      <m:t>i</m:t>
                    </m:r>
                  </m:sub>
                </m:sSub>
                <m:r>
                  <m:rPr>
                    <m:sty m:val="p"/>
                  </m:rPr>
                  <m:t>=</m:t>
                </m:r>
                <m:f>
                  <m:fPr>
                    <m:type m:val="bar"/>
                  </m:fPr>
                  <m:num>
                    <m:sSub>
                      <m:e>
                        <m:r>
                          <m:t>P</m:t>
                        </m:r>
                      </m:e>
                      <m:sub>
                        <m:r>
                          <m:t>i</m:t>
                        </m:r>
                        <m:r>
                          <m:rPr>
                            <m:sty m:val="p"/>
                          </m:rPr>
                          <m:t>,</m:t>
                        </m:r>
                        <m:r>
                          <m:t>t</m:t>
                        </m:r>
                      </m:sub>
                    </m:sSub>
                  </m:num>
                  <m:den>
                    <m:sSub>
                      <m:e>
                        <m:r>
                          <m:t>P</m:t>
                        </m:r>
                      </m:e>
                      <m:sub>
                        <m:r>
                          <m:t>i</m:t>
                        </m:r>
                        <m:r>
                          <m:rPr>
                            <m:sty m:val="p"/>
                          </m:rPr>
                          <m:t>,</m:t>
                        </m:r>
                        <m:r>
                          <m:t>t</m:t>
                        </m:r>
                        <m:r>
                          <m:rPr>
                            <m:sty m:val="p"/>
                          </m:rPr>
                          <m:t>−</m:t>
                        </m:r>
                        <m:r>
                          <m:t>60</m:t>
                        </m:r>
                      </m:sub>
                    </m:sSub>
                  </m:den>
                </m:f>
                <m:r>
                  <m:rPr>
                    <m:sty m:val="p"/>
                  </m:rPr>
                  <m:t>−</m:t>
                </m:r>
                <m:r>
                  <m:t>1</m:t>
                </m:r>
              </m:oMath>
            </m:oMathPara>
          </w:p>
        </w:tc>
        <w:tc>
          <w:tcPr/>
          <w:p>
            <w:pPr>
              <w:pStyle w:val="Compact"/>
              <w:jc w:val="left"/>
            </w:pPr>
            <w:r>
              <w:rPr>
                <w:rFonts w:hint="eastAsia"/>
              </w:rPr>
              <w:t xml:space="preserve">越高越好</w:t>
            </w:r>
          </w:p>
        </w:tc>
        <w:tc>
          <w:tcPr/>
          <w:p>
            <w:pPr>
              <w:pStyle w:val="Compact"/>
              <w:jc w:val="right"/>
            </w:pPr>
            <w:r>
              <w:t xml:space="preserve">0.4</w:t>
            </w:r>
          </w:p>
        </w:tc>
        <w:tc>
          <w:tcPr/>
          <w:p>
            <w:pPr>
              <w:pStyle w:val="Compact"/>
              <w:jc w:val="left"/>
            </w:pPr>
            <w:r>
              <w:t xml:space="preserve">Jegadeesh &amp; Titman (1993); Asness, Moskowitz &amp; Pedersen (2013)</w:t>
            </w:r>
          </w:p>
        </w:tc>
      </w:tr>
      <w:tr>
        <w:tc>
          <w:tcPr/>
          <w:p>
            <w:pPr>
              <w:pStyle w:val="Compact"/>
              <w:jc w:val="left"/>
            </w:pPr>
            <w:r>
              <w:rPr>
                <w:rFonts w:hint="eastAsia"/>
              </w:rPr>
              <w:t xml:space="preserve">质量</w:t>
            </w:r>
            <w:r>
              <w:t xml:space="preserve"> (Quality)</w:t>
            </w:r>
          </w:p>
        </w:tc>
        <w:tc>
          <w:tcPr/>
          <w:p>
            <w:pPr>
              <w:pStyle w:val="Compact"/>
              <w:jc w:val="left"/>
            </w:pPr>
            <m:oMathPara>
              <m:oMathParaPr>
                <m:jc m:val="center"/>
              </m:oMathParaPr>
              <m:oMath>
                <m:sSub>
                  <m:e>
                    <m:r>
                      <m:rPr>
                        <m:nor/>
                        <m:sty m:val="p"/>
                      </m:rPr>
                      <m:t>ROE</m:t>
                    </m:r>
                  </m:e>
                  <m:sub>
                    <m:r>
                      <m:t>i</m:t>
                    </m:r>
                  </m:sub>
                </m:sSub>
                <m:r>
                  <m:rPr>
                    <m:sty m:val="p"/>
                  </m:rPr>
                  <m:t>=</m:t>
                </m:r>
                <m:f>
                  <m:fPr>
                    <m:type m:val="bar"/>
                  </m:fPr>
                  <m:num>
                    <m:sSub>
                      <m:e>
                        <m:r>
                          <m:rPr>
                            <m:nor/>
                            <m:sty m:val="p"/>
                          </m:rPr>
                          <m:t>净利润</m:t>
                        </m:r>
                      </m:e>
                      <m:sub>
                        <m:r>
                          <m:t>i</m:t>
                        </m:r>
                      </m:sub>
                    </m:sSub>
                  </m:num>
                  <m:den>
                    <m:sSub>
                      <m:e>
                        <m:r>
                          <m:rPr>
                            <m:nor/>
                            <m:sty m:val="p"/>
                          </m:rPr>
                          <m:t>股东权益</m:t>
                        </m:r>
                      </m:e>
                      <m:sub>
                        <m:r>
                          <m:t>i</m:t>
                        </m:r>
                      </m:sub>
                    </m:sSub>
                  </m:den>
                </m:f>
                <m:r>
                  <m:rPr>
                    <m:sty m:val="p"/>
                  </m:rPr>
                  <m:t>×</m:t>
                </m:r>
                <m:r>
                  <m:t>100</m:t>
                </m:r>
                <m:r>
                  <m:rPr>
                    <m:sty m:val="p"/>
                  </m:rPr>
                  <m:t>%</m:t>
                </m:r>
              </m:oMath>
            </m:oMathPara>
          </w:p>
        </w:tc>
        <w:tc>
          <w:tcPr/>
          <w:p>
            <w:pPr>
              <w:pStyle w:val="Compact"/>
              <w:jc w:val="left"/>
            </w:pPr>
            <w:r>
              <w:rPr>
                <w:rFonts w:hint="eastAsia"/>
              </w:rPr>
              <w:t xml:space="preserve">越高越好</w:t>
            </w:r>
          </w:p>
        </w:tc>
        <w:tc>
          <w:tcPr/>
          <w:p>
            <w:pPr>
              <w:pStyle w:val="Compact"/>
              <w:jc w:val="right"/>
            </w:pPr>
            <w:r>
              <w:t xml:space="preserve">0.3</w:t>
            </w:r>
          </w:p>
        </w:tc>
        <w:tc>
          <w:tcPr/>
          <w:p>
            <w:pPr>
              <w:pStyle w:val="Compact"/>
              <w:jc w:val="left"/>
            </w:pPr>
            <w:r>
              <w:t xml:space="preserve">Novy-Marx (2013); Asness, Frazzini &amp; Pedersen (2019)</w:t>
            </w:r>
          </w:p>
        </w:tc>
      </w:tr>
      <w:tr>
        <w:tc>
          <w:tcPr/>
          <w:p>
            <w:pPr>
              <w:pStyle w:val="Compact"/>
              <w:jc w:val="left"/>
            </w:pPr>
            <w:r>
              <w:rPr>
                <w:rFonts w:hint="eastAsia"/>
              </w:rPr>
              <w:t xml:space="preserve">价值</w:t>
            </w:r>
            <w:r>
              <w:t xml:space="preserve"> (Value)</w:t>
            </w:r>
          </w:p>
        </w:tc>
        <w:tc>
          <w:tcPr/>
          <w:p>
            <w:pPr>
              <w:pStyle w:val="Compact"/>
              <w:jc w:val="left"/>
            </w:pPr>
            <m:oMathPara>
              <m:oMathParaPr>
                <m:jc m:val="center"/>
              </m:oMathParaPr>
              <m:oMath>
                <m:sSub>
                  <m:e>
                    <m:r>
                      <m:rPr>
                        <m:nor/>
                        <m:sty m:val="p"/>
                      </m:rPr>
                      <m:t>PE</m:t>
                    </m:r>
                  </m:e>
                  <m:sub>
                    <m:r>
                      <m:t>i</m:t>
                    </m:r>
                  </m:sub>
                </m:sSub>
                <m:r>
                  <m:rPr>
                    <m:sty m:val="p"/>
                  </m:rPr>
                  <m:t>=</m:t>
                </m:r>
                <m:f>
                  <m:fPr>
                    <m:type m:val="bar"/>
                  </m:fPr>
                  <m:num>
                    <m:sSub>
                      <m:e>
                        <m:r>
                          <m:t>P</m:t>
                        </m:r>
                      </m:e>
                      <m:sub>
                        <m:r>
                          <m:t>i</m:t>
                        </m:r>
                      </m:sub>
                    </m:sSub>
                  </m:num>
                  <m:den>
                    <m:sSub>
                      <m:e>
                        <m:r>
                          <m:rPr>
                            <m:nor/>
                            <m:sty m:val="p"/>
                          </m:rPr>
                          <m:t>EPS</m:t>
                        </m:r>
                      </m:e>
                      <m:sub>
                        <m:r>
                          <m:t>i</m:t>
                        </m:r>
                      </m:sub>
                    </m:sSub>
                  </m:den>
                </m:f>
              </m:oMath>
            </m:oMathPara>
          </w:p>
          <w:p>
            <w:pPr>
              <w:pStyle w:val="Compact"/>
              <w:jc w:val="left"/>
            </w:pPr>
            <w:r>
              <w:rPr>
                <w:rFonts w:hint="eastAsia"/>
              </w:rPr>
              <w:t xml:space="preserve">，取负值参与评分</w:t>
            </w:r>
          </w:p>
        </w:tc>
        <w:tc>
          <w:tcPr/>
          <w:p>
            <w:pPr>
              <w:pStyle w:val="Compact"/>
              <w:jc w:val="left"/>
            </w:pPr>
            <w:r>
              <w:rPr>
                <w:rFonts w:hint="eastAsia"/>
              </w:rPr>
              <w:t xml:space="preserve">越低越好</w:t>
            </w:r>
          </w:p>
        </w:tc>
        <w:tc>
          <w:tcPr/>
          <w:p>
            <w:pPr>
              <w:pStyle w:val="Compact"/>
              <w:jc w:val="right"/>
            </w:pPr>
            <w:r>
              <w:t xml:space="preserve">0.3</w:t>
            </w:r>
          </w:p>
        </w:tc>
        <w:tc>
          <w:tcPr/>
          <w:p>
            <w:pPr>
              <w:pStyle w:val="Compact"/>
              <w:jc w:val="left"/>
            </w:pPr>
            <w:r>
              <w:t xml:space="preserve">Fama &amp; French (1993); Lakonishok, Shleifer &amp; Vishny (1994)</w:t>
            </w:r>
          </w:p>
        </w:tc>
      </w:tr>
    </w:tbl>
    <w:p>
      <w:pPr>
        <w:pStyle w:val="BodyText"/>
      </w:pPr>
      <w:r>
        <w:rPr>
          <w:rFonts w:hint="eastAsia"/>
        </w:rPr>
        <w:t xml:space="preserve">其中</w:t>
      </w:r>
      <w:r>
        <w:t xml:space="preserve"> </w:t>
      </w:r>
      <m:oMath>
        <m:sSub>
          <m:e>
            <m:r>
              <m:t>P</m:t>
            </m:r>
          </m:e>
          <m:sub>
            <m:r>
              <m:t>i</m:t>
            </m:r>
            <m:r>
              <m:rPr>
                <m:sty m:val="p"/>
              </m:rPr>
              <m:t>,</m:t>
            </m:r>
            <m:r>
              <m:t>t</m:t>
            </m:r>
          </m:sub>
        </m:sSub>
      </m:oMath>
      <w:r>
        <w:t xml:space="preserve"> </w:t>
      </w:r>
      <w:r>
        <w:rPr>
          <w:rFonts w:hint="eastAsia"/>
        </w:rPr>
        <w:t xml:space="preserve">为股票</w:t>
      </w:r>
      <w:r>
        <w:t xml:space="preserve"> </w:t>
      </w:r>
      <m:oMath>
        <m:r>
          <m:t>i</m:t>
        </m:r>
      </m:oMath>
      <w:r>
        <w:t xml:space="preserve"> </w:t>
      </w:r>
      <w:r>
        <w:rPr>
          <w:rFonts w:hint="eastAsia"/>
        </w:rPr>
        <w:t xml:space="preserve">在第</w:t>
      </w:r>
      <w:r>
        <w:t xml:space="preserve"> </w:t>
      </w:r>
      <m:oMath>
        <m:r>
          <m:t>t</m:t>
        </m:r>
      </m:oMath>
      <w:r>
        <w:t xml:space="preserve"> </w:t>
      </w:r>
      <w:r>
        <w:rPr>
          <w:rFonts w:hint="eastAsia"/>
        </w:rPr>
        <w:t xml:space="preserve">日的前复权收盘价，</w:t>
      </w:r>
      <m:oMath>
        <m:sSub>
          <m:e>
            <m:r>
              <m:t>P</m:t>
            </m:r>
          </m:e>
          <m:sub>
            <m:r>
              <m:t>i</m:t>
            </m:r>
            <m:r>
              <m:rPr>
                <m:sty m:val="p"/>
              </m:rPr>
              <m:t>,</m:t>
            </m:r>
            <m:r>
              <m:t>t</m:t>
            </m:r>
            <m:r>
              <m:rPr>
                <m:sty m:val="p"/>
              </m:rPr>
              <m:t>−</m:t>
            </m:r>
            <m:r>
              <m:t>60</m:t>
            </m:r>
          </m:sub>
        </m:sSub>
      </m:oMath>
      <w:r>
        <w:t xml:space="preserve"> </w:t>
      </w:r>
      <w:r>
        <w:rPr>
          <w:rFonts w:hint="eastAsia"/>
        </w:rPr>
        <w:t xml:space="preserve">为60个交易日前的收盘价。EPS</w:t>
      </w:r>
      <w:r>
        <w:t xml:space="preserve"> </w:t>
      </w:r>
      <w:r>
        <w:rPr>
          <w:rFonts w:hint="eastAsia"/>
        </w:rPr>
        <w:t xml:space="preserve">为滚动12个月每股收益（TTM）。</w:t>
      </w:r>
    </w:p>
    <w:p>
      <w:pPr>
        <w:pStyle w:val="BodyText"/>
      </w:pPr>
      <w:r>
        <w:rPr>
          <w:rFonts w:hint="eastAsia"/>
          <w:b/>
          <w:bCs/>
        </w:rPr>
        <w:t xml:space="preserve">原始取值范围</w:t>
      </w:r>
      <w:r>
        <w:rPr>
          <w:rFonts w:hint="eastAsia"/>
        </w:rPr>
        <w:t xml:space="preserve">（回测期间实际数据）：</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因子</w:t>
            </w:r>
          </w:p>
        </w:tc>
        <w:tc>
          <w:tcPr/>
          <w:p>
            <w:pPr>
              <w:pStyle w:val="Compact"/>
              <w:jc w:val="left"/>
            </w:pPr>
            <w:r>
              <w:rPr>
                <w:rFonts w:hint="eastAsia"/>
              </w:rPr>
              <w:t xml:space="preserve">单位</w:t>
            </w:r>
          </w:p>
        </w:tc>
        <w:tc>
          <w:tcPr/>
          <w:p>
            <w:pPr>
              <w:pStyle w:val="Compact"/>
              <w:jc w:val="right"/>
            </w:pPr>
            <w:r>
              <w:rPr>
                <w:rFonts w:hint="eastAsia"/>
              </w:rPr>
              <w:t xml:space="preserve">最小值</w:t>
            </w:r>
          </w:p>
        </w:tc>
        <w:tc>
          <w:tcPr/>
          <w:p>
            <w:pPr>
              <w:pStyle w:val="Compact"/>
              <w:jc w:val="right"/>
            </w:pPr>
            <w:r>
              <w:rPr>
                <w:rFonts w:hint="eastAsia"/>
              </w:rPr>
              <w:t xml:space="preserve">最大值</w:t>
            </w:r>
          </w:p>
        </w:tc>
        <w:tc>
          <w:tcPr/>
          <w:p>
            <w:pPr>
              <w:pStyle w:val="Compact"/>
              <w:jc w:val="right"/>
            </w:pPr>
            <w:r>
              <w:rPr>
                <w:rFonts w:hint="eastAsia"/>
              </w:rPr>
              <w:t xml:space="preserve">均值</w:t>
            </w:r>
          </w:p>
        </w:tc>
      </w:tr>
      <w:tr>
        <w:tc>
          <w:tcPr/>
          <w:p>
            <w:pPr>
              <w:pStyle w:val="Compact"/>
              <w:jc w:val="left"/>
            </w:pPr>
            <w:r>
              <w:rPr>
                <w:rFonts w:hint="eastAsia"/>
              </w:rPr>
              <w:t xml:space="preserve">动量</w:t>
            </w:r>
            <w:r>
              <w:t xml:space="preserve"> </w:t>
            </w:r>
            <w:r>
              <w:rPr>
                <w:rFonts w:hint="eastAsia"/>
              </w:rPr>
              <w:t xml:space="preserve">(60日收益率)</w:t>
            </w:r>
          </w:p>
        </w:tc>
        <w:tc>
          <w:tcPr/>
          <w:p>
            <w:pPr>
              <w:pStyle w:val="Compact"/>
              <w:jc w:val="left"/>
            </w:pPr>
            <w:r>
              <w:t xml:space="preserve">—</w:t>
            </w:r>
          </w:p>
        </w:tc>
        <w:tc>
          <w:tcPr/>
          <w:p>
            <w:pPr>
              <w:pStyle w:val="Compact"/>
              <w:jc w:val="right"/>
            </w:pPr>
            <w:r>
              <w:t xml:space="preserve">-23.8%</w:t>
            </w:r>
          </w:p>
        </w:tc>
        <w:tc>
          <w:tcPr/>
          <w:p>
            <w:pPr>
              <w:pStyle w:val="Compact"/>
              <w:jc w:val="right"/>
            </w:pPr>
            <w:r>
              <w:t xml:space="preserve">+242.8%</w:t>
            </w:r>
          </w:p>
        </w:tc>
        <w:tc>
          <w:tcPr/>
          <w:p>
            <w:pPr>
              <w:pStyle w:val="Compact"/>
              <w:jc w:val="right"/>
            </w:pPr>
            <w:r>
              <w:t xml:space="preserve">+29.8%</w:t>
            </w:r>
          </w:p>
        </w:tc>
      </w:tr>
      <w:tr>
        <w:tc>
          <w:tcPr/>
          <w:p>
            <w:pPr>
              <w:pStyle w:val="Compact"/>
              <w:jc w:val="left"/>
            </w:pPr>
            <w:r>
              <w:t xml:space="preserve">ROE</w:t>
            </w:r>
          </w:p>
        </w:tc>
        <w:tc>
          <w:tcPr/>
          <w:p>
            <w:pPr>
              <w:pStyle w:val="Compact"/>
              <w:jc w:val="left"/>
            </w:pPr>
            <w:r>
              <w:t xml:space="preserve">%</w:t>
            </w:r>
          </w:p>
        </w:tc>
        <w:tc>
          <w:tcPr/>
          <w:p>
            <w:pPr>
              <w:pStyle w:val="Compact"/>
              <w:jc w:val="right"/>
            </w:pPr>
            <w:r>
              <w:t xml:space="preserve">1.84</w:t>
            </w:r>
          </w:p>
        </w:tc>
        <w:tc>
          <w:tcPr/>
          <w:p>
            <w:pPr>
              <w:pStyle w:val="Compact"/>
              <w:jc w:val="right"/>
            </w:pPr>
            <w:r>
              <w:t xml:space="preserve">50.52</w:t>
            </w:r>
          </w:p>
        </w:tc>
        <w:tc>
          <w:tcPr/>
          <w:p>
            <w:pPr>
              <w:pStyle w:val="Compact"/>
              <w:jc w:val="right"/>
            </w:pPr>
            <w:r>
              <w:t xml:space="preserve">13.97</w:t>
            </w:r>
          </w:p>
        </w:tc>
      </w:tr>
      <w:tr>
        <w:tc>
          <w:tcPr/>
          <w:p>
            <w:pPr>
              <w:pStyle w:val="Compact"/>
              <w:jc w:val="left"/>
            </w:pPr>
            <w:r>
              <w:t xml:space="preserve">PE (TTM)</w:t>
            </w:r>
          </w:p>
        </w:tc>
        <w:tc>
          <w:tcPr/>
          <w:p>
            <w:pPr>
              <w:pStyle w:val="Compact"/>
              <w:jc w:val="left"/>
            </w:pPr>
            <w:r>
              <w:rPr>
                <w:rFonts w:hint="eastAsia"/>
              </w:rPr>
              <w:t xml:space="preserve">倍</w:t>
            </w:r>
          </w:p>
        </w:tc>
        <w:tc>
          <w:tcPr/>
          <w:p>
            <w:pPr>
              <w:pStyle w:val="Compact"/>
              <w:jc w:val="right"/>
            </w:pPr>
            <w:r>
              <w:t xml:space="preserve">13.46</w:t>
            </w:r>
          </w:p>
        </w:tc>
        <w:tc>
          <w:tcPr/>
          <w:p>
            <w:pPr>
              <w:pStyle w:val="Compact"/>
              <w:jc w:val="right"/>
            </w:pPr>
            <w:r>
              <w:t xml:space="preserve">158.79</w:t>
            </w:r>
          </w:p>
        </w:tc>
        <w:tc>
          <w:tcPr/>
          <w:p>
            <w:pPr>
              <w:pStyle w:val="Compact"/>
              <w:jc w:val="right"/>
            </w:pPr>
            <w:r>
              <w:t xml:space="preserve">55.72</w:t>
            </w:r>
          </w:p>
        </w:tc>
      </w:tr>
    </w:tbl>
    <w:p>
      <w:pPr>
        <w:pStyle w:val="BodyText"/>
      </w:pPr>
      <w:r>
        <w:rPr>
          <w:rFonts w:hint="eastAsia"/>
        </w:rPr>
        <w:t xml:space="preserve">三个因子的量纲差异极大（动量为比率、ROE</w:t>
      </w:r>
      <w:r>
        <w:t xml:space="preserve"> </w:t>
      </w:r>
      <w:r>
        <w:rPr>
          <w:rFonts w:hint="eastAsia"/>
        </w:rPr>
        <w:t xml:space="preserve">为百分比、PE</w:t>
      </w:r>
      <w:r>
        <w:t xml:space="preserve"> </w:t>
      </w:r>
      <w:r>
        <w:rPr>
          <w:rFonts w:hint="eastAsia"/>
        </w:rPr>
        <w:t xml:space="preserve">为倍数），直接相加无意义，因此每个调仓日截面内做</w:t>
      </w:r>
      <w:r>
        <w:t xml:space="preserve"> Z-score </w:t>
      </w:r>
      <w:r>
        <w:rPr>
          <w:rFonts w:hint="eastAsia"/>
        </w:rPr>
        <w:t xml:space="preserve">标准化</w:t>
      </w:r>
      <w:r>
        <w:t xml:space="preserve"> (Wilks, 1938; Bachelet et al., </w:t>
      </w:r>
      <w:r>
        <w:rPr>
          <w:rFonts w:hint="eastAsia"/>
        </w:rPr>
        <w:t xml:space="preserve">2024)：</w:t>
      </w:r>
    </w:p>
    <w:p>
      <w:pPr>
        <w:pStyle w:val="BodyText"/>
      </w:pPr>
      <m:oMathPara>
        <m:oMathParaPr>
          <m:jc m:val="center"/>
        </m:oMathParaPr>
        <m:oMath>
          <m:sSub>
            <m:e>
              <m:r>
                <m:t>Z</m:t>
              </m:r>
            </m:e>
            <m:sub>
              <m:r>
                <m:t>i</m:t>
              </m:r>
            </m:sub>
          </m:sSub>
          <m:r>
            <m:rPr>
              <m:sty m:val="p"/>
            </m:rPr>
            <m:t>=</m:t>
          </m:r>
          <m:f>
            <m:fPr>
              <m:type m:val="bar"/>
            </m:fPr>
            <m:num>
              <m:sSub>
                <m:e>
                  <m:r>
                    <m:t>x</m:t>
                  </m:r>
                </m:e>
                <m:sub>
                  <m:r>
                    <m:t>i</m:t>
                  </m:r>
                </m:sub>
              </m:sSub>
              <m:r>
                <m:rPr>
                  <m:sty m:val="p"/>
                </m:rPr>
                <m:t>−</m:t>
              </m:r>
              <m:acc>
                <m:accPr>
                  <m:chr m:val="‾"/>
                </m:accPr>
                <m:e>
                  <m:r>
                    <m:t>x</m:t>
                  </m:r>
                </m:e>
              </m:acc>
            </m:num>
            <m:den>
              <m:sSub>
                <m:e>
                  <m:r>
                    <m:t>σ</m:t>
                  </m:r>
                </m:e>
                <m:sub>
                  <m:r>
                    <m:t>x</m:t>
                  </m:r>
                </m:sub>
              </m:sSub>
            </m:den>
          </m:f>
        </m:oMath>
      </m:oMathPara>
    </w:p>
    <w:p>
      <w:pPr>
        <w:pStyle w:val="FirstParagraph"/>
      </w:pPr>
      <w:r>
        <w:rPr>
          <w:rFonts w:hint="eastAsia"/>
        </w:rPr>
        <w:t xml:space="preserve">标准化后各因子均值约为0、标准差约为1，取值范围约在</w:t>
      </w:r>
      <w:r>
        <w:t xml:space="preserve"> </w:t>
      </w:r>
      <m:oMath>
        <m:r>
          <m:rPr>
            <m:sty m:val="p"/>
          </m:rPr>
          <m:t>[</m:t>
        </m:r>
        <m:r>
          <m:rPr>
            <m:sty m:val="p"/>
          </m:rPr>
          <m:t>−</m:t>
        </m:r>
        <m:r>
          <m:t>3</m:t>
        </m:r>
        <m:r>
          <m:rPr>
            <m:sty m:val="p"/>
          </m:rPr>
          <m:t>,</m:t>
        </m:r>
        <m:r>
          <m:rPr>
            <m:sty m:val="p"/>
          </m:rPr>
          <m:t>+</m:t>
        </m:r>
        <m:r>
          <m:t>3</m:t>
        </m:r>
        <m:r>
          <m:rPr>
            <m:sty m:val="p"/>
          </m:rPr>
          <m:t>]</m:t>
        </m:r>
      </m:oMath>
      <w:r>
        <w:rPr>
          <w:rFonts w:hint="eastAsia"/>
        </w:rPr>
        <w:t xml:space="preserve">。综合评分为：</w:t>
      </w:r>
    </w:p>
    <w:p>
      <w:pPr>
        <w:pStyle w:val="BodyText"/>
      </w:pPr>
      <m:oMathPara>
        <m:oMathParaPr>
          <m:jc m:val="center"/>
        </m:oMathParaPr>
        <m:oMath>
          <m:sSub>
            <m:e>
              <m:r>
                <m:rPr>
                  <m:nor/>
                  <m:sty m:val="p"/>
                </m:rPr>
                <m:t>Score</m:t>
              </m:r>
            </m:e>
            <m:sub>
              <m:r>
                <m:t>i</m:t>
              </m:r>
            </m:sub>
          </m:sSub>
          <m:r>
            <m:rPr>
              <m:sty m:val="p"/>
            </m:rPr>
            <m:t>=</m:t>
          </m:r>
          <m:r>
            <m:t>0.4</m:t>
          </m:r>
          <m:r>
            <m:rPr>
              <m:sty m:val="p"/>
            </m:rPr>
            <m:t>×</m:t>
          </m:r>
          <m:sSub>
            <m:e>
              <m:r>
                <m:t>Z</m:t>
              </m:r>
            </m:e>
            <m:sub>
              <m:r>
                <m:rPr>
                  <m:nor/>
                  <m:sty m:val="p"/>
                </m:rPr>
                <m:t>MOM</m:t>
              </m:r>
              <m:r>
                <m:rPr>
                  <m:sty m:val="p"/>
                </m:rPr>
                <m:t>,</m:t>
              </m:r>
              <m:r>
                <m:t>i</m:t>
              </m:r>
            </m:sub>
          </m:sSub>
          <m:r>
            <m:rPr>
              <m:sty m:val="p"/>
            </m:rPr>
            <m:t>+</m:t>
          </m:r>
          <m:r>
            <m:t>0.3</m:t>
          </m:r>
          <m:r>
            <m:rPr>
              <m:sty m:val="p"/>
            </m:rPr>
            <m:t>×</m:t>
          </m:r>
          <m:sSub>
            <m:e>
              <m:r>
                <m:t>Z</m:t>
              </m:r>
            </m:e>
            <m:sub>
              <m:r>
                <m:rPr>
                  <m:nor/>
                  <m:sty m:val="p"/>
                </m:rPr>
                <m:t>ROE</m:t>
              </m:r>
              <m:r>
                <m:rPr>
                  <m:sty m:val="p"/>
                </m:rPr>
                <m:t>,</m:t>
              </m:r>
              <m:r>
                <m:t>i</m:t>
              </m:r>
            </m:sub>
          </m:sSub>
          <m:r>
            <m:rPr>
              <m:sty m:val="p"/>
            </m:rPr>
            <m:t>+</m:t>
          </m:r>
          <m:r>
            <m:t>0.3</m:t>
          </m:r>
          <m:r>
            <m:rPr>
              <m:sty m:val="p"/>
            </m:rPr>
            <m:t>×</m:t>
          </m:r>
          <m:sSub>
            <m:e>
              <m:r>
                <m:t>Z</m:t>
              </m:r>
            </m:e>
            <m:sub>
              <m:r>
                <m:rPr>
                  <m:nor/>
                  <m:sty m:val="p"/>
                </m:rPr>
                <m:t>-PE</m:t>
              </m:r>
              <m:r>
                <m:rPr>
                  <m:sty m:val="p"/>
                </m:rPr>
                <m:t>,</m:t>
              </m:r>
              <m:r>
                <m:t>i</m:t>
              </m:r>
            </m:sub>
          </m:sSub>
        </m:oMath>
      </m:oMathPara>
    </w:p>
    <w:p>
      <w:pPr>
        <w:pStyle w:val="FirstParagraph"/>
      </w:pPr>
      <w:r>
        <w:rPr>
          <w:rFonts w:hint="eastAsia"/>
        </w:rPr>
        <w:t xml:space="preserve">多因子线性加权组合的方法论参见</w:t>
      </w:r>
      <w:r>
        <w:t xml:space="preserve"> Fama &amp; French (1993) </w:t>
      </w:r>
      <w:r>
        <w:rPr>
          <w:rFonts w:hint="eastAsia"/>
        </w:rPr>
        <w:t xml:space="preserve">和</w:t>
      </w:r>
      <w:r>
        <w:t xml:space="preserve"> Carhart (1997)。</w:t>
      </w:r>
    </w:p>
    <w:p>
      <w:pPr>
        <w:pStyle w:val="BodyText"/>
      </w:pPr>
      <w:r>
        <w:rPr>
          <w:rFonts w:hint="eastAsia"/>
          <w:b/>
          <w:bCs/>
        </w:rPr>
        <w:t xml:space="preserve">权重设定依据</w:t>
      </w:r>
      <w:r>
        <w:rPr>
          <w:rFonts w:hint="eastAsia"/>
        </w:rPr>
        <w:t xml:space="preserve">：</w:t>
      </w:r>
    </w:p>
    <w:p>
      <w:pPr>
        <w:pStyle w:val="BodyText"/>
      </w:pPr>
      <w:r>
        <w:rPr>
          <w:rFonts w:hint="eastAsia"/>
        </w:rPr>
        <w:t xml:space="preserve">动量因子权重</w:t>
      </w:r>
      <w:r>
        <w:t xml:space="preserve"> 0.4 </w:t>
      </w:r>
      <w:r>
        <w:rPr>
          <w:rFonts w:hint="eastAsia"/>
        </w:rPr>
        <w:t xml:space="preserve">高于质量和价值因子的</w:t>
      </w:r>
      <w:r>
        <w:t xml:space="preserve"> </w:t>
      </w:r>
      <w:r>
        <w:rPr>
          <w:rFonts w:hint="eastAsia"/>
        </w:rPr>
        <w:t xml:space="preserve">0.3，原因有三：（1）在A股市场，动量效应在3-6个月周期上具有较强的截面预测力</w:t>
      </w:r>
      <w:r>
        <w:t xml:space="preserve"> (Jegadeesh &amp; Titman, 1993; Asness, Moskowitz &amp; Pedersen, </w:t>
      </w:r>
      <w:r>
        <w:rPr>
          <w:rFonts w:hint="eastAsia"/>
        </w:rPr>
        <w:t xml:space="preserve">2013)，尤其对成长型行业（如半导体），赋予更高权重可放大选股</w:t>
      </w:r>
      <w:r>
        <w:t xml:space="preserve"> </w:t>
      </w:r>
      <w:r>
        <w:rPr>
          <w:rFonts w:hint="eastAsia"/>
        </w:rPr>
        <w:t xml:space="preserve">alpha；（2）ROE</w:t>
      </w:r>
      <w:r>
        <w:t xml:space="preserve"> </w:t>
      </w:r>
      <w:r>
        <w:rPr>
          <w:rFonts w:hint="eastAsia"/>
        </w:rPr>
        <w:t xml:space="preserve">和</w:t>
      </w:r>
      <w:r>
        <w:t xml:space="preserve"> PE </w:t>
      </w:r>
      <w:r>
        <w:rPr>
          <w:rFonts w:hint="eastAsia"/>
        </w:rPr>
        <w:t xml:space="preserve">属于基本面慢变量——ROE</w:t>
      </w:r>
      <w:r>
        <w:t xml:space="preserve"> </w:t>
      </w:r>
      <w:r>
        <w:rPr>
          <w:rFonts w:hint="eastAsia"/>
        </w:rPr>
        <w:t xml:space="preserve">按季报更新、PE</w:t>
      </w:r>
      <w:r>
        <w:t xml:space="preserve"> </w:t>
      </w:r>
      <w:r>
        <w:rPr>
          <w:rFonts w:hint="eastAsia"/>
        </w:rPr>
        <w:t xml:space="preserve">随价格每日变动但分子</w:t>
      </w:r>
      <w:r>
        <w:t xml:space="preserve"> EPS </w:t>
      </w:r>
      <w:r>
        <w:rPr>
          <w:rFonts w:hint="eastAsia"/>
        </w:rPr>
        <w:t xml:space="preserve">同样滞后，两者对月度调仓的边际区分度低于动量</w:t>
      </w:r>
      <w:r>
        <w:t xml:space="preserve"> (Novy-Marx, 2013; Lakonishok, Shleifer &amp; Vishny, </w:t>
      </w:r>
      <w:r>
        <w:rPr>
          <w:rFonts w:hint="eastAsia"/>
        </w:rPr>
        <w:t xml:space="preserve">1994)；（3）质量与价值各占0.3、权重相等，体现二者作为”筛选锚”而非”排序引擎”的定位——它们确保选出的股票在盈利和估值上不过度偏离，但排序主要由动量驱动。这一</w:t>
      </w:r>
      <w:r>
        <w:t xml:space="preserve"> 4:3:3 </w:t>
      </w:r>
      <w:r>
        <w:rPr>
          <w:rFonts w:hint="eastAsia"/>
        </w:rPr>
        <w:t xml:space="preserve">的配比在回测中取得了210.8%的总收益，验证了动量主导、基本面辅助的配置逻辑。</w:t>
      </w:r>
    </w:p>
    <w:bookmarkEnd w:id="23"/>
    <w:bookmarkStart w:id="24" w:name="选股流程"/>
    <w:p>
      <w:pPr>
        <w:pStyle w:val="Heading3"/>
      </w:pPr>
      <w:r>
        <w:rPr>
          <w:rFonts w:hint="eastAsia"/>
        </w:rPr>
        <w:t xml:space="preserve">选股流程</w:t>
      </w:r>
    </w:p>
    <w:p>
      <w:pPr>
        <w:pStyle w:val="SourceCode"/>
      </w:pPr>
      <w:r>
        <w:rPr>
          <w:rStyle w:val="VerbatimChar"/>
        </w:rPr>
        <w:t xml:space="preserve">flowchart TD</w:t>
      </w:r>
      <w:r>
        <w:br/>
      </w:r>
      <w:r>
        <w:rPr>
          <w:rStyle w:val="VerbatimChar"/>
        </w:rPr>
        <w:t xml:space="preserve">    </w:t>
      </w:r>
      <w:r>
        <w:rPr>
          <w:rStyle w:val="VerbatimChar"/>
          <w:rFonts w:hint="eastAsia"/>
        </w:rPr>
        <w:t xml:space="preserve">A[20只股票池]</w:t>
      </w:r>
      <w:r>
        <w:rPr>
          <w:rStyle w:val="VerbatimChar"/>
        </w:rPr>
        <w:t xml:space="preserve"> --&gt; </w:t>
      </w:r>
      <w:r>
        <w:rPr>
          <w:rStyle w:val="VerbatimChar"/>
          <w:rFonts w:hint="eastAsia"/>
        </w:rPr>
        <w:t xml:space="preserve">B[计算60日动量</w:t>
      </w:r>
      <w:r>
        <w:rPr>
          <w:rStyle w:val="VerbatimChar"/>
        </w:rPr>
        <w:t xml:space="preserve"> &amp; </w:t>
      </w:r>
      <w:r>
        <w:rPr>
          <w:rStyle w:val="VerbatimChar"/>
          <w:rFonts w:hint="eastAsia"/>
        </w:rPr>
        <w:t xml:space="preserve">120日均线]</w:t>
      </w:r>
      <w:r>
        <w:br/>
      </w:r>
      <w:r>
        <w:rPr>
          <w:rStyle w:val="VerbatimChar"/>
        </w:rPr>
        <w:t xml:space="preserve">    B --&gt; </w:t>
      </w:r>
      <w:r>
        <w:rPr>
          <w:rStyle w:val="VerbatimChar"/>
          <w:rFonts w:hint="eastAsia"/>
        </w:rPr>
        <w:t xml:space="preserve">C[取每月最后交易日]</w:t>
      </w:r>
      <w:r>
        <w:br/>
      </w:r>
      <w:r>
        <w:rPr>
          <w:rStyle w:val="VerbatimChar"/>
        </w:rPr>
        <w:t xml:space="preserve">    C --&gt; </w:t>
      </w:r>
      <w:r>
        <w:rPr>
          <w:rStyle w:val="VerbatimChar"/>
          <w:rFonts w:hint="eastAsia"/>
        </w:rPr>
        <w:t xml:space="preserve">D{收盘价</w:t>
      </w:r>
      <w:r>
        <w:rPr>
          <w:rStyle w:val="VerbatimChar"/>
        </w:rPr>
        <w:t xml:space="preserve"> &gt; </w:t>
      </w:r>
      <w:r>
        <w:rPr>
          <w:rStyle w:val="VerbatimChar"/>
          <w:rFonts w:hint="eastAsia"/>
        </w:rPr>
        <w:t xml:space="preserve">120日均线?}</w:t>
      </w:r>
      <w:r>
        <w:br/>
      </w:r>
      <w:r>
        <w:rPr>
          <w:rStyle w:val="VerbatimChar"/>
        </w:rPr>
        <w:t xml:space="preserve">    D -- </w:t>
      </w:r>
      <w:r>
        <w:rPr>
          <w:rStyle w:val="VerbatimChar"/>
          <w:rFonts w:hint="eastAsia"/>
        </w:rPr>
        <w:t xml:space="preserve">否</w:t>
      </w:r>
      <w:r>
        <w:rPr>
          <w:rStyle w:val="VerbatimChar"/>
        </w:rPr>
        <w:t xml:space="preserve"> --&gt; </w:t>
      </w:r>
      <w:r>
        <w:rPr>
          <w:rStyle w:val="VerbatimChar"/>
          <w:rFonts w:hint="eastAsia"/>
        </w:rPr>
        <w:t xml:space="preserve">E[剔除]</w:t>
      </w:r>
      <w:r>
        <w:br/>
      </w:r>
      <w:r>
        <w:rPr>
          <w:rStyle w:val="VerbatimChar"/>
        </w:rPr>
        <w:t xml:space="preserve">    D -- </w:t>
      </w:r>
      <w:r>
        <w:rPr>
          <w:rStyle w:val="VerbatimChar"/>
          <w:rFonts w:hint="eastAsia"/>
        </w:rPr>
        <w:t xml:space="preserve">是</w:t>
      </w:r>
      <w:r>
        <w:rPr>
          <w:rStyle w:val="VerbatimChar"/>
        </w:rPr>
        <w:t xml:space="preserve"> --&gt; </w:t>
      </w:r>
      <w:r>
        <w:rPr>
          <w:rStyle w:val="VerbatimChar"/>
          <w:rFonts w:hint="eastAsia"/>
        </w:rPr>
        <w:t xml:space="preserve">F[Z-score截面标准化]</w:t>
      </w:r>
      <w:r>
        <w:br/>
      </w:r>
      <w:r>
        <w:rPr>
          <w:rStyle w:val="VerbatimChar"/>
        </w:rPr>
        <w:t xml:space="preserve">    F --&gt; </w:t>
      </w:r>
      <w:r>
        <w:rPr>
          <w:rStyle w:val="VerbatimChar"/>
          <w:rFonts w:hint="eastAsia"/>
        </w:rPr>
        <w:t xml:space="preserve">G[综合评分</w:t>
      </w:r>
      <w:r>
        <w:rPr>
          <w:rStyle w:val="VerbatimChar"/>
        </w:rPr>
        <w:t xml:space="preserve"> = </w:t>
      </w:r>
      <w:r>
        <w:rPr>
          <w:rStyle w:val="VerbatimChar"/>
          <w:rFonts w:hint="eastAsia"/>
        </w:rPr>
        <w:t xml:space="preserve">0.4×动量</w:t>
      </w:r>
      <w:r>
        <w:rPr>
          <w:rStyle w:val="VerbatimChar"/>
        </w:rPr>
        <w:t xml:space="preserve"> + 0.3×ROE + 0.3×(-PE)]</w:t>
      </w:r>
      <w:r>
        <w:br/>
      </w:r>
      <w:r>
        <w:rPr>
          <w:rStyle w:val="VerbatimChar"/>
        </w:rPr>
        <w:t xml:space="preserve">    G --&gt; </w:t>
      </w:r>
      <w:r>
        <w:rPr>
          <w:rStyle w:val="VerbatimChar"/>
          <w:rFonts w:hint="eastAsia"/>
        </w:rPr>
        <w:t xml:space="preserve">H[选前5只,</w:t>
      </w:r>
      <w:r>
        <w:rPr>
          <w:rStyle w:val="VerbatimChar"/>
        </w:rPr>
        <w:t xml:space="preserve"> </w:t>
      </w:r>
      <w:r>
        <w:rPr>
          <w:rStyle w:val="VerbatimChar"/>
          <w:rFonts w:hint="eastAsia"/>
        </w:rPr>
        <w:t xml:space="preserve">等权20%]</w:t>
      </w:r>
      <w:r>
        <w:br/>
      </w:r>
      <w:r>
        <w:rPr>
          <w:rStyle w:val="VerbatimChar"/>
        </w:rPr>
        <w:t xml:space="preserve">    H --&gt; </w:t>
      </w:r>
      <w:r>
        <w:rPr>
          <w:rStyle w:val="VerbatimChar"/>
          <w:rFonts w:hint="eastAsia"/>
        </w:rPr>
        <w:t xml:space="preserve">I[15%回撤控制:</w:t>
      </w:r>
      <w:r>
        <w:rPr>
          <w:rStyle w:val="VerbatimChar"/>
        </w:rPr>
        <w:t xml:space="preserve"> </w:t>
      </w:r>
      <w:r>
        <w:rPr>
          <w:rStyle w:val="VerbatimChar"/>
          <w:rFonts w:hint="eastAsia"/>
        </w:rPr>
        <w:t xml:space="preserve">超限转现金]</w:t>
      </w:r>
      <w:r>
        <w:br/>
      </w:r>
      <w:r>
        <w:rPr>
          <w:rStyle w:val="VerbatimChar"/>
        </w:rPr>
        <w:t xml:space="preserve">    I --&gt; </w:t>
      </w:r>
      <w:r>
        <w:rPr>
          <w:rStyle w:val="VerbatimChar"/>
          <w:rFonts w:hint="eastAsia"/>
        </w:rPr>
        <w:t xml:space="preserve">J[持有至下月调仓日]</w:t>
      </w:r>
    </w:p>
    <w:bookmarkEnd w:id="24"/>
    <w:bookmarkStart w:id="25" w:name="风控规则"/>
    <w:p>
      <w:pPr>
        <w:pStyle w:val="Heading3"/>
      </w:pPr>
      <w:r>
        <w:rPr>
          <w:rFonts w:hint="eastAsia"/>
        </w:rPr>
        <w:t xml:space="preserve">风控规则</w:t>
      </w:r>
    </w:p>
    <w:p>
      <w:pPr>
        <w:pStyle w:val="FirstParagraph"/>
      </w:pPr>
      <w:r>
        <w:rPr>
          <w:rFonts w:hint="eastAsia"/>
        </w:rPr>
        <w:t xml:space="preserve">15%回撤控制：每日监控组合净值，若相对历史峰值的回撤超过15%，则全部转为现金（收益率为0），直至下一个调仓日重新按规则建仓。</w:t>
      </w:r>
    </w:p>
    <w:bookmarkEnd w:id="25"/>
    <w:bookmarkEnd w:id="26"/>
    <w:bookmarkStart w:id="27" w:name="可复现步骤"/>
    <w:p>
      <w:pPr>
        <w:pStyle w:val="Heading2"/>
      </w:pPr>
      <w:r>
        <w:t xml:space="preserve">3.2 </w:t>
      </w:r>
      <w:r>
        <w:rPr>
          <w:rFonts w:hint="eastAsia"/>
        </w:rPr>
        <w:t xml:space="preserve">可复现步骤</w:t>
      </w:r>
    </w:p>
    <w:p>
      <w:pPr>
        <w:pStyle w:val="Compact"/>
        <w:numPr>
          <w:ilvl w:val="0"/>
          <w:numId w:val="1014"/>
        </w:numPr>
      </w:pPr>
      <w:r>
        <w:rPr>
          <w:rFonts w:hint="eastAsia"/>
          <w:b/>
          <w:bCs/>
        </w:rPr>
        <w:t xml:space="preserve">读取数据</w:t>
      </w:r>
      <w:r>
        <w:rPr>
          <w:rFonts w:hint="eastAsia"/>
        </w:rPr>
        <w:t xml:space="preserve">：从本地</w:t>
      </w:r>
      <w:r>
        <w:t xml:space="preserve"> CSV </w:t>
      </w:r>
      <w:r>
        <w:rPr>
          <w:rFonts w:hint="eastAsia"/>
        </w:rPr>
        <w:t xml:space="preserve">加载17只A股日线数据，通过</w:t>
      </w:r>
      <w:r>
        <w:t xml:space="preserve"> AKShare </w:t>
      </w:r>
      <w:r>
        <w:rPr>
          <w:rFonts w:hint="eastAsia"/>
        </w:rPr>
        <w:t xml:space="preserve">在线获取2只港股日线和1只ETF日线（含手动前复权），合并为统一格式；在线获取全部20只股票的</w:t>
      </w:r>
      <w:r>
        <w:t xml:space="preserve"> PE </w:t>
      </w:r>
      <w:r>
        <w:rPr>
          <w:rFonts w:hint="eastAsia"/>
        </w:rPr>
        <w:t xml:space="preserve">和</w:t>
      </w:r>
      <w:r>
        <w:t xml:space="preserve"> ROE。</w:t>
      </w:r>
    </w:p>
    <w:p>
      <w:pPr>
        <w:pStyle w:val="Compact"/>
        <w:numPr>
          <w:ilvl w:val="0"/>
          <w:numId w:val="1014"/>
        </w:numPr>
      </w:pPr>
      <w:r>
        <w:rPr>
          <w:rFonts w:hint="eastAsia"/>
          <w:b/>
          <w:bCs/>
        </w:rPr>
        <w:t xml:space="preserve">清洗与对齐</w:t>
      </w:r>
      <w:r>
        <w:rPr>
          <w:rFonts w:hint="eastAsia"/>
        </w:rPr>
        <w:t xml:space="preserve">：按交易日对齐，处理港股/ETF缺失字段，通过</w:t>
      </w:r>
      <w:r>
        <w:t xml:space="preserve"> </w:t>
      </w:r>
      <w:r>
        <w:rPr>
          <w:rStyle w:val="VerbatimChar"/>
        </w:rPr>
        <w:t xml:space="preserve">last_common_date()</w:t>
      </w:r>
      <w:r>
        <w:t xml:space="preserve"> </w:t>
      </w:r>
      <w:r>
        <w:rPr>
          <w:rFonts w:hint="eastAsia"/>
        </w:rPr>
        <w:t xml:space="preserve">取每月共有交易日，计算每日个股前复权收益率。</w:t>
      </w:r>
    </w:p>
    <w:p>
      <w:pPr>
        <w:pStyle w:val="Compact"/>
        <w:numPr>
          <w:ilvl w:val="0"/>
          <w:numId w:val="1014"/>
        </w:numPr>
      </w:pPr>
      <w:r>
        <w:rPr>
          <w:rFonts w:hint="eastAsia"/>
          <w:b/>
          <w:bCs/>
        </w:rPr>
        <w:t xml:space="preserve">因子计算与选股</w:t>
      </w:r>
      <w:r>
        <w:rPr>
          <w:rFonts w:hint="eastAsia"/>
        </w:rPr>
        <w:t xml:space="preserve">：计算60日动量和120日均线，均线过滤后对</w:t>
      </w:r>
      <w:r>
        <w:t xml:space="preserve"> </w:t>
      </w:r>
      <w:r>
        <w:rPr>
          <w:rFonts w:hint="eastAsia"/>
        </w:rPr>
        <w:t xml:space="preserve">PE/ROE/动量做</w:t>
      </w:r>
      <w:r>
        <w:t xml:space="preserve"> Z-score </w:t>
      </w:r>
      <w:r>
        <w:rPr>
          <w:rFonts w:hint="eastAsia"/>
        </w:rPr>
        <w:t xml:space="preserve">截面标准化，按</w:t>
      </w:r>
      <w:r>
        <w:t xml:space="preserve"> </w:t>
      </w:r>
      <w:r>
        <w:rPr>
          <w:rStyle w:val="VerbatimChar"/>
          <w:rFonts w:hint="eastAsia"/>
        </w:rPr>
        <w:t xml:space="preserve">0.4×动量</w:t>
      </w:r>
      <w:r>
        <w:rPr>
          <w:rStyle w:val="VerbatimChar"/>
        </w:rPr>
        <w:t xml:space="preserve"> + 0.3×ROE + 0.3×(-PE)</w:t>
      </w:r>
      <w:r>
        <w:t xml:space="preserve"> </w:t>
      </w:r>
      <w:r>
        <w:rPr>
          <w:rFonts w:hint="eastAsia"/>
        </w:rPr>
        <w:t xml:space="preserve">综合评分排序，选前5只等权建仓。</w:t>
      </w:r>
    </w:p>
    <w:p>
      <w:pPr>
        <w:pStyle w:val="Compact"/>
        <w:numPr>
          <w:ilvl w:val="0"/>
          <w:numId w:val="1014"/>
        </w:numPr>
      </w:pPr>
      <w:r>
        <w:rPr>
          <w:rFonts w:hint="eastAsia"/>
          <w:b/>
          <w:bCs/>
        </w:rPr>
        <w:t xml:space="preserve">构建组合净值</w:t>
      </w:r>
      <w:r>
        <w:rPr>
          <w:rFonts w:hint="eastAsia"/>
        </w:rPr>
        <w:t xml:space="preserve">：每日按持仓个股收益率加权更新组合净值，若回撤超过15%则全部转现金直至下月调仓日。</w:t>
      </w:r>
    </w:p>
    <w:p>
      <w:pPr>
        <w:pStyle w:val="Compact"/>
        <w:numPr>
          <w:ilvl w:val="0"/>
          <w:numId w:val="1014"/>
        </w:numPr>
      </w:pPr>
      <w:r>
        <w:rPr>
          <w:rFonts w:hint="eastAsia"/>
          <w:b/>
          <w:bCs/>
        </w:rPr>
        <w:t xml:space="preserve">计算风险指标</w:t>
      </w:r>
      <w:r>
        <w:rPr>
          <w:rFonts w:hint="eastAsia"/>
        </w:rPr>
        <w:t xml:space="preserve">：年化收益率、年化波动率、最大回撤、夏普比率、卡玛比率等。</w:t>
      </w:r>
    </w:p>
    <w:p>
      <w:pPr>
        <w:pStyle w:val="Compact"/>
        <w:numPr>
          <w:ilvl w:val="0"/>
          <w:numId w:val="1014"/>
        </w:numPr>
      </w:pPr>
      <w:r>
        <w:rPr>
          <w:rFonts w:hint="eastAsia"/>
          <w:b/>
          <w:bCs/>
        </w:rPr>
        <w:t xml:space="preserve">生成图表</w:t>
      </w:r>
      <w:r>
        <w:rPr>
          <w:rFonts w:hint="eastAsia"/>
        </w:rPr>
        <w:t xml:space="preserve">：净值曲线、回撤曲线、月度收益热力图，并输出绩效统计表。</w:t>
      </w:r>
    </w:p>
    <w:bookmarkEnd w:id="27"/>
    <w:bookmarkEnd w:id="28"/>
    <w:bookmarkStart w:id="40" w:name="第4章-核心结果10只股票组合"/>
    <w:p>
      <w:pPr>
        <w:pStyle w:val="Heading1"/>
      </w:pPr>
      <w:r>
        <w:rPr>
          <w:rFonts w:hint="eastAsia"/>
        </w:rPr>
        <w:t xml:space="preserve">第4章</w:t>
      </w:r>
      <w:r>
        <w:t xml:space="preserve"> </w:t>
      </w:r>
      <w:r>
        <w:rPr>
          <w:rFonts w:hint="eastAsia"/>
        </w:rPr>
        <w:t xml:space="preserve">核心结果（10只股票组合）</w:t>
      </w:r>
    </w:p>
    <w:bookmarkStart w:id="29" w:name="执行摘要"/>
    <w:p>
      <w:pPr>
        <w:pStyle w:val="Heading2"/>
      </w:pPr>
      <w:r>
        <w:t xml:space="preserve">4.1 </w:t>
      </w:r>
      <w:r>
        <w:rPr>
          <w:rFonts w:hint="eastAsia"/>
        </w:rPr>
        <w:t xml:space="preserve">执行摘要</w:t>
      </w:r>
    </w:p>
    <w:p>
      <w:pPr>
        <w:pStyle w:val="Compact"/>
        <w:numPr>
          <w:ilvl w:val="0"/>
          <w:numId w:val="1015"/>
        </w:numPr>
      </w:pPr>
      <w:r>
        <w:rPr>
          <w:rFonts w:hint="eastAsia"/>
          <w:b/>
          <w:bCs/>
        </w:rPr>
        <w:t xml:space="preserve">组合总收益率</w:t>
      </w:r>
      <w:r>
        <w:rPr>
          <w:rFonts w:hint="eastAsia"/>
        </w:rPr>
        <w:t xml:space="preserve">：</w:t>
      </w:r>
      <w:r>
        <w:rPr>
          <w:b/>
          <w:bCs/>
        </w:rPr>
        <w:t xml:space="preserve">+210.8%</w:t>
      </w:r>
      <w:r>
        <w:rPr>
          <w:rFonts w:hint="eastAsia"/>
        </w:rPr>
        <w:t xml:space="preserve">（年化约</w:t>
      </w:r>
      <w:r>
        <w:t xml:space="preserve"> </w:t>
      </w:r>
      <w:r>
        <w:rPr>
          <w:rFonts w:hint="eastAsia"/>
        </w:rPr>
        <w:t xml:space="preserve">123.2%）</w:t>
      </w:r>
    </w:p>
    <w:p>
      <w:pPr>
        <w:pStyle w:val="Compact"/>
        <w:numPr>
          <w:ilvl w:val="0"/>
          <w:numId w:val="1015"/>
        </w:numPr>
      </w:pPr>
      <w:r>
        <w:rPr>
          <w:rFonts w:hint="eastAsia"/>
          <w:b/>
          <w:bCs/>
        </w:rPr>
        <w:t xml:space="preserve">超额收益（vs</w:t>
      </w:r>
      <w:r>
        <w:rPr>
          <w:b/>
          <w:bCs/>
        </w:rPr>
        <w:t xml:space="preserve"> </w:t>
      </w:r>
      <w:r>
        <w:rPr>
          <w:rFonts w:hint="eastAsia"/>
          <w:b/>
          <w:bCs/>
        </w:rPr>
        <w:t xml:space="preserve">沪深300）</w:t>
      </w:r>
      <w:r>
        <w:rPr>
          <w:rFonts w:hint="eastAsia"/>
        </w:rPr>
        <w:t xml:space="preserve">：</w:t>
      </w:r>
      <w:r>
        <w:rPr>
          <w:b/>
          <w:bCs/>
        </w:rPr>
        <w:t xml:space="preserve">+186.7%</w:t>
      </w:r>
    </w:p>
    <w:p>
      <w:pPr>
        <w:pStyle w:val="Compact"/>
        <w:numPr>
          <w:ilvl w:val="0"/>
          <w:numId w:val="1015"/>
        </w:numPr>
      </w:pPr>
      <w:r>
        <w:rPr>
          <w:rFonts w:hint="eastAsia"/>
          <w:b/>
          <w:bCs/>
        </w:rPr>
        <w:t xml:space="preserve">最大回撤</w:t>
      </w:r>
      <w:r>
        <w:rPr>
          <w:rFonts w:hint="eastAsia"/>
        </w:rPr>
        <w:t xml:space="preserve">：</w:t>
      </w:r>
      <w:r>
        <w:rPr>
          <w:b/>
          <w:bCs/>
        </w:rPr>
        <w:t xml:space="preserve">-14.7%</w:t>
      </w:r>
      <w:r>
        <w:rPr>
          <w:rFonts w:hint="eastAsia"/>
        </w:rPr>
        <w:t xml:space="preserve">（发生在</w:t>
      </w:r>
      <w:r>
        <w:t xml:space="preserve"> 2025-12 </w:t>
      </w:r>
      <w:r>
        <w:rPr>
          <w:rFonts w:hint="eastAsia"/>
        </w:rPr>
        <w:t xml:space="preserve">附近）</w:t>
      </w:r>
    </w:p>
    <w:p>
      <w:pPr>
        <w:pStyle w:val="Compact"/>
        <w:numPr>
          <w:ilvl w:val="0"/>
          <w:numId w:val="1015"/>
        </w:numPr>
      </w:pPr>
      <w:r>
        <w:rPr>
          <w:rFonts w:hint="eastAsia"/>
          <w:b/>
          <w:bCs/>
        </w:rPr>
        <w:t xml:space="preserve">夏普比率</w:t>
      </w:r>
      <w:r>
        <w:rPr>
          <w:rFonts w:hint="eastAsia"/>
        </w:rPr>
        <w:t xml:space="preserve">：</w:t>
      </w:r>
      <w:r>
        <w:rPr>
          <w:b/>
          <w:bCs/>
        </w:rPr>
        <w:t xml:space="preserve">2.32</w:t>
      </w:r>
      <w:r>
        <w:rPr>
          <w:rFonts w:hint="eastAsia"/>
        </w:rPr>
        <w:t xml:space="preserve">（高于基准的</w:t>
      </w:r>
      <w:r>
        <w:t xml:space="preserve"> </w:t>
      </w:r>
      <w:r>
        <w:rPr>
          <w:rFonts w:hint="eastAsia"/>
        </w:rPr>
        <w:t xml:space="preserve">0.87）</w:t>
      </w:r>
    </w:p>
    <w:p>
      <w:pPr>
        <w:pStyle w:val="FirstParagraph"/>
      </w:pPr>
      <w:r>
        <w:rPr>
          <w:rFonts w:hint="eastAsia"/>
          <w:b/>
          <w:bCs/>
        </w:rPr>
        <w:t xml:space="preserve">核心结论</w:t>
      </w:r>
      <w:r>
        <w:rPr>
          <w:rFonts w:hint="eastAsia"/>
        </w:rPr>
        <w:t xml:space="preserve">：VQM三因子策略在考察期内大幅跑赢沪深300，年化超额收益超100个百分点，且回撤控制在预设目标（15%）以内，收益风险比优秀。</w:t>
      </w:r>
    </w:p>
    <w:p>
      <w:pPr>
        <w:pStyle w:val="BodyText"/>
      </w:pPr>
      <w:r>
        <w:rPr>
          <w:rFonts w:hint="eastAsia"/>
          <w:b/>
          <w:bCs/>
        </w:rPr>
        <w:t xml:space="preserve">成功标准检查</w:t>
      </w:r>
      <w:r>
        <w:rPr>
          <w:rFonts w:hint="eastAsia"/>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标准</w:t>
            </w:r>
          </w:p>
        </w:tc>
        <w:tc>
          <w:tcPr/>
          <w:p>
            <w:pPr>
              <w:pStyle w:val="Compact"/>
              <w:jc w:val="left"/>
            </w:pPr>
            <w:r>
              <w:rPr>
                <w:rFonts w:hint="eastAsia"/>
              </w:rPr>
              <w:t xml:space="preserve">目标</w:t>
            </w:r>
          </w:p>
        </w:tc>
        <w:tc>
          <w:tcPr/>
          <w:p>
            <w:pPr>
              <w:pStyle w:val="Compact"/>
              <w:jc w:val="left"/>
            </w:pPr>
            <w:r>
              <w:rPr>
                <w:rFonts w:hint="eastAsia"/>
              </w:rPr>
              <w:t xml:space="preserve">实际</w:t>
            </w:r>
          </w:p>
        </w:tc>
        <w:tc>
          <w:tcPr/>
          <w:p>
            <w:pPr>
              <w:pStyle w:val="Compact"/>
              <w:jc w:val="center"/>
            </w:pPr>
            <w:r>
              <w:rPr>
                <w:rFonts w:hint="eastAsia"/>
              </w:rPr>
              <w:t xml:space="preserve">结果</w:t>
            </w:r>
          </w:p>
        </w:tc>
      </w:tr>
      <w:tr>
        <w:tc>
          <w:tcPr/>
          <w:p>
            <w:pPr>
              <w:pStyle w:val="Compact"/>
              <w:jc w:val="left"/>
            </w:pPr>
            <w:r>
              <w:rPr>
                <w:rFonts w:hint="eastAsia"/>
              </w:rPr>
              <w:t xml:space="preserve">区间累计收益率</w:t>
            </w:r>
            <w:r>
              <w:t xml:space="preserve"> ≥ 0</w:t>
            </w:r>
          </w:p>
        </w:tc>
        <w:tc>
          <w:tcPr/>
          <w:p>
            <w:pPr>
              <w:pStyle w:val="Compact"/>
              <w:jc w:val="left"/>
            </w:pPr>
            <w:r>
              <w:t xml:space="preserve">≥ 0%</w:t>
            </w:r>
          </w:p>
        </w:tc>
        <w:tc>
          <w:tcPr/>
          <w:p>
            <w:pPr>
              <w:pStyle w:val="Compact"/>
              <w:jc w:val="left"/>
            </w:pPr>
            <w:r>
              <w:t xml:space="preserve">210.8%</w:t>
            </w:r>
          </w:p>
        </w:tc>
        <w:tc>
          <w:tcPr/>
          <w:p>
            <w:pPr>
              <w:pStyle w:val="Compact"/>
              <w:jc w:val="center"/>
            </w:pPr>
            <w:r>
              <w:t xml:space="preserve">✓ </w:t>
            </w:r>
            <w:r>
              <w:rPr>
                <w:rFonts w:hint="eastAsia"/>
              </w:rPr>
              <w:t xml:space="preserve">通过</w:t>
            </w:r>
          </w:p>
        </w:tc>
      </w:tr>
      <w:tr>
        <w:tc>
          <w:tcPr/>
          <w:p>
            <w:pPr>
              <w:pStyle w:val="Compact"/>
              <w:jc w:val="left"/>
            </w:pPr>
            <w:r>
              <w:rPr>
                <w:rFonts w:hint="eastAsia"/>
              </w:rPr>
              <w:t xml:space="preserve">超额收益率</w:t>
            </w:r>
            <w:r>
              <w:t xml:space="preserve"> ≥ 0</w:t>
            </w:r>
          </w:p>
        </w:tc>
        <w:tc>
          <w:tcPr/>
          <w:p>
            <w:pPr>
              <w:pStyle w:val="Compact"/>
              <w:jc w:val="left"/>
            </w:pPr>
            <w:r>
              <w:t xml:space="preserve">≥ 0%</w:t>
            </w:r>
          </w:p>
        </w:tc>
        <w:tc>
          <w:tcPr/>
          <w:p>
            <w:pPr>
              <w:pStyle w:val="Compact"/>
              <w:jc w:val="left"/>
            </w:pPr>
            <w:r>
              <w:t xml:space="preserve">+186.7%</w:t>
            </w:r>
          </w:p>
        </w:tc>
        <w:tc>
          <w:tcPr/>
          <w:p>
            <w:pPr>
              <w:pStyle w:val="Compact"/>
              <w:jc w:val="center"/>
            </w:pPr>
            <w:r>
              <w:t xml:space="preserve">✓ </w:t>
            </w:r>
            <w:r>
              <w:rPr>
                <w:rFonts w:hint="eastAsia"/>
              </w:rPr>
              <w:t xml:space="preserve">通过</w:t>
            </w:r>
          </w:p>
        </w:tc>
      </w:tr>
      <w:tr>
        <w:tc>
          <w:tcPr/>
          <w:p>
            <w:pPr>
              <w:pStyle w:val="Compact"/>
              <w:jc w:val="left"/>
            </w:pPr>
            <w:r>
              <w:rPr>
                <w:rFonts w:hint="eastAsia"/>
              </w:rPr>
              <w:t xml:space="preserve">最大回撤</w:t>
            </w:r>
            <w:r>
              <w:t xml:space="preserve"> ≤ 15%</w:t>
            </w:r>
          </w:p>
        </w:tc>
        <w:tc>
          <w:tcPr/>
          <w:p>
            <w:pPr>
              <w:pStyle w:val="Compact"/>
              <w:jc w:val="left"/>
            </w:pPr>
            <w:r>
              <w:t xml:space="preserve">≤ 15%</w:t>
            </w:r>
          </w:p>
        </w:tc>
        <w:tc>
          <w:tcPr/>
          <w:p>
            <w:pPr>
              <w:pStyle w:val="Compact"/>
              <w:jc w:val="left"/>
            </w:pPr>
            <w:r>
              <w:t xml:space="preserve">-14.7%</w:t>
            </w:r>
          </w:p>
        </w:tc>
        <w:tc>
          <w:tcPr/>
          <w:p>
            <w:pPr>
              <w:pStyle w:val="Compact"/>
              <w:jc w:val="center"/>
            </w:pPr>
            <w:r>
              <w:t xml:space="preserve">✓ </w:t>
            </w:r>
            <w:r>
              <w:rPr>
                <w:rFonts w:hint="eastAsia"/>
              </w:rPr>
              <w:t xml:space="preserve">通过</w:t>
            </w:r>
          </w:p>
        </w:tc>
      </w:tr>
    </w:tbl>
    <w:p>
      <w:pPr>
        <w:pStyle w:val="BodyText"/>
      </w:pPr>
      <w:r>
        <w:rPr>
          <w:rFonts w:hint="eastAsia"/>
        </w:rPr>
        <w:t xml:space="preserve">三项成功标准全部通过。</w:t>
      </w:r>
    </w:p>
    <w:bookmarkEnd w:id="29"/>
    <w:bookmarkStart w:id="30" w:name="绩效总表"/>
    <w:p>
      <w:pPr>
        <w:pStyle w:val="Heading2"/>
      </w:pPr>
      <w:r>
        <w:t xml:space="preserve">4.2 </w:t>
      </w:r>
      <w:r>
        <w:rPr>
          <w:rFonts w:hint="eastAsia"/>
        </w:rPr>
        <w:t xml:space="preserve">绩效总表</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指标</w:t>
            </w:r>
          </w:p>
        </w:tc>
        <w:tc>
          <w:tcPr/>
          <w:p>
            <w:pPr>
              <w:pStyle w:val="Compact"/>
              <w:jc w:val="right"/>
            </w:pPr>
            <w:r>
              <w:rPr>
                <w:rFonts w:hint="eastAsia"/>
              </w:rPr>
              <w:t xml:space="preserve">VQM策略</w:t>
            </w:r>
          </w:p>
        </w:tc>
        <w:tc>
          <w:tcPr/>
          <w:p>
            <w:pPr>
              <w:pStyle w:val="Compact"/>
              <w:jc w:val="right"/>
            </w:pPr>
            <w:r>
              <w:rPr>
                <w:rFonts w:hint="eastAsia"/>
              </w:rPr>
              <w:t xml:space="preserve">沪深300</w:t>
            </w:r>
          </w:p>
        </w:tc>
        <w:tc>
          <w:tcPr/>
          <w:p>
            <w:pPr>
              <w:pStyle w:val="Compact"/>
              <w:jc w:val="right"/>
            </w:pPr>
            <w:r>
              <w:rPr>
                <w:rFonts w:hint="eastAsia"/>
              </w:rPr>
              <w:t xml:space="preserve">差额</w:t>
            </w:r>
          </w:p>
        </w:tc>
      </w:tr>
      <w:tr>
        <w:tc>
          <w:tcPr/>
          <w:p>
            <w:pPr>
              <w:pStyle w:val="Compact"/>
              <w:jc w:val="left"/>
            </w:pPr>
            <w:r>
              <w:rPr>
                <w:rFonts w:hint="eastAsia"/>
              </w:rPr>
              <w:t xml:space="preserve">总收益率</w:t>
            </w:r>
          </w:p>
        </w:tc>
        <w:tc>
          <w:tcPr/>
          <w:p>
            <w:pPr>
              <w:pStyle w:val="Compact"/>
              <w:jc w:val="right"/>
            </w:pPr>
            <w:r>
              <w:t xml:space="preserve">210.8%</w:t>
            </w:r>
          </w:p>
        </w:tc>
        <w:tc>
          <w:tcPr/>
          <w:p>
            <w:pPr>
              <w:pStyle w:val="Compact"/>
              <w:jc w:val="right"/>
            </w:pPr>
            <w:r>
              <w:t xml:space="preserve">24.2%</w:t>
            </w:r>
          </w:p>
        </w:tc>
        <w:tc>
          <w:tcPr/>
          <w:p>
            <w:pPr>
              <w:pStyle w:val="Compact"/>
              <w:jc w:val="right"/>
            </w:pPr>
            <w:r>
              <w:t xml:space="preserve">+186.7%</w:t>
            </w:r>
          </w:p>
        </w:tc>
      </w:tr>
      <w:tr>
        <w:tc>
          <w:tcPr/>
          <w:p>
            <w:pPr>
              <w:pStyle w:val="Compact"/>
              <w:jc w:val="left"/>
            </w:pPr>
            <w:r>
              <w:rPr>
                <w:rFonts w:hint="eastAsia"/>
              </w:rPr>
              <w:t xml:space="preserve">年化收益率</w:t>
            </w:r>
          </w:p>
        </w:tc>
        <w:tc>
          <w:tcPr/>
          <w:p>
            <w:pPr>
              <w:pStyle w:val="Compact"/>
              <w:jc w:val="right"/>
            </w:pPr>
            <w:r>
              <w:t xml:space="preserve">123.2%</w:t>
            </w:r>
          </w:p>
        </w:tc>
        <w:tc>
          <w:tcPr/>
          <w:p>
            <w:pPr>
              <w:pStyle w:val="Compact"/>
              <w:jc w:val="right"/>
            </w:pPr>
            <w:r>
              <w:t xml:space="preserve">16.6%</w:t>
            </w:r>
          </w:p>
        </w:tc>
        <w:tc>
          <w:tcPr/>
          <w:p>
            <w:pPr>
              <w:pStyle w:val="Compact"/>
              <w:jc w:val="right"/>
            </w:pPr>
            <w:r>
              <w:t xml:space="preserve">+106.6%</w:t>
            </w:r>
          </w:p>
        </w:tc>
      </w:tr>
      <w:tr>
        <w:tc>
          <w:tcPr/>
          <w:p>
            <w:pPr>
              <w:pStyle w:val="Compact"/>
              <w:jc w:val="left"/>
            </w:pPr>
            <w:r>
              <w:rPr>
                <w:rFonts w:hint="eastAsia"/>
              </w:rPr>
              <w:t xml:space="preserve">年化波动率</w:t>
            </w:r>
          </w:p>
        </w:tc>
        <w:tc>
          <w:tcPr/>
          <w:p>
            <w:pPr>
              <w:pStyle w:val="Compact"/>
              <w:jc w:val="right"/>
            </w:pPr>
            <w:r>
              <w:t xml:space="preserve">36.6%</w:t>
            </w:r>
          </w:p>
        </w:tc>
        <w:tc>
          <w:tcPr/>
          <w:p>
            <w:pPr>
              <w:pStyle w:val="Compact"/>
              <w:jc w:val="right"/>
            </w:pPr>
            <w:r>
              <w:t xml:space="preserve">17.0%</w:t>
            </w:r>
          </w:p>
        </w:tc>
        <w:tc>
          <w:tcPr/>
          <w:p>
            <w:pPr>
              <w:pStyle w:val="Compact"/>
              <w:jc w:val="right"/>
            </w:pPr>
            <w:r>
              <w:t xml:space="preserve">+19.6%</w:t>
            </w:r>
          </w:p>
        </w:tc>
      </w:tr>
      <w:tr>
        <w:tc>
          <w:tcPr/>
          <w:p>
            <w:pPr>
              <w:pStyle w:val="Compact"/>
              <w:jc w:val="left"/>
            </w:pPr>
            <w:r>
              <w:rPr>
                <w:rFonts w:hint="eastAsia"/>
              </w:rPr>
              <w:t xml:space="preserve">最大回撤</w:t>
            </w:r>
          </w:p>
        </w:tc>
        <w:tc>
          <w:tcPr/>
          <w:p>
            <w:pPr>
              <w:pStyle w:val="Compact"/>
              <w:jc w:val="right"/>
            </w:pPr>
            <w:r>
              <w:t xml:space="preserve">-14.7%</w:t>
            </w:r>
          </w:p>
        </w:tc>
        <w:tc>
          <w:tcPr/>
          <w:p>
            <w:pPr>
              <w:pStyle w:val="Compact"/>
              <w:jc w:val="right"/>
            </w:pPr>
            <w:r>
              <w:t xml:space="preserve">-10.5%</w:t>
            </w:r>
          </w:p>
        </w:tc>
        <w:tc>
          <w:tcPr/>
          <w:p>
            <w:pPr>
              <w:pStyle w:val="Compact"/>
              <w:jc w:val="right"/>
            </w:pPr>
            <w:r>
              <w:t xml:space="preserve">-4.2%</w:t>
            </w:r>
          </w:p>
        </w:tc>
      </w:tr>
      <w:tr>
        <w:tc>
          <w:tcPr/>
          <w:p>
            <w:pPr>
              <w:pStyle w:val="Compact"/>
              <w:jc w:val="left"/>
            </w:pPr>
            <w:r>
              <w:rPr>
                <w:rFonts w:hint="eastAsia"/>
              </w:rPr>
              <w:t xml:space="preserve">夏普比率</w:t>
            </w:r>
          </w:p>
        </w:tc>
        <w:tc>
          <w:tcPr/>
          <w:p>
            <w:pPr>
              <w:pStyle w:val="Compact"/>
              <w:jc w:val="right"/>
            </w:pPr>
            <w:r>
              <w:t xml:space="preserve">2.32</w:t>
            </w:r>
          </w:p>
        </w:tc>
        <w:tc>
          <w:tcPr/>
          <w:p>
            <w:pPr>
              <w:pStyle w:val="Compact"/>
              <w:jc w:val="right"/>
            </w:pPr>
            <w:r>
              <w:t xml:space="preserve">0.87</w:t>
            </w:r>
          </w:p>
        </w:tc>
        <w:tc>
          <w:tcPr/>
          <w:p>
            <w:pPr>
              <w:pStyle w:val="Compact"/>
              <w:jc w:val="right"/>
            </w:pPr>
            <w:r>
              <w:t xml:space="preserve">+1.45</w:t>
            </w:r>
          </w:p>
        </w:tc>
      </w:tr>
      <w:tr>
        <w:tc>
          <w:tcPr/>
          <w:p>
            <w:pPr>
              <w:pStyle w:val="Compact"/>
              <w:jc w:val="left"/>
            </w:pPr>
            <w:r>
              <w:rPr>
                <w:rFonts w:hint="eastAsia"/>
              </w:rPr>
              <w:t xml:space="preserve">卡玛比率</w:t>
            </w:r>
          </w:p>
        </w:tc>
        <w:tc>
          <w:tcPr/>
          <w:p>
            <w:pPr>
              <w:pStyle w:val="Compact"/>
              <w:jc w:val="right"/>
            </w:pPr>
            <w:r>
              <w:t xml:space="preserve">8.37</w:t>
            </w:r>
          </w:p>
        </w:tc>
        <w:tc>
          <w:tcPr/>
          <w:p>
            <w:pPr>
              <w:pStyle w:val="Compact"/>
              <w:jc w:val="right"/>
            </w:pPr>
            <w:r>
              <w:t xml:space="preserve">1.58</w:t>
            </w:r>
          </w:p>
        </w:tc>
        <w:tc>
          <w:tcPr/>
          <w:p>
            <w:pPr>
              <w:pStyle w:val="Compact"/>
              <w:jc w:val="right"/>
            </w:pPr>
            <w:r>
              <w:t xml:space="preserve">+6.79</w:t>
            </w:r>
          </w:p>
        </w:tc>
      </w:tr>
    </w:tbl>
    <w:bookmarkEnd w:id="30"/>
    <w:bookmarkStart w:id="39" w:name="必做三图"/>
    <w:p>
      <w:pPr>
        <w:pStyle w:val="Heading2"/>
      </w:pPr>
      <w:r>
        <w:t xml:space="preserve">4.3 </w:t>
      </w:r>
      <w:r>
        <w:rPr>
          <w:rFonts w:hint="eastAsia"/>
        </w:rPr>
        <w:t xml:space="preserve">必做三图</w:t>
      </w:r>
    </w:p>
    <w:bookmarkStart w:id="34" w:name="图1净值曲线与动态回撤"/>
    <w:p>
      <w:pPr>
        <w:pStyle w:val="Heading3"/>
      </w:pPr>
      <w:r>
        <w:rPr>
          <w:rFonts w:hint="eastAsia"/>
        </w:rPr>
        <w:t xml:space="preserve">图1：净值曲线与动态回撤</w:t>
      </w:r>
    </w:p>
    <w:p>
      <w:pPr>
        <w:pStyle w:val="CaptionedFigure"/>
      </w:pPr>
      <w:r>
        <w:drawing>
          <wp:inline>
            <wp:extent cx="5334000" cy="4599608"/>
            <wp:effectExtent b="0" l="0" r="0" t="0"/>
            <wp:docPr descr="图1：净值曲线与动态回撤" title="" id="32" name="Picture"/>
            <a:graphic>
              <a:graphicData uri="http://schemas.openxmlformats.org/drawingml/2006/picture">
                <pic:pic>
                  <pic:nvPicPr>
                    <pic:cNvPr descr="fig_nav_drawdown_combined.png" id="33" name="Picture"/>
                    <pic:cNvPicPr>
                      <a:picLocks noChangeArrowheads="1" noChangeAspect="1"/>
                    </pic:cNvPicPr>
                  </pic:nvPicPr>
                  <pic:blipFill>
                    <a:blip r:embed="rId31"/>
                    <a:stretch>
                      <a:fillRect/>
                    </a:stretch>
                  </pic:blipFill>
                  <pic:spPr bwMode="auto">
                    <a:xfrm>
                      <a:off x="0" y="0"/>
                      <a:ext cx="5334000" cy="4599608"/>
                    </a:xfrm>
                    <a:prstGeom prst="rect">
                      <a:avLst/>
                    </a:prstGeom>
                    <a:noFill/>
                    <a:ln w="9525">
                      <a:noFill/>
                      <a:headEnd/>
                      <a:tailEnd/>
                    </a:ln>
                  </pic:spPr>
                </pic:pic>
              </a:graphicData>
            </a:graphic>
          </wp:inline>
        </w:drawing>
      </w:r>
    </w:p>
    <w:p>
      <w:pPr>
        <w:pStyle w:val="ImageCaption"/>
      </w:pPr>
      <w:r>
        <w:rPr>
          <w:rFonts w:hint="eastAsia"/>
        </w:rPr>
        <w:t xml:space="preserve">图1：净值曲线与动态回撤</w:t>
      </w:r>
    </w:p>
    <w:p>
      <w:pPr>
        <w:pStyle w:val="BodyText"/>
      </w:pPr>
      <w:r>
        <w:rPr>
          <w:rFonts w:hint="eastAsia"/>
          <w:b/>
          <w:bCs/>
        </w:rPr>
        <w:t xml:space="preserve">现象</w:t>
      </w:r>
      <w:r>
        <w:rPr>
          <w:rFonts w:hint="eastAsia"/>
        </w:rPr>
        <w:t xml:space="preserve">：净值曲线方面，三条曲线</w:t>
      </w:r>
      <w:r>
        <w:t xml:space="preserve"> 2025 </w:t>
      </w:r>
      <w:r>
        <w:rPr>
          <w:rFonts w:hint="eastAsia"/>
        </w:rPr>
        <w:t xml:space="preserve">年上半年走势接近，2025</w:t>
      </w:r>
      <w:r>
        <w:t xml:space="preserve"> </w:t>
      </w:r>
      <w:r>
        <w:rPr>
          <w:rFonts w:hint="eastAsia"/>
        </w:rPr>
        <w:t xml:space="preserve">年</w:t>
      </w:r>
      <w:r>
        <w:t xml:space="preserve"> 7 </w:t>
      </w:r>
      <w:r>
        <w:rPr>
          <w:rFonts w:hint="eastAsia"/>
        </w:rPr>
        <w:t xml:space="preserve">月起</w:t>
      </w:r>
      <w:r>
        <w:t xml:space="preserve"> VQM </w:t>
      </w:r>
      <w:r>
        <w:rPr>
          <w:rFonts w:hint="eastAsia"/>
        </w:rPr>
        <w:t xml:space="preserve">策略净值加速上扬，2025</w:t>
      </w:r>
      <w:r>
        <w:t xml:space="preserve"> </w:t>
      </w:r>
      <w:r>
        <w:rPr>
          <w:rFonts w:hint="eastAsia"/>
        </w:rPr>
        <w:t xml:space="preserve">年</w:t>
      </w:r>
      <w:r>
        <w:t xml:space="preserve"> 9 </w:t>
      </w:r>
      <w:r>
        <w:rPr>
          <w:rFonts w:hint="eastAsia"/>
        </w:rPr>
        <w:t xml:space="preserve">月出现陡峭拉升。无回撤控制版本峰值约</w:t>
      </w:r>
      <w:r>
        <w:t xml:space="preserve"> 4.9 </w:t>
      </w:r>
      <w:r>
        <w:rPr>
          <w:rFonts w:hint="eastAsia"/>
        </w:rPr>
        <w:t xml:space="preserve">倍但随后大幅回落至</w:t>
      </w:r>
      <w:r>
        <w:t xml:space="preserve"> 2.7 </w:t>
      </w:r>
      <w:r>
        <w:rPr>
          <w:rFonts w:hint="eastAsia"/>
        </w:rPr>
        <w:t xml:space="preserve">倍，15%</w:t>
      </w:r>
      <w:r>
        <w:t xml:space="preserve"> </w:t>
      </w:r>
      <w:r>
        <w:rPr>
          <w:rFonts w:hint="eastAsia"/>
        </w:rPr>
        <w:t xml:space="preserve">回撤控制版本峰值约</w:t>
      </w:r>
      <w:r>
        <w:t xml:space="preserve"> 3.4 </w:t>
      </w:r>
      <w:r>
        <w:rPr>
          <w:rFonts w:hint="eastAsia"/>
        </w:rPr>
        <w:t xml:space="preserve">倍、最终净值约</w:t>
      </w:r>
      <w:r>
        <w:t xml:space="preserve"> 3.1 </w:t>
      </w:r>
      <w:r>
        <w:rPr>
          <w:rFonts w:hint="eastAsia"/>
        </w:rPr>
        <w:t xml:space="preserve">倍，沪深</w:t>
      </w:r>
      <w:r>
        <w:t xml:space="preserve"> 300 </w:t>
      </w:r>
      <w:r>
        <w:rPr>
          <w:rFonts w:hint="eastAsia"/>
        </w:rPr>
        <w:t xml:space="preserve">仅约</w:t>
      </w:r>
      <w:r>
        <w:t xml:space="preserve"> 1.2 </w:t>
      </w:r>
      <w:r>
        <w:rPr>
          <w:rFonts w:hint="eastAsia"/>
        </w:rPr>
        <w:t xml:space="preserve">倍。持仓状态方面，2024</w:t>
      </w:r>
      <w:r>
        <w:t xml:space="preserve"> </w:t>
      </w:r>
      <w:r>
        <w:rPr>
          <w:rFonts w:hint="eastAsia"/>
        </w:rPr>
        <w:t xml:space="preserve">年</w:t>
      </w:r>
      <w:r>
        <w:t xml:space="preserve"> 7 </w:t>
      </w:r>
      <w:r>
        <w:rPr>
          <w:rFonts w:hint="eastAsia"/>
        </w:rPr>
        <w:t xml:space="preserve">月至</w:t>
      </w:r>
      <w:r>
        <w:t xml:space="preserve"> 2025 </w:t>
      </w:r>
      <w:r>
        <w:rPr>
          <w:rFonts w:hint="eastAsia"/>
        </w:rPr>
        <w:t xml:space="preserve">年</w:t>
      </w:r>
      <w:r>
        <w:t xml:space="preserve"> 1 </w:t>
      </w:r>
      <w:r>
        <w:rPr>
          <w:rFonts w:hint="eastAsia"/>
        </w:rPr>
        <w:t xml:space="preserve">月为指标预热期（灰色），策略运行期间有</w:t>
      </w:r>
      <w:r>
        <w:t xml:space="preserve"> 6 </w:t>
      </w:r>
      <w:r>
        <w:rPr>
          <w:rFonts w:hint="eastAsia"/>
        </w:rPr>
        <w:t xml:space="preserve">段空仓（累计</w:t>
      </w:r>
      <w:r>
        <w:t xml:space="preserve"> 119 </w:t>
      </w:r>
      <w:r>
        <w:rPr>
          <w:rFonts w:hint="eastAsia"/>
        </w:rPr>
        <w:t xml:space="preserve">个交易日，占策略期</w:t>
      </w:r>
      <w:r>
        <w:t xml:space="preserve"> </w:t>
      </w:r>
      <w:r>
        <w:rPr>
          <w:rFonts w:hint="eastAsia"/>
        </w:rPr>
        <w:t xml:space="preserve">32%），最长一段为</w:t>
      </w:r>
      <w:r>
        <w:t xml:space="preserve"> 2026 </w:t>
      </w:r>
      <w:r>
        <w:rPr>
          <w:rFonts w:hint="eastAsia"/>
        </w:rPr>
        <w:t xml:space="preserve">年</w:t>
      </w:r>
      <w:r>
        <w:t xml:space="preserve"> 3-4 </w:t>
      </w:r>
      <w:r>
        <w:rPr>
          <w:rFonts w:hint="eastAsia"/>
        </w:rPr>
        <w:t xml:space="preserve">月（42</w:t>
      </w:r>
      <w:r>
        <w:t xml:space="preserve"> </w:t>
      </w:r>
      <w:r>
        <w:rPr>
          <w:rFonts w:hint="eastAsia"/>
        </w:rPr>
        <w:t xml:space="preserve">个交易日）。回撤方面，无回撤控制版本最大回撤达</w:t>
      </w:r>
      <w:r>
        <w:t xml:space="preserve"> </w:t>
      </w:r>
      <w:r>
        <w:rPr>
          <w:rFonts w:hint="eastAsia"/>
        </w:rPr>
        <w:t xml:space="preserve">-48.4%（2026</w:t>
      </w:r>
      <w:r>
        <w:t xml:space="preserve"> </w:t>
      </w:r>
      <w:r>
        <w:rPr>
          <w:rFonts w:hint="eastAsia"/>
        </w:rPr>
        <w:t xml:space="preserve">年</w:t>
      </w:r>
      <w:r>
        <w:t xml:space="preserve"> 7 </w:t>
      </w:r>
      <w:r>
        <w:rPr>
          <w:rFonts w:hint="eastAsia"/>
        </w:rPr>
        <w:t xml:space="preserve">月），15%</w:t>
      </w:r>
      <w:r>
        <w:t xml:space="preserve"> </w:t>
      </w:r>
      <w:r>
        <w:rPr>
          <w:rFonts w:hint="eastAsia"/>
        </w:rPr>
        <w:t xml:space="preserve">回撤控制版本最大回撤</w:t>
      </w:r>
      <w:r>
        <w:t xml:space="preserve"> </w:t>
      </w:r>
      <w:r>
        <w:rPr>
          <w:rFonts w:hint="eastAsia"/>
        </w:rPr>
        <w:t xml:space="preserve">-14.72%（2025</w:t>
      </w:r>
      <w:r>
        <w:t xml:space="preserve"> </w:t>
      </w:r>
      <w:r>
        <w:rPr>
          <w:rFonts w:hint="eastAsia"/>
        </w:rPr>
        <w:t xml:space="preserve">年</w:t>
      </w:r>
      <w:r>
        <w:t xml:space="preserve"> 12 </w:t>
      </w:r>
      <w:r>
        <w:rPr>
          <w:rFonts w:hint="eastAsia"/>
        </w:rPr>
        <w:t xml:space="preserve">月</w:t>
      </w:r>
      <w:r>
        <w:t xml:space="preserve"> 5 </w:t>
      </w:r>
      <w:r>
        <w:rPr>
          <w:rFonts w:hint="eastAsia"/>
        </w:rPr>
        <w:t xml:space="preserve">日），沪深</w:t>
      </w:r>
      <w:r>
        <w:t xml:space="preserve"> 300 </w:t>
      </w:r>
      <w:r>
        <w:rPr>
          <w:rFonts w:hint="eastAsia"/>
        </w:rPr>
        <w:t xml:space="preserve">最大回撤</w:t>
      </w:r>
      <w:r>
        <w:t xml:space="preserve"> </w:t>
      </w:r>
      <w:r>
        <w:rPr>
          <w:rFonts w:hint="eastAsia"/>
        </w:rPr>
        <w:t xml:space="preserve">-10.49%（2025</w:t>
      </w:r>
      <w:r>
        <w:t xml:space="preserve"> </w:t>
      </w:r>
      <w:r>
        <w:rPr>
          <w:rFonts w:hint="eastAsia"/>
        </w:rPr>
        <w:t xml:space="preserve">年</w:t>
      </w:r>
      <w:r>
        <w:t xml:space="preserve"> 4 </w:t>
      </w:r>
      <w:r>
        <w:rPr>
          <w:rFonts w:hint="eastAsia"/>
        </w:rPr>
        <w:t xml:space="preserve">月</w:t>
      </w:r>
      <w:r>
        <w:t xml:space="preserve"> 7 </w:t>
      </w:r>
      <w:r>
        <w:rPr>
          <w:rFonts w:hint="eastAsia"/>
        </w:rPr>
        <w:t xml:space="preserve">日）。</w:t>
      </w:r>
    </w:p>
    <w:p>
      <w:pPr>
        <w:pStyle w:val="BodyText"/>
      </w:pPr>
      <w:r>
        <w:rPr>
          <w:rFonts w:hint="eastAsia"/>
          <w:b/>
          <w:bCs/>
        </w:rPr>
        <w:t xml:space="preserve">解释</w:t>
      </w:r>
      <w:r>
        <w:rPr>
          <w:rFonts w:hint="eastAsia"/>
        </w:rPr>
        <w:t xml:space="preserve">：2025</w:t>
      </w:r>
      <w:r>
        <w:t xml:space="preserve"> </w:t>
      </w:r>
      <w:r>
        <w:rPr>
          <w:rFonts w:hint="eastAsia"/>
        </w:rPr>
        <w:t xml:space="preserve">年</w:t>
      </w:r>
      <w:r>
        <w:t xml:space="preserve"> Q3 </w:t>
      </w:r>
      <w:r>
        <w:rPr>
          <w:rFonts w:hint="eastAsia"/>
        </w:rPr>
        <w:t xml:space="preserve">存储芯片板块进入主升浪，策略重仓德明利、江波龙、佰维存储等个股，动量因子持续加码强势股放大了收益</w:t>
      </w:r>
      <w:r>
        <w:t xml:space="preserve"> (Jegadeesh &amp; Titman, 1993)。2025 </w:t>
      </w:r>
      <w:r>
        <w:rPr>
          <w:rFonts w:hint="eastAsia"/>
        </w:rPr>
        <w:t xml:space="preserve">年</w:t>
      </w:r>
      <w:r>
        <w:t xml:space="preserve"> Q4 </w:t>
      </w:r>
      <w:r>
        <w:rPr>
          <w:rFonts w:hint="eastAsia"/>
        </w:rPr>
        <w:t xml:space="preserve">板块集体回调时，无控制版本回撤急速扩大至</w:t>
      </w:r>
      <w:r>
        <w:t xml:space="preserve"> </w:t>
      </w:r>
      <w:r>
        <w:rPr>
          <w:rFonts w:hint="eastAsia"/>
        </w:rPr>
        <w:t xml:space="preserve">-48%，而</w:t>
      </w:r>
      <w:r>
        <w:t xml:space="preserve"> 15% </w:t>
      </w:r>
      <w:r>
        <w:rPr>
          <w:rFonts w:hint="eastAsia"/>
        </w:rPr>
        <w:t xml:space="preserve">阈值触发后自动减仓，将回撤截断在</w:t>
      </w:r>
      <w:r>
        <w:t xml:space="preserve"> -14.7%。2026 </w:t>
      </w:r>
      <w:r>
        <w:rPr>
          <w:rFonts w:hint="eastAsia"/>
        </w:rPr>
        <w:t xml:space="preserve">年</w:t>
      </w:r>
      <w:r>
        <w:t xml:space="preserve"> 3-4 </w:t>
      </w:r>
      <w:r>
        <w:rPr>
          <w:rFonts w:hint="eastAsia"/>
        </w:rPr>
        <w:t xml:space="preserve">月和</w:t>
      </w:r>
      <w:r>
        <w:t xml:space="preserve"> 7 </w:t>
      </w:r>
      <w:r>
        <w:rPr>
          <w:rFonts w:hint="eastAsia"/>
        </w:rPr>
        <w:t xml:space="preserve">月的科技股高位回调再次触发空仓，说明回撤控制在板块系统性下跌期间频繁介入。</w:t>
      </w:r>
    </w:p>
    <w:p>
      <w:pPr>
        <w:pStyle w:val="BodyText"/>
      </w:pPr>
      <w:r>
        <w:rPr>
          <w:rFonts w:hint="eastAsia"/>
          <w:b/>
          <w:bCs/>
        </w:rPr>
        <w:t xml:space="preserve">含义</w:t>
      </w:r>
      <w:r>
        <w:rPr>
          <w:rFonts w:hint="eastAsia"/>
        </w:rPr>
        <w:t xml:space="preserve">：回撤控制机制使最大回撤从</w:t>
      </w:r>
      <w:r>
        <w:t xml:space="preserve"> -48% </w:t>
      </w:r>
      <w:r>
        <w:rPr>
          <w:rFonts w:hint="eastAsia"/>
        </w:rPr>
        <w:t xml:space="preserve">收窄至</w:t>
      </w:r>
      <w:r>
        <w:t xml:space="preserve"> </w:t>
      </w:r>
      <w:r>
        <w:rPr>
          <w:rFonts w:hint="eastAsia"/>
        </w:rPr>
        <w:t xml:space="preserve">-14.7%，低于</w:t>
      </w:r>
      <w:r>
        <w:t xml:space="preserve"> 15% </w:t>
      </w:r>
      <w:r>
        <w:rPr>
          <w:rFonts w:hint="eastAsia"/>
        </w:rPr>
        <w:t xml:space="preserve">风控线，验证了风控规则的实用性。但</w:t>
      </w:r>
      <w:r>
        <w:t xml:space="preserve"> 32% </w:t>
      </w:r>
      <w:r>
        <w:rPr>
          <w:rFonts w:hint="eastAsia"/>
        </w:rPr>
        <w:t xml:space="preserve">的空仓占比意味着策略在震荡期会错过部分反弹机会，且”一刀切”式全仓转现金缺乏渐进过渡——在板块短期回调后快速反弹时（如</w:t>
      </w:r>
      <w:r>
        <w:t xml:space="preserve"> 2025 </w:t>
      </w:r>
      <w:r>
        <w:rPr>
          <w:rFonts w:hint="eastAsia"/>
        </w:rPr>
        <w:t xml:space="preserve">年</w:t>
      </w:r>
      <w:r>
        <w:t xml:space="preserve"> 4 </w:t>
      </w:r>
      <w:r>
        <w:rPr>
          <w:rFonts w:hint="eastAsia"/>
        </w:rPr>
        <w:t xml:space="preserve">月仅空仓</w:t>
      </w:r>
      <w:r>
        <w:t xml:space="preserve"> 17 </w:t>
      </w:r>
      <w:r>
        <w:rPr>
          <w:rFonts w:hint="eastAsia"/>
        </w:rPr>
        <w:t xml:space="preserve">天即恢复），可能产生不必要的切换成本。</w:t>
      </w:r>
    </w:p>
    <w:bookmarkEnd w:id="34"/>
    <w:bookmarkStart w:id="38" w:name="图2月度收益热力图"/>
    <w:p>
      <w:pPr>
        <w:pStyle w:val="Heading3"/>
      </w:pPr>
      <w:r>
        <w:rPr>
          <w:rFonts w:hint="eastAsia"/>
        </w:rPr>
        <w:t xml:space="preserve">图2：月度收益热力图</w:t>
      </w:r>
    </w:p>
    <w:p>
      <w:pPr>
        <w:pStyle w:val="CaptionedFigure"/>
      </w:pPr>
      <w:r>
        <w:drawing>
          <wp:inline>
            <wp:extent cx="5334000" cy="2790384"/>
            <wp:effectExtent b="0" l="0" r="0" t="0"/>
            <wp:docPr descr="图2：月度收益热力图" title="" id="36" name="Picture"/>
            <a:graphic>
              <a:graphicData uri="http://schemas.openxmlformats.org/drawingml/2006/picture">
                <pic:pic>
                  <pic:nvPicPr>
                    <pic:cNvPr descr="fig3_monthly_heatmap.png" id="37" name="Picture"/>
                    <pic:cNvPicPr>
                      <a:picLocks noChangeArrowheads="1" noChangeAspect="1"/>
                    </pic:cNvPicPr>
                  </pic:nvPicPr>
                  <pic:blipFill>
                    <a:blip r:embed="rId35"/>
                    <a:stretch>
                      <a:fillRect/>
                    </a:stretch>
                  </pic:blipFill>
                  <pic:spPr bwMode="auto">
                    <a:xfrm>
                      <a:off x="0" y="0"/>
                      <a:ext cx="5334000" cy="2790384"/>
                    </a:xfrm>
                    <a:prstGeom prst="rect">
                      <a:avLst/>
                    </a:prstGeom>
                    <a:noFill/>
                    <a:ln w="9525">
                      <a:noFill/>
                      <a:headEnd/>
                      <a:tailEnd/>
                    </a:ln>
                  </pic:spPr>
                </pic:pic>
              </a:graphicData>
            </a:graphic>
          </wp:inline>
        </w:drawing>
      </w:r>
    </w:p>
    <w:p>
      <w:pPr>
        <w:pStyle w:val="ImageCaption"/>
      </w:pPr>
      <w:r>
        <w:rPr>
          <w:rFonts w:hint="eastAsia"/>
        </w:rPr>
        <w:t xml:space="preserve">图2：月度收益热力图</w:t>
      </w:r>
    </w:p>
    <w:p>
      <w:pPr>
        <w:pStyle w:val="BodyText"/>
      </w:pPr>
      <w:r>
        <w:rPr>
          <w:rFonts w:hint="eastAsia"/>
          <w:b/>
          <w:bCs/>
        </w:rPr>
        <w:t xml:space="preserve">现象</w:t>
      </w:r>
      <w:r>
        <w:rPr>
          <w:rFonts w:hint="eastAsia"/>
        </w:rPr>
        <w:t xml:space="preserve">：2024年7-12月（预热期）月度收益均为0.0%，因60日动量和120日均线指标尚未就绪，策略空仓等待。2025年1月起策略开始运作，2025年9月（+46.0%）和2025年6月（+28.7%）为正收益高峰；2025年3月（-7.3%）和2026年7月（-7.3%）为负收益低谷。2025年8-10月连续三个月大幅正收益。</w:t>
      </w:r>
    </w:p>
    <w:p>
      <w:pPr>
        <w:pStyle w:val="BodyText"/>
      </w:pPr>
      <w:r>
        <w:rPr>
          <w:rFonts w:hint="eastAsia"/>
          <w:b/>
          <w:bCs/>
        </w:rPr>
        <w:t xml:space="preserve">解释</w:t>
      </w:r>
      <w:r>
        <w:rPr>
          <w:rFonts w:hint="eastAsia"/>
        </w:rPr>
        <w:t xml:space="preserve">：2025年Q3存储芯片和半导体板块进入主升浪，策略重仓相关个股获取了极高的月度收益。2026年7月的回撤同样源于科技股高位回调。</w:t>
      </w:r>
    </w:p>
    <w:p>
      <w:pPr>
        <w:pStyle w:val="BodyText"/>
      </w:pPr>
      <w:r>
        <w:rPr>
          <w:rFonts w:hint="eastAsia"/>
          <w:b/>
          <w:bCs/>
        </w:rPr>
        <w:t xml:space="preserve">含义</w:t>
      </w:r>
      <w:r>
        <w:rPr>
          <w:rFonts w:hint="eastAsia"/>
        </w:rPr>
        <w:t xml:space="preserve">：策略收益高度集中于少数月份和少数板块，存在风格暴露集中的风险。</w:t>
      </w:r>
    </w:p>
    <w:bookmarkEnd w:id="38"/>
    <w:bookmarkEnd w:id="39"/>
    <w:bookmarkEnd w:id="40"/>
    <w:bookmarkStart w:id="53" w:name="第5章-细分分析"/>
    <w:p>
      <w:pPr>
        <w:pStyle w:val="Heading1"/>
      </w:pPr>
      <w:r>
        <w:rPr>
          <w:rFonts w:hint="eastAsia"/>
        </w:rPr>
        <w:t xml:space="preserve">第5章</w:t>
      </w:r>
      <w:r>
        <w:t xml:space="preserve"> </w:t>
      </w:r>
      <w:r>
        <w:rPr>
          <w:rFonts w:hint="eastAsia"/>
        </w:rPr>
        <w:t xml:space="preserve">细分分析</w:t>
      </w:r>
    </w:p>
    <w:bookmarkStart w:id="44" w:name="聚焦10只个股表现表"/>
    <w:p>
      <w:pPr>
        <w:pStyle w:val="Heading2"/>
      </w:pPr>
      <w:r>
        <w:t xml:space="preserve">5.1 </w:t>
      </w:r>
      <w:r>
        <w:rPr>
          <w:rFonts w:hint="eastAsia"/>
        </w:rPr>
        <w:t xml:space="preserve">聚焦10只个股表现表</w:t>
      </w:r>
    </w:p>
    <w:p>
      <w:pPr>
        <w:pStyle w:val="FirstParagraph"/>
      </w:pPr>
      <w:r>
        <w:rPr>
          <w:rFonts w:hint="eastAsia"/>
        </w:rPr>
        <w:t xml:space="preserve">以下为策略期间（2025-01-27</w:t>
      </w:r>
      <w:r>
        <w:t xml:space="preserve"> ~ </w:t>
      </w:r>
      <w:r>
        <w:rPr>
          <w:rFonts w:hint="eastAsia"/>
        </w:rPr>
        <w:t xml:space="preserve">2026-07-21）入选次数排名前10的个股表现，按区间收益排序：</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rPr>
                <w:rFonts w:hint="eastAsia"/>
              </w:rPr>
              <w:t xml:space="preserve">代码</w:t>
            </w:r>
          </w:p>
        </w:tc>
        <w:tc>
          <w:tcPr/>
          <w:p>
            <w:pPr>
              <w:pStyle w:val="Compact"/>
              <w:jc w:val="left"/>
            </w:pPr>
            <w:r>
              <w:rPr>
                <w:rFonts w:hint="eastAsia"/>
              </w:rPr>
              <w:t xml:space="preserve">名称</w:t>
            </w:r>
          </w:p>
        </w:tc>
        <w:tc>
          <w:tcPr/>
          <w:p>
            <w:pPr>
              <w:pStyle w:val="Compact"/>
              <w:jc w:val="left"/>
            </w:pPr>
            <w:r>
              <w:rPr>
                <w:rFonts w:hint="eastAsia"/>
              </w:rPr>
              <w:t xml:space="preserve">行业</w:t>
            </w:r>
          </w:p>
        </w:tc>
        <w:tc>
          <w:tcPr/>
          <w:p>
            <w:pPr>
              <w:pStyle w:val="Compact"/>
              <w:jc w:val="right"/>
            </w:pPr>
            <w:r>
              <w:rPr>
                <w:rFonts w:hint="eastAsia"/>
              </w:rPr>
              <w:t xml:space="preserve">区间收益</w:t>
            </w:r>
          </w:p>
        </w:tc>
        <w:tc>
          <w:tcPr/>
          <w:p>
            <w:pPr>
              <w:pStyle w:val="Compact"/>
              <w:jc w:val="right"/>
            </w:pPr>
            <w:r>
              <w:rPr>
                <w:rFonts w:hint="eastAsia"/>
              </w:rPr>
              <w:t xml:space="preserve">最大回撤</w:t>
            </w:r>
          </w:p>
        </w:tc>
        <w:tc>
          <w:tcPr/>
          <w:p>
            <w:pPr>
              <w:pStyle w:val="Compact"/>
              <w:jc w:val="right"/>
            </w:pPr>
            <w:r>
              <w:rPr>
                <w:rFonts w:hint="eastAsia"/>
              </w:rPr>
              <w:t xml:space="preserve">夏普比率</w:t>
            </w:r>
          </w:p>
        </w:tc>
        <w:tc>
          <w:tcPr/>
          <w:p>
            <w:pPr>
              <w:pStyle w:val="Compact"/>
              <w:jc w:val="right"/>
            </w:pPr>
            <w:r>
              <w:rPr>
                <w:rFonts w:hint="eastAsia"/>
              </w:rPr>
              <w:t xml:space="preserve">入选次数</w:t>
            </w:r>
          </w:p>
        </w:tc>
        <w:tc>
          <w:tcPr/>
          <w:p>
            <w:pPr>
              <w:pStyle w:val="Compact"/>
              <w:jc w:val="left"/>
            </w:pPr>
            <w:r>
              <w:rPr>
                <w:rFonts w:hint="eastAsia"/>
              </w:rPr>
              <w:t xml:space="preserve">简要评价</w:t>
            </w:r>
          </w:p>
        </w:tc>
      </w:tr>
      <w:tr>
        <w:tc>
          <w:tcPr/>
          <w:p>
            <w:pPr>
              <w:pStyle w:val="Compact"/>
              <w:jc w:val="left"/>
            </w:pPr>
            <w:r>
              <w:t xml:space="preserve">001309.SZ</w:t>
            </w:r>
          </w:p>
        </w:tc>
        <w:tc>
          <w:tcPr/>
          <w:p>
            <w:pPr>
              <w:pStyle w:val="Compact"/>
              <w:jc w:val="left"/>
            </w:pPr>
            <w:r>
              <w:rPr>
                <w:rFonts w:hint="eastAsia"/>
              </w:rPr>
              <w:t xml:space="preserve">德明利</w:t>
            </w:r>
          </w:p>
        </w:tc>
        <w:tc>
          <w:tcPr/>
          <w:p>
            <w:pPr>
              <w:pStyle w:val="Compact"/>
              <w:jc w:val="left"/>
            </w:pPr>
            <w:r>
              <w:rPr>
                <w:rFonts w:hint="eastAsia"/>
              </w:rPr>
              <w:t xml:space="preserve">半导体</w:t>
            </w:r>
          </w:p>
        </w:tc>
        <w:tc>
          <w:tcPr/>
          <w:p>
            <w:pPr>
              <w:pStyle w:val="Compact"/>
              <w:jc w:val="right"/>
            </w:pPr>
            <w:r>
              <w:t xml:space="preserve">+718.5%</w:t>
            </w:r>
          </w:p>
        </w:tc>
        <w:tc>
          <w:tcPr/>
          <w:p>
            <w:pPr>
              <w:pStyle w:val="Compact"/>
              <w:jc w:val="right"/>
            </w:pPr>
            <w:r>
              <w:t xml:space="preserve">-50.2%</w:t>
            </w:r>
          </w:p>
        </w:tc>
        <w:tc>
          <w:tcPr/>
          <w:p>
            <w:pPr>
              <w:pStyle w:val="Compact"/>
              <w:jc w:val="right"/>
            </w:pPr>
            <w:r>
              <w:t xml:space="preserve">1.90</w:t>
            </w:r>
          </w:p>
        </w:tc>
        <w:tc>
          <w:tcPr/>
          <w:p>
            <w:pPr>
              <w:pStyle w:val="Compact"/>
              <w:jc w:val="right"/>
            </w:pPr>
            <w:r>
              <w:t xml:space="preserve">16</w:t>
            </w:r>
          </w:p>
        </w:tc>
        <w:tc>
          <w:tcPr/>
          <w:p>
            <w:pPr>
              <w:pStyle w:val="Compact"/>
              <w:jc w:val="left"/>
            </w:pPr>
            <w:r>
              <w:rPr>
                <w:rFonts w:hint="eastAsia"/>
              </w:rPr>
              <w:t xml:space="preserve">存储芯片龙头，策略核心持仓，收益最强</w:t>
            </w:r>
          </w:p>
        </w:tc>
      </w:tr>
      <w:tr>
        <w:tc>
          <w:tcPr/>
          <w:p>
            <w:pPr>
              <w:pStyle w:val="Compact"/>
              <w:jc w:val="left"/>
            </w:pPr>
            <w:r>
              <w:t xml:space="preserve">688766.SH</w:t>
            </w:r>
          </w:p>
        </w:tc>
        <w:tc>
          <w:tcPr/>
          <w:p>
            <w:pPr>
              <w:pStyle w:val="Compact"/>
              <w:jc w:val="left"/>
            </w:pPr>
            <w:r>
              <w:rPr>
                <w:rFonts w:hint="eastAsia"/>
              </w:rPr>
              <w:t xml:space="preserve">普冉股份</w:t>
            </w:r>
          </w:p>
        </w:tc>
        <w:tc>
          <w:tcPr/>
          <w:p>
            <w:pPr>
              <w:pStyle w:val="Compact"/>
              <w:jc w:val="left"/>
            </w:pPr>
            <w:r>
              <w:rPr>
                <w:rFonts w:hint="eastAsia"/>
              </w:rPr>
              <w:t xml:space="preserve">半导体</w:t>
            </w:r>
          </w:p>
        </w:tc>
        <w:tc>
          <w:tcPr/>
          <w:p>
            <w:pPr>
              <w:pStyle w:val="Compact"/>
              <w:jc w:val="right"/>
            </w:pPr>
            <w:r>
              <w:t xml:space="preserve">+662.1%</w:t>
            </w:r>
          </w:p>
        </w:tc>
        <w:tc>
          <w:tcPr/>
          <w:p>
            <w:pPr>
              <w:pStyle w:val="Compact"/>
              <w:jc w:val="right"/>
            </w:pPr>
            <w:r>
              <w:t xml:space="preserve">-54.0%</w:t>
            </w:r>
          </w:p>
        </w:tc>
        <w:tc>
          <w:tcPr/>
          <w:p>
            <w:pPr>
              <w:pStyle w:val="Compact"/>
              <w:jc w:val="right"/>
            </w:pPr>
            <w:r>
              <w:t xml:space="preserve">1.65</w:t>
            </w:r>
          </w:p>
        </w:tc>
        <w:tc>
          <w:tcPr/>
          <w:p>
            <w:pPr>
              <w:pStyle w:val="Compact"/>
              <w:jc w:val="right"/>
            </w:pPr>
            <w:r>
              <w:t xml:space="preserve">5</w:t>
            </w:r>
          </w:p>
        </w:tc>
        <w:tc>
          <w:tcPr/>
          <w:p>
            <w:pPr>
              <w:pStyle w:val="Compact"/>
              <w:jc w:val="left"/>
            </w:pPr>
            <w:r>
              <w:rPr>
                <w:rFonts w:hint="eastAsia"/>
              </w:rPr>
              <w:t xml:space="preserve">存储芯片高弹性，波动大</w:t>
            </w:r>
          </w:p>
        </w:tc>
      </w:tr>
      <w:tr>
        <w:tc>
          <w:tcPr/>
          <w:p>
            <w:pPr>
              <w:pStyle w:val="Compact"/>
              <w:jc w:val="left"/>
            </w:pPr>
            <w:r>
              <w:t xml:space="preserve">603986.SH</w:t>
            </w:r>
          </w:p>
        </w:tc>
        <w:tc>
          <w:tcPr/>
          <w:p>
            <w:pPr>
              <w:pStyle w:val="Compact"/>
              <w:jc w:val="left"/>
            </w:pPr>
            <w:r>
              <w:rPr>
                <w:rFonts w:hint="eastAsia"/>
              </w:rPr>
              <w:t xml:space="preserve">兆易创新</w:t>
            </w:r>
          </w:p>
        </w:tc>
        <w:tc>
          <w:tcPr/>
          <w:p>
            <w:pPr>
              <w:pStyle w:val="Compact"/>
              <w:jc w:val="left"/>
            </w:pPr>
            <w:r>
              <w:rPr>
                <w:rFonts w:hint="eastAsia"/>
              </w:rPr>
              <w:t xml:space="preserve">半导体</w:t>
            </w:r>
          </w:p>
        </w:tc>
        <w:tc>
          <w:tcPr/>
          <w:p>
            <w:pPr>
              <w:pStyle w:val="Compact"/>
              <w:jc w:val="right"/>
            </w:pPr>
            <w:r>
              <w:t xml:space="preserve">+397.5%</w:t>
            </w:r>
          </w:p>
        </w:tc>
        <w:tc>
          <w:tcPr/>
          <w:p>
            <w:pPr>
              <w:pStyle w:val="Compact"/>
              <w:jc w:val="right"/>
            </w:pPr>
            <w:r>
              <w:t xml:space="preserve">-48.5%</w:t>
            </w:r>
          </w:p>
        </w:tc>
        <w:tc>
          <w:tcPr/>
          <w:p>
            <w:pPr>
              <w:pStyle w:val="Compact"/>
              <w:jc w:val="right"/>
            </w:pPr>
            <w:r>
              <w:t xml:space="preserve">1.60</w:t>
            </w:r>
          </w:p>
        </w:tc>
        <w:tc>
          <w:tcPr/>
          <w:p>
            <w:pPr>
              <w:pStyle w:val="Compact"/>
              <w:jc w:val="right"/>
            </w:pPr>
            <w:r>
              <w:t xml:space="preserve">5</w:t>
            </w:r>
          </w:p>
        </w:tc>
        <w:tc>
          <w:tcPr/>
          <w:p>
            <w:pPr>
              <w:pStyle w:val="Compact"/>
              <w:jc w:val="left"/>
            </w:pPr>
            <w:r>
              <w:rPr>
                <w:rFonts w:hint="eastAsia"/>
              </w:rPr>
              <w:t xml:space="preserve">芯片设计，动量驱动入选</w:t>
            </w:r>
          </w:p>
        </w:tc>
      </w:tr>
      <w:tr>
        <w:tc>
          <w:tcPr/>
          <w:p>
            <w:pPr>
              <w:pStyle w:val="Compact"/>
              <w:jc w:val="left"/>
            </w:pPr>
            <w:r>
              <w:t xml:space="preserve">688525.SH</w:t>
            </w:r>
          </w:p>
        </w:tc>
        <w:tc>
          <w:tcPr/>
          <w:p>
            <w:pPr>
              <w:pStyle w:val="Compact"/>
              <w:jc w:val="left"/>
            </w:pPr>
            <w:r>
              <w:rPr>
                <w:rFonts w:hint="eastAsia"/>
              </w:rPr>
              <w:t xml:space="preserve">佰维存储</w:t>
            </w:r>
          </w:p>
        </w:tc>
        <w:tc>
          <w:tcPr/>
          <w:p>
            <w:pPr>
              <w:pStyle w:val="Compact"/>
              <w:jc w:val="left"/>
            </w:pPr>
            <w:r>
              <w:rPr>
                <w:rFonts w:hint="eastAsia"/>
              </w:rPr>
              <w:t xml:space="preserve">半导体</w:t>
            </w:r>
          </w:p>
        </w:tc>
        <w:tc>
          <w:tcPr/>
          <w:p>
            <w:pPr>
              <w:pStyle w:val="Compact"/>
              <w:jc w:val="right"/>
            </w:pPr>
            <w:r>
              <w:t xml:space="preserve">+365.3%</w:t>
            </w:r>
          </w:p>
        </w:tc>
        <w:tc>
          <w:tcPr/>
          <w:p>
            <w:pPr>
              <w:pStyle w:val="Compact"/>
              <w:jc w:val="right"/>
            </w:pPr>
            <w:r>
              <w:t xml:space="preserve">-51.9%</w:t>
            </w:r>
          </w:p>
        </w:tc>
        <w:tc>
          <w:tcPr/>
          <w:p>
            <w:pPr>
              <w:pStyle w:val="Compact"/>
              <w:jc w:val="right"/>
            </w:pPr>
            <w:r>
              <w:t xml:space="preserve">1.42</w:t>
            </w:r>
          </w:p>
        </w:tc>
        <w:tc>
          <w:tcPr/>
          <w:p>
            <w:pPr>
              <w:pStyle w:val="Compact"/>
              <w:jc w:val="right"/>
            </w:pPr>
            <w:r>
              <w:t xml:space="preserve">15</w:t>
            </w:r>
          </w:p>
        </w:tc>
        <w:tc>
          <w:tcPr/>
          <w:p>
            <w:pPr>
              <w:pStyle w:val="Compact"/>
              <w:jc w:val="left"/>
            </w:pPr>
            <w:r>
              <w:rPr>
                <w:rFonts w:hint="eastAsia"/>
              </w:rPr>
              <w:t xml:space="preserve">存储芯片，与德明利、江波龙构成核心三角</w:t>
            </w:r>
          </w:p>
        </w:tc>
      </w:tr>
      <w:tr>
        <w:tc>
          <w:tcPr/>
          <w:p>
            <w:pPr>
              <w:pStyle w:val="Compact"/>
              <w:jc w:val="left"/>
            </w:pPr>
            <w:r>
              <w:t xml:space="preserve">301308.SZ</w:t>
            </w:r>
          </w:p>
        </w:tc>
        <w:tc>
          <w:tcPr/>
          <w:p>
            <w:pPr>
              <w:pStyle w:val="Compact"/>
              <w:jc w:val="left"/>
            </w:pPr>
            <w:r>
              <w:rPr>
                <w:rFonts w:hint="eastAsia"/>
              </w:rPr>
              <w:t xml:space="preserve">江波龙</w:t>
            </w:r>
          </w:p>
        </w:tc>
        <w:tc>
          <w:tcPr/>
          <w:p>
            <w:pPr>
              <w:pStyle w:val="Compact"/>
              <w:jc w:val="left"/>
            </w:pPr>
            <w:r>
              <w:rPr>
                <w:rFonts w:hint="eastAsia"/>
              </w:rPr>
              <w:t xml:space="preserve">半导体</w:t>
            </w:r>
          </w:p>
        </w:tc>
        <w:tc>
          <w:tcPr/>
          <w:p>
            <w:pPr>
              <w:pStyle w:val="Compact"/>
              <w:jc w:val="right"/>
            </w:pPr>
            <w:r>
              <w:t xml:space="preserve">+354.3%</w:t>
            </w:r>
          </w:p>
        </w:tc>
        <w:tc>
          <w:tcPr/>
          <w:p>
            <w:pPr>
              <w:pStyle w:val="Compact"/>
              <w:jc w:val="right"/>
            </w:pPr>
            <w:r>
              <w:t xml:space="preserve">-47.9%</w:t>
            </w:r>
          </w:p>
        </w:tc>
        <w:tc>
          <w:tcPr/>
          <w:p>
            <w:pPr>
              <w:pStyle w:val="Compact"/>
              <w:jc w:val="right"/>
            </w:pPr>
            <w:r>
              <w:t xml:space="preserve">1.40</w:t>
            </w:r>
          </w:p>
        </w:tc>
        <w:tc>
          <w:tcPr/>
          <w:p>
            <w:pPr>
              <w:pStyle w:val="Compact"/>
              <w:jc w:val="right"/>
            </w:pPr>
            <w:r>
              <w:t xml:space="preserve">16</w:t>
            </w:r>
          </w:p>
        </w:tc>
        <w:tc>
          <w:tcPr/>
          <w:p>
            <w:pPr>
              <w:pStyle w:val="Compact"/>
              <w:jc w:val="left"/>
            </w:pPr>
            <w:r>
              <w:rPr>
                <w:rFonts w:hint="eastAsia"/>
              </w:rPr>
              <w:t xml:space="preserve">存储模组，入选次数最多，贡献稳定</w:t>
            </w:r>
          </w:p>
        </w:tc>
      </w:tr>
      <w:tr>
        <w:tc>
          <w:tcPr/>
          <w:p>
            <w:pPr>
              <w:pStyle w:val="Compact"/>
              <w:jc w:val="left"/>
            </w:pPr>
            <w:r>
              <w:t xml:space="preserve">09992.HK</w:t>
            </w:r>
          </w:p>
        </w:tc>
        <w:tc>
          <w:tcPr/>
          <w:p>
            <w:pPr>
              <w:pStyle w:val="Compact"/>
              <w:jc w:val="left"/>
            </w:pPr>
            <w:r>
              <w:rPr>
                <w:rFonts w:hint="eastAsia"/>
              </w:rPr>
              <w:t xml:space="preserve">泡泡玛特</w:t>
            </w:r>
          </w:p>
        </w:tc>
        <w:tc>
          <w:tcPr/>
          <w:p>
            <w:pPr>
              <w:pStyle w:val="Compact"/>
              <w:jc w:val="left"/>
            </w:pPr>
            <w:r>
              <w:rPr>
                <w:rFonts w:hint="eastAsia"/>
              </w:rPr>
              <w:t xml:space="preserve">消费</w:t>
            </w:r>
          </w:p>
        </w:tc>
        <w:tc>
          <w:tcPr/>
          <w:p>
            <w:pPr>
              <w:pStyle w:val="Compact"/>
              <w:jc w:val="right"/>
            </w:pPr>
            <w:r>
              <w:t xml:space="preserve">+300.9%</w:t>
            </w:r>
          </w:p>
        </w:tc>
        <w:tc>
          <w:tcPr/>
          <w:p>
            <w:pPr>
              <w:pStyle w:val="Compact"/>
              <w:jc w:val="right"/>
            </w:pPr>
            <w:r>
              <w:t xml:space="preserve">-57.7%</w:t>
            </w:r>
          </w:p>
        </w:tc>
        <w:tc>
          <w:tcPr/>
          <w:p>
            <w:pPr>
              <w:pStyle w:val="Compact"/>
              <w:jc w:val="right"/>
            </w:pPr>
            <w:r>
              <w:t xml:space="preserve">1.48</w:t>
            </w:r>
          </w:p>
        </w:tc>
        <w:tc>
          <w:tcPr/>
          <w:p>
            <w:pPr>
              <w:pStyle w:val="Compact"/>
              <w:jc w:val="right"/>
            </w:pPr>
            <w:r>
              <w:t xml:space="preserve">6</w:t>
            </w:r>
          </w:p>
        </w:tc>
        <w:tc>
          <w:tcPr/>
          <w:p>
            <w:pPr>
              <w:pStyle w:val="Compact"/>
              <w:jc w:val="left"/>
            </w:pPr>
            <w:r>
              <w:rPr>
                <w:rFonts w:hint="eastAsia"/>
              </w:rPr>
              <w:t xml:space="preserve">港股消费，高波动高收益</w:t>
            </w:r>
          </w:p>
        </w:tc>
      </w:tr>
      <w:tr>
        <w:tc>
          <w:tcPr/>
          <w:p>
            <w:pPr>
              <w:pStyle w:val="Compact"/>
              <w:jc w:val="left"/>
            </w:pPr>
            <w:r>
              <w:t xml:space="preserve">000333.SZ</w:t>
            </w:r>
          </w:p>
        </w:tc>
        <w:tc>
          <w:tcPr/>
          <w:p>
            <w:pPr>
              <w:pStyle w:val="Compact"/>
              <w:jc w:val="left"/>
            </w:pPr>
            <w:r>
              <w:rPr>
                <w:rFonts w:hint="eastAsia"/>
              </w:rPr>
              <w:t xml:space="preserve">美的集团</w:t>
            </w:r>
          </w:p>
        </w:tc>
        <w:tc>
          <w:tcPr/>
          <w:p>
            <w:pPr>
              <w:pStyle w:val="Compact"/>
              <w:jc w:val="left"/>
            </w:pPr>
            <w:r>
              <w:rPr>
                <w:rFonts w:hint="eastAsia"/>
              </w:rPr>
              <w:t xml:space="preserve">消费</w:t>
            </w:r>
          </w:p>
        </w:tc>
        <w:tc>
          <w:tcPr/>
          <w:p>
            <w:pPr>
              <w:pStyle w:val="Compact"/>
              <w:jc w:val="right"/>
            </w:pPr>
            <w:r>
              <w:t xml:space="preserve">+46.7%</w:t>
            </w:r>
          </w:p>
        </w:tc>
        <w:tc>
          <w:tcPr/>
          <w:p>
            <w:pPr>
              <w:pStyle w:val="Compact"/>
              <w:jc w:val="right"/>
            </w:pPr>
            <w:r>
              <w:t xml:space="preserve">-16.2%</w:t>
            </w:r>
          </w:p>
        </w:tc>
        <w:tc>
          <w:tcPr/>
          <w:p>
            <w:pPr>
              <w:pStyle w:val="Compact"/>
              <w:jc w:val="right"/>
            </w:pPr>
            <w:r>
              <w:t xml:space="preserve">0.88</w:t>
            </w:r>
          </w:p>
        </w:tc>
        <w:tc>
          <w:tcPr/>
          <w:p>
            <w:pPr>
              <w:pStyle w:val="Compact"/>
              <w:jc w:val="right"/>
            </w:pPr>
            <w:r>
              <w:t xml:space="preserve">4</w:t>
            </w:r>
          </w:p>
        </w:tc>
        <w:tc>
          <w:tcPr/>
          <w:p>
            <w:pPr>
              <w:pStyle w:val="Compact"/>
              <w:jc w:val="left"/>
            </w:pPr>
            <w:r>
              <w:rPr>
                <w:rFonts w:hint="eastAsia"/>
              </w:rPr>
              <w:t xml:space="preserve">家电龙头，低波动防御</w:t>
            </w:r>
          </w:p>
        </w:tc>
      </w:tr>
      <w:tr>
        <w:tc>
          <w:tcPr/>
          <w:p>
            <w:pPr>
              <w:pStyle w:val="Compact"/>
              <w:jc w:val="left"/>
            </w:pPr>
            <w:r>
              <w:t xml:space="preserve">600329.SH</w:t>
            </w:r>
          </w:p>
        </w:tc>
        <w:tc>
          <w:tcPr/>
          <w:p>
            <w:pPr>
              <w:pStyle w:val="Compact"/>
              <w:jc w:val="left"/>
            </w:pPr>
            <w:r>
              <w:rPr>
                <w:rFonts w:hint="eastAsia"/>
              </w:rPr>
              <w:t xml:space="preserve">达仁堂</w:t>
            </w:r>
          </w:p>
        </w:tc>
        <w:tc>
          <w:tcPr/>
          <w:p>
            <w:pPr>
              <w:pStyle w:val="Compact"/>
              <w:jc w:val="left"/>
            </w:pPr>
            <w:r>
              <w:rPr>
                <w:rFonts w:hint="eastAsia"/>
              </w:rPr>
              <w:t xml:space="preserve">医药</w:t>
            </w:r>
          </w:p>
        </w:tc>
        <w:tc>
          <w:tcPr/>
          <w:p>
            <w:pPr>
              <w:pStyle w:val="Compact"/>
              <w:jc w:val="right"/>
            </w:pPr>
            <w:r>
              <w:t xml:space="preserve">+29.8%</w:t>
            </w:r>
          </w:p>
        </w:tc>
        <w:tc>
          <w:tcPr/>
          <w:p>
            <w:pPr>
              <w:pStyle w:val="Compact"/>
              <w:jc w:val="right"/>
            </w:pPr>
            <w:r>
              <w:t xml:space="preserve">-25.2%</w:t>
            </w:r>
          </w:p>
        </w:tc>
        <w:tc>
          <w:tcPr/>
          <w:p>
            <w:pPr>
              <w:pStyle w:val="Compact"/>
              <w:jc w:val="right"/>
            </w:pPr>
            <w:r>
              <w:t xml:space="preserve">0.52</w:t>
            </w:r>
          </w:p>
        </w:tc>
        <w:tc>
          <w:tcPr/>
          <w:p>
            <w:pPr>
              <w:pStyle w:val="Compact"/>
              <w:jc w:val="right"/>
            </w:pPr>
            <w:r>
              <w:t xml:space="preserve">6</w:t>
            </w:r>
          </w:p>
        </w:tc>
        <w:tc>
          <w:tcPr/>
          <w:p>
            <w:pPr>
              <w:pStyle w:val="Compact"/>
              <w:jc w:val="left"/>
            </w:pPr>
            <w:r>
              <w:rPr>
                <w:rFonts w:hint="eastAsia"/>
              </w:rPr>
              <w:t xml:space="preserve">中药，稳健贡献</w:t>
            </w:r>
          </w:p>
        </w:tc>
      </w:tr>
      <w:tr>
        <w:tc>
          <w:tcPr/>
          <w:p>
            <w:pPr>
              <w:pStyle w:val="Compact"/>
              <w:jc w:val="left"/>
            </w:pPr>
            <w:r>
              <w:t xml:space="preserve">00700.HK</w:t>
            </w:r>
          </w:p>
        </w:tc>
        <w:tc>
          <w:tcPr/>
          <w:p>
            <w:pPr>
              <w:pStyle w:val="Compact"/>
              <w:jc w:val="left"/>
            </w:pPr>
            <w:r>
              <w:rPr>
                <w:rFonts w:hint="eastAsia"/>
              </w:rPr>
              <w:t xml:space="preserve">腾讯控股</w:t>
            </w:r>
          </w:p>
        </w:tc>
        <w:tc>
          <w:tcPr/>
          <w:p>
            <w:pPr>
              <w:pStyle w:val="Compact"/>
              <w:jc w:val="left"/>
            </w:pPr>
            <w:r>
              <w:rPr>
                <w:rFonts w:hint="eastAsia"/>
              </w:rPr>
              <w:t xml:space="preserve">互联网</w:t>
            </w:r>
          </w:p>
        </w:tc>
        <w:tc>
          <w:tcPr/>
          <w:p>
            <w:pPr>
              <w:pStyle w:val="Compact"/>
              <w:jc w:val="right"/>
            </w:pPr>
            <w:r>
              <w:t xml:space="preserve">+32.9%</w:t>
            </w:r>
          </w:p>
        </w:tc>
        <w:tc>
          <w:tcPr/>
          <w:p>
            <w:pPr>
              <w:pStyle w:val="Compact"/>
              <w:jc w:val="right"/>
            </w:pPr>
            <w:r>
              <w:t xml:space="preserve">-38.5%</w:t>
            </w:r>
          </w:p>
        </w:tc>
        <w:tc>
          <w:tcPr/>
          <w:p>
            <w:pPr>
              <w:pStyle w:val="Compact"/>
              <w:jc w:val="right"/>
            </w:pPr>
            <w:r>
              <w:t xml:space="preserve">0.55</w:t>
            </w:r>
          </w:p>
        </w:tc>
        <w:tc>
          <w:tcPr/>
          <w:p>
            <w:pPr>
              <w:pStyle w:val="Compact"/>
              <w:jc w:val="right"/>
            </w:pPr>
            <w:r>
              <w:t xml:space="preserve">10</w:t>
            </w:r>
          </w:p>
        </w:tc>
        <w:tc>
          <w:tcPr/>
          <w:p>
            <w:pPr>
              <w:pStyle w:val="Compact"/>
              <w:jc w:val="left"/>
            </w:pPr>
            <w:r>
              <w:rPr>
                <w:rFonts w:hint="eastAsia"/>
              </w:rPr>
              <w:t xml:space="preserve">港股科技，入选10次提供稳定底仓</w:t>
            </w:r>
          </w:p>
        </w:tc>
      </w:tr>
      <w:tr>
        <w:tc>
          <w:tcPr/>
          <w:p>
            <w:pPr>
              <w:pStyle w:val="Compact"/>
              <w:jc w:val="left"/>
            </w:pPr>
            <w:r>
              <w:t xml:space="preserve">600887.SH</w:t>
            </w:r>
          </w:p>
        </w:tc>
        <w:tc>
          <w:tcPr/>
          <w:p>
            <w:pPr>
              <w:pStyle w:val="Compact"/>
              <w:jc w:val="left"/>
            </w:pPr>
            <w:r>
              <w:rPr>
                <w:rFonts w:hint="eastAsia"/>
              </w:rPr>
              <w:t xml:space="preserve">伊利股份</w:t>
            </w:r>
          </w:p>
        </w:tc>
        <w:tc>
          <w:tcPr/>
          <w:p>
            <w:pPr>
              <w:pStyle w:val="Compact"/>
              <w:jc w:val="left"/>
            </w:pPr>
            <w:r>
              <w:rPr>
                <w:rFonts w:hint="eastAsia"/>
              </w:rPr>
              <w:t xml:space="preserve">消费</w:t>
            </w:r>
          </w:p>
        </w:tc>
        <w:tc>
          <w:tcPr/>
          <w:p>
            <w:pPr>
              <w:pStyle w:val="Compact"/>
              <w:jc w:val="right"/>
            </w:pPr>
            <w:r>
              <w:t xml:space="preserve">+12.5%</w:t>
            </w:r>
          </w:p>
        </w:tc>
        <w:tc>
          <w:tcPr/>
          <w:p>
            <w:pPr>
              <w:pStyle w:val="Compact"/>
              <w:jc w:val="right"/>
            </w:pPr>
            <w:r>
              <w:t xml:space="preserve">-19.1%</w:t>
            </w:r>
          </w:p>
        </w:tc>
        <w:tc>
          <w:tcPr/>
          <w:p>
            <w:pPr>
              <w:pStyle w:val="Compact"/>
              <w:jc w:val="right"/>
            </w:pPr>
            <w:r>
              <w:t xml:space="preserve">0.29</w:t>
            </w:r>
          </w:p>
        </w:tc>
        <w:tc>
          <w:tcPr/>
          <w:p>
            <w:pPr>
              <w:pStyle w:val="Compact"/>
              <w:jc w:val="right"/>
            </w:pPr>
            <w:r>
              <w:t xml:space="preserve">6</w:t>
            </w:r>
          </w:p>
        </w:tc>
        <w:tc>
          <w:tcPr/>
          <w:p>
            <w:pPr>
              <w:pStyle w:val="Compact"/>
              <w:jc w:val="left"/>
            </w:pPr>
            <w:r>
              <w:rPr>
                <w:rFonts w:hint="eastAsia"/>
              </w:rPr>
              <w:t xml:space="preserve">乳业，低收益低回撤</w:t>
            </w:r>
          </w:p>
        </w:tc>
      </w:tr>
    </w:tbl>
    <w:p>
      <w:pPr>
        <w:pStyle w:val="CaptionedFigure"/>
      </w:pPr>
      <w:r>
        <w:drawing>
          <wp:inline>
            <wp:extent cx="5334000" cy="3564027"/>
            <wp:effectExtent b="0" l="0" r="0" t="0"/>
            <wp:docPr descr="图3：聚焦10只个股 — 风险-收益散点图" title="" id="42" name="Picture"/>
            <a:graphic>
              <a:graphicData uri="http://schemas.openxmlformats.org/drawingml/2006/picture">
                <pic:pic>
                  <pic:nvPicPr>
                    <pic:cNvPr descr="fig_focus10_risk_return.png" id="43" name="Picture"/>
                    <pic:cNvPicPr>
                      <a:picLocks noChangeArrowheads="1" noChangeAspect="1"/>
                    </pic:cNvPicPr>
                  </pic:nvPicPr>
                  <pic:blipFill>
                    <a:blip r:embed="rId41"/>
                    <a:stretch>
                      <a:fillRect/>
                    </a:stretch>
                  </pic:blipFill>
                  <pic:spPr bwMode="auto">
                    <a:xfrm>
                      <a:off x="0" y="0"/>
                      <a:ext cx="5334000" cy="3564027"/>
                    </a:xfrm>
                    <a:prstGeom prst="rect">
                      <a:avLst/>
                    </a:prstGeom>
                    <a:noFill/>
                    <a:ln w="9525">
                      <a:noFill/>
                      <a:headEnd/>
                      <a:tailEnd/>
                    </a:ln>
                  </pic:spPr>
                </pic:pic>
              </a:graphicData>
            </a:graphic>
          </wp:inline>
        </w:drawing>
      </w:r>
    </w:p>
    <w:p>
      <w:pPr>
        <w:pStyle w:val="ImageCaption"/>
      </w:pPr>
      <w:r>
        <w:rPr>
          <w:rFonts w:hint="eastAsia"/>
        </w:rPr>
        <w:t xml:space="preserve">图3：聚焦10只个股</w:t>
      </w:r>
      <w:r>
        <w:t xml:space="preserve"> — </w:t>
      </w:r>
      <w:r>
        <w:rPr>
          <w:rFonts w:hint="eastAsia"/>
        </w:rPr>
        <w:t xml:space="preserve">风险-收益散点图</w:t>
      </w:r>
    </w:p>
    <w:p>
      <w:pPr>
        <w:pStyle w:val="BodyText"/>
      </w:pPr>
      <w:r>
        <w:rPr>
          <w:rFonts w:hint="eastAsia"/>
          <w:b/>
          <w:bCs/>
        </w:rPr>
        <w:t xml:space="preserve">现象</w:t>
      </w:r>
      <w:r>
        <w:rPr>
          <w:rFonts w:hint="eastAsia"/>
        </w:rPr>
        <w:t xml:space="preserve">：散点图横轴为年化波动率，纵轴为区间收益率，气泡大小映射入选次数，颜色区分攻防风格。图中呈现清晰的三层结构——右上角红色进攻型半导体股（德明利、普冉股份、兆易创新、佰维存储、江波龙）集中在</w:t>
      </w:r>
      <w:r>
        <w:t xml:space="preserve"> 65%~87% </w:t>
      </w:r>
      <w:r>
        <w:rPr>
          <w:rFonts w:hint="eastAsia"/>
        </w:rPr>
        <w:t xml:space="preserve">波动率和</w:t>
      </w:r>
      <w:r>
        <w:t xml:space="preserve"> +354%~+719% </w:t>
      </w:r>
      <w:r>
        <w:rPr>
          <w:rFonts w:hint="eastAsia"/>
        </w:rPr>
        <w:t xml:space="preserve">收益区间；中间橙色平衡型腾讯控股（波动率</w:t>
      </w:r>
      <w:r>
        <w:t xml:space="preserve"> </w:t>
      </w:r>
      <w:r>
        <w:rPr>
          <w:rFonts w:hint="eastAsia"/>
        </w:rPr>
        <w:t xml:space="preserve">34%、收益</w:t>
      </w:r>
      <w:r>
        <w:t xml:space="preserve"> </w:t>
      </w:r>
      <w:r>
        <w:rPr>
          <w:rFonts w:hint="eastAsia"/>
        </w:rPr>
        <w:t xml:space="preserve">33%）居中过渡；左下角蓝色防守型消费股（美的、伊利、达仁堂）处于</w:t>
      </w:r>
      <w:r>
        <w:t xml:space="preserve"> 19%~31% </w:t>
      </w:r>
      <w:r>
        <w:rPr>
          <w:rFonts w:hint="eastAsia"/>
        </w:rPr>
        <w:t xml:space="preserve">波动率和</w:t>
      </w:r>
      <w:r>
        <w:t xml:space="preserve"> +13%~+47% </w:t>
      </w:r>
      <w:r>
        <w:rPr>
          <w:rFonts w:hint="eastAsia"/>
        </w:rPr>
        <w:t xml:space="preserve">收益区间。泡泡玛特（波动率</w:t>
      </w:r>
      <w:r>
        <w:t xml:space="preserve"> </w:t>
      </w:r>
      <w:r>
        <w:rPr>
          <w:rFonts w:hint="eastAsia"/>
        </w:rPr>
        <w:t xml:space="preserve">60%、收益</w:t>
      </w:r>
      <w:r>
        <w:t xml:space="preserve"> </w:t>
      </w:r>
      <w:r>
        <w:rPr>
          <w:rFonts w:hint="eastAsia"/>
        </w:rPr>
        <w:t xml:space="preserve">301%）位于进攻型区域，是高波动高收益的港股消费离群点。</w:t>
      </w:r>
    </w:p>
    <w:p>
      <w:pPr>
        <w:pStyle w:val="BodyText"/>
      </w:pPr>
      <w:r>
        <w:rPr>
          <w:rFonts w:hint="eastAsia"/>
          <w:b/>
          <w:bCs/>
        </w:rPr>
        <w:t xml:space="preserve">解释</w:t>
      </w:r>
      <w:r>
        <w:rPr>
          <w:rFonts w:hint="eastAsia"/>
        </w:rPr>
        <w:t xml:space="preserve">：进攻型半导体股在</w:t>
      </w:r>
      <w:r>
        <w:t xml:space="preserve"> 2025 </w:t>
      </w:r>
      <w:r>
        <w:rPr>
          <w:rFonts w:hint="eastAsia"/>
        </w:rPr>
        <w:t xml:space="preserve">年存储芯片周期上行中获得了极高的绝对收益，但其波动率（65%~87%）也远高于全池均值。防守型消费股和医药股弹性低、绝对收益有限，但在板块回调时回撤较浅（最大回撤</w:t>
      </w:r>
      <w:r>
        <w:t xml:space="preserve"> -16%</w:t>
      </w:r>
      <w:r>
        <w:rPr>
          <w:rFonts w:hint="eastAsia"/>
          <w:vertAlign w:val="subscript"/>
        </w:rPr>
        <w:t xml:space="preserve">-25%）。腾讯控股作为唯一的平衡型标的，波动率和收益均居中，在持仓中起到”缓冲器”作用。进攻型股的夏普比率（1.4</w:t>
      </w:r>
      <w:r>
        <w:rPr>
          <w:rFonts w:hint="eastAsia"/>
        </w:rPr>
        <w:t xml:space="preserve">1.9）显著优于防守型（0.3~0.9），说明策略在高波动个股上的风险调整收益更优。</w:t>
      </w:r>
    </w:p>
    <w:p>
      <w:pPr>
        <w:pStyle w:val="BodyText"/>
      </w:pPr>
      <w:r>
        <w:rPr>
          <w:rFonts w:hint="eastAsia"/>
          <w:b/>
          <w:bCs/>
        </w:rPr>
        <w:t xml:space="preserve">含义</w:t>
      </w:r>
      <w:r>
        <w:rPr>
          <w:rFonts w:hint="eastAsia"/>
        </w:rPr>
        <w:t xml:space="preserve">：风险与收益正相关，但并非线性——进攻型股承担单位风险获得的超额回报远高于防守型。策略通过动量因子将仓位集中于高</w:t>
      </w:r>
      <w:r>
        <w:t xml:space="preserve"> alpha </w:t>
      </w:r>
      <w:r>
        <w:rPr>
          <w:rFonts w:hint="eastAsia"/>
        </w:rPr>
        <w:t xml:space="preserve">的进攻型半导体股，在结构性行情中实现了优异的风险调整收益，但同时也形成了对单一板块的高度依赖。</w:t>
      </w:r>
    </w:p>
    <w:bookmarkEnd w:id="44"/>
    <w:bookmarkStart w:id="48" w:name="贡献说明"/>
    <w:p>
      <w:pPr>
        <w:pStyle w:val="Heading2"/>
      </w:pPr>
      <w:r>
        <w:t xml:space="preserve">5.2 </w:t>
      </w:r>
      <w:r>
        <w:rPr>
          <w:rFonts w:hint="eastAsia"/>
        </w:rPr>
        <w:t xml:space="preserve">贡献说明</w:t>
      </w:r>
    </w:p>
    <w:p>
      <w:pPr>
        <w:pStyle w:val="FirstParagraph"/>
      </w:pPr>
      <w:r>
        <w:rPr>
          <w:rFonts w:hint="eastAsia"/>
          <w:b/>
          <w:bCs/>
        </w:rPr>
        <w:t xml:space="preserve">主要拉动者</w:t>
      </w:r>
      <w:r>
        <w:rPr>
          <w:rFonts w:hint="eastAsia"/>
        </w:rPr>
        <w:t xml:space="preserve">：德明利（贡献</w:t>
      </w:r>
      <w:r>
        <w:t xml:space="preserve"> </w:t>
      </w:r>
      <w:r>
        <w:rPr>
          <w:rFonts w:hint="eastAsia"/>
        </w:rPr>
        <w:t xml:space="preserve">+0.466）、江波龙（贡献</w:t>
      </w:r>
      <w:r>
        <w:t xml:space="preserve"> </w:t>
      </w:r>
      <w:r>
        <w:rPr>
          <w:rFonts w:hint="eastAsia"/>
        </w:rPr>
        <w:t xml:space="preserve">+0.404）、佰维存储（贡献</w:t>
      </w:r>
      <w:r>
        <w:t xml:space="preserve"> </w:t>
      </w:r>
      <w:r>
        <w:rPr>
          <w:rFonts w:hint="eastAsia"/>
        </w:rPr>
        <w:t xml:space="preserve">+0.374）。三只存储芯片股合计贡献了组合约124%的收益，是策略超额收益的核心来源。它们在19个调仓月中有15-16个月被选中，构成策略的”核心三角”。</w:t>
      </w:r>
    </w:p>
    <w:p>
      <w:pPr>
        <w:pStyle w:val="BodyText"/>
      </w:pPr>
      <w:r>
        <w:rPr>
          <w:rFonts w:hint="eastAsia"/>
          <w:b/>
          <w:bCs/>
        </w:rPr>
        <w:t xml:space="preserve">主要拖累者</w:t>
      </w:r>
      <w:r>
        <w:rPr>
          <w:rFonts w:hint="eastAsia"/>
        </w:rPr>
        <w:t xml:space="preserve">：奇正藏药（贡献</w:t>
      </w:r>
      <w:r>
        <w:t xml:space="preserve"> </w:t>
      </w:r>
      <w:r>
        <w:rPr>
          <w:rFonts w:hint="eastAsia"/>
        </w:rPr>
        <w:t xml:space="preserve">-0.047）、贵州茅台（贡献</w:t>
      </w:r>
      <w:r>
        <w:t xml:space="preserve"> </w:t>
      </w:r>
      <w:r>
        <w:rPr>
          <w:rFonts w:hint="eastAsia"/>
        </w:rPr>
        <w:t xml:space="preserve">-0.016）、澜起科技（贡献</w:t>
      </w:r>
      <w:r>
        <w:t xml:space="preserve"> </w:t>
      </w:r>
      <w:r>
        <w:rPr>
          <w:rFonts w:hint="eastAsia"/>
        </w:rPr>
        <w:t xml:space="preserve">-0.013）。这些股票在入选期间经历了回撤，小幅拖累了组合表现。腾讯控股（贡献</w:t>
      </w:r>
      <w:r>
        <w:t xml:space="preserve"> </w:t>
      </w:r>
      <w:r>
        <w:rPr>
          <w:rFonts w:hint="eastAsia"/>
        </w:rPr>
        <w:t xml:space="preserve">-0.003）虽入选10次但持仓期间整体微亏。</w:t>
      </w:r>
    </w:p>
    <w:p>
      <w:pPr>
        <w:pStyle w:val="BodyText"/>
      </w:pPr>
      <w:r>
        <w:rPr>
          <w:rFonts w:hint="eastAsia"/>
          <w:b/>
          <w:bCs/>
        </w:rPr>
        <w:t xml:space="preserve">行业分布</w:t>
      </w:r>
      <w:r>
        <w:rPr>
          <w:rFonts w:hint="eastAsia"/>
        </w:rPr>
        <w:t xml:space="preserve">：策略收益高度集中于存储芯片板块（德明利、江波龙、佰维存储），反映了2025年半导体周期上行带来的行业beta。港股（腾讯、泡泡玛特）提供了约22%的收益贡献作为补充。消费板块（美的、伊利）提供了防御性底仓但贡献有限。这一集中度特征与</w:t>
      </w:r>
      <w:r>
        <w:t xml:space="preserve"> Asness, Moskowitz &amp; Pedersen (2013) </w:t>
      </w:r>
      <w:r>
        <w:rPr>
          <w:rFonts w:hint="eastAsia"/>
        </w:rPr>
        <w:t xml:space="preserve">关于动量因子在特定行业集群中表现更突出的发现一致。</w:t>
      </w:r>
    </w:p>
    <w:p>
      <w:pPr>
        <w:pStyle w:val="CaptionedFigure"/>
      </w:pPr>
      <w:r>
        <w:drawing>
          <wp:inline>
            <wp:extent cx="5334000" cy="4460508"/>
            <wp:effectExtent b="0" l="0" r="0" t="0"/>
            <wp:docPr descr="图4：个股贡献度排名" title="" id="46" name="Picture"/>
            <a:graphic>
              <a:graphicData uri="http://schemas.openxmlformats.org/drawingml/2006/picture">
                <pic:pic>
                  <pic:nvPicPr>
                    <pic:cNvPr descr="fig_contrib_bar.png" id="47" name="Picture"/>
                    <pic:cNvPicPr>
                      <a:picLocks noChangeArrowheads="1" noChangeAspect="1"/>
                    </pic:cNvPicPr>
                  </pic:nvPicPr>
                  <pic:blipFill>
                    <a:blip r:embed="rId45"/>
                    <a:stretch>
                      <a:fillRect/>
                    </a:stretch>
                  </pic:blipFill>
                  <pic:spPr bwMode="auto">
                    <a:xfrm>
                      <a:off x="0" y="0"/>
                      <a:ext cx="5334000" cy="4460508"/>
                    </a:xfrm>
                    <a:prstGeom prst="rect">
                      <a:avLst/>
                    </a:prstGeom>
                    <a:noFill/>
                    <a:ln w="9525">
                      <a:noFill/>
                      <a:headEnd/>
                      <a:tailEnd/>
                    </a:ln>
                  </pic:spPr>
                </pic:pic>
              </a:graphicData>
            </a:graphic>
          </wp:inline>
        </w:drawing>
      </w:r>
    </w:p>
    <w:p>
      <w:pPr>
        <w:pStyle w:val="ImageCaption"/>
      </w:pPr>
      <w:r>
        <w:rPr>
          <w:rFonts w:hint="eastAsia"/>
        </w:rPr>
        <w:t xml:space="preserve">图4：个股贡献度排名</w:t>
      </w:r>
    </w:p>
    <w:p>
      <w:pPr>
        <w:pStyle w:val="BodyText"/>
      </w:pPr>
      <w:r>
        <w:rPr>
          <w:rFonts w:hint="eastAsia"/>
          <w:b/>
          <w:bCs/>
        </w:rPr>
        <w:t xml:space="preserve">现象</w:t>
      </w:r>
      <w:r>
        <w:rPr>
          <w:rFonts w:hint="eastAsia"/>
        </w:rPr>
        <w:t xml:space="preserve">：条形图按贡献度从高到低排列全部</w:t>
      </w:r>
      <w:r>
        <w:t xml:space="preserve"> 20 </w:t>
      </w:r>
      <w:r>
        <w:rPr>
          <w:rFonts w:hint="eastAsia"/>
        </w:rPr>
        <w:t xml:space="preserve">只股票。红色半导体股（德明利、江波龙、佰维存储、兆易创新、普冉股份）占据前</w:t>
      </w:r>
      <w:r>
        <w:t xml:space="preserve"> 5 </w:t>
      </w:r>
      <w:r>
        <w:rPr>
          <w:rFonts w:hint="eastAsia"/>
        </w:rPr>
        <w:t xml:space="preserve">名，合计贡献超过</w:t>
      </w:r>
      <w:r>
        <w:t xml:space="preserve"> </w:t>
      </w:r>
      <w:r>
        <w:rPr>
          <w:rFonts w:hint="eastAsia"/>
        </w:rPr>
        <w:t xml:space="preserve">1.3。绿色医药股和蓝色消费股集中在零附近，贡献有限。6</w:t>
      </w:r>
      <w:r>
        <w:t xml:space="preserve"> </w:t>
      </w:r>
      <w:r>
        <w:rPr>
          <w:rFonts w:hint="eastAsia"/>
        </w:rPr>
        <w:t xml:space="preserve">只从未被选中的股票贡献为零，腾讯控股虽入选</w:t>
      </w:r>
      <w:r>
        <w:t xml:space="preserve"> 10 </w:t>
      </w:r>
      <w:r>
        <w:rPr>
          <w:rFonts w:hint="eastAsia"/>
        </w:rPr>
        <w:t xml:space="preserve">次但贡献为负（-0.003）。</w:t>
      </w:r>
    </w:p>
    <w:p>
      <w:pPr>
        <w:pStyle w:val="BodyText"/>
      </w:pPr>
      <w:r>
        <w:rPr>
          <w:rFonts w:hint="eastAsia"/>
          <w:b/>
          <w:bCs/>
        </w:rPr>
        <w:t xml:space="preserve">解释</w:t>
      </w:r>
      <w:r>
        <w:rPr>
          <w:rFonts w:hint="eastAsia"/>
        </w:rPr>
        <w:t xml:space="preserve">：德明利（+0.466）、江波龙（+0.404）、佰维存储（+0.374）三只存储芯片股在</w:t>
      </w:r>
      <w:r>
        <w:t xml:space="preserve"> 19 </w:t>
      </w:r>
      <w:r>
        <w:rPr>
          <w:rFonts w:hint="eastAsia"/>
        </w:rPr>
        <w:t xml:space="preserve">个调仓月中有</w:t>
      </w:r>
      <w:r>
        <w:t xml:space="preserve"> 15-16 </w:t>
      </w:r>
      <w:r>
        <w:rPr>
          <w:rFonts w:hint="eastAsia"/>
        </w:rPr>
        <w:t xml:space="preserve">个月被选中，构成策略的”核心三角”，合计贡献约</w:t>
      </w:r>
      <w:r>
        <w:t xml:space="preserve"> 124% </w:t>
      </w:r>
      <w:r>
        <w:rPr>
          <w:rFonts w:hint="eastAsia"/>
        </w:rPr>
        <w:t xml:space="preserve">的组合收益。它们的正贡献来源于</w:t>
      </w:r>
      <w:r>
        <w:t xml:space="preserve"> 2025 </w:t>
      </w:r>
      <w:r>
        <w:rPr>
          <w:rFonts w:hint="eastAsia"/>
        </w:rPr>
        <w:t xml:space="preserve">年半导体周期上行期间的持续上涨。腾讯控股虽入选</w:t>
      </w:r>
      <w:r>
        <w:t xml:space="preserve"> 10 </w:t>
      </w:r>
      <w:r>
        <w:rPr>
          <w:rFonts w:hint="eastAsia"/>
        </w:rPr>
        <w:t xml:space="preserve">次但持仓期间整体微亏，说明高入选频率不等于正向贡献——持仓时点的价格走势才是决定因素。6</w:t>
      </w:r>
      <w:r>
        <w:t xml:space="preserve"> </w:t>
      </w:r>
      <w:r>
        <w:rPr>
          <w:rFonts w:hint="eastAsia"/>
        </w:rPr>
        <w:t xml:space="preserve">只从未被选中的股票（同仁堂、片仔癀、云南白药、恒瑞医药、百济神州、红利ETF）因动量和基本面因子排名始终靠后，贡献为零。</w:t>
      </w:r>
    </w:p>
    <w:p>
      <w:pPr>
        <w:pStyle w:val="BodyText"/>
      </w:pPr>
      <w:r>
        <w:rPr>
          <w:rFonts w:hint="eastAsia"/>
          <w:b/>
          <w:bCs/>
        </w:rPr>
        <w:t xml:space="preserve">含义</w:t>
      </w:r>
      <w:r>
        <w:rPr>
          <w:rFonts w:hint="eastAsia"/>
        </w:rPr>
        <w:t xml:space="preserve">：组合收益高度集中于少数个股和单一板块，存在极端的头部依赖——前</w:t>
      </w:r>
      <w:r>
        <w:t xml:space="preserve"> 3 </w:t>
      </w:r>
      <w:r>
        <w:rPr>
          <w:rFonts w:hint="eastAsia"/>
        </w:rPr>
        <w:t xml:space="preserve">只股票贡献了约</w:t>
      </w:r>
      <w:r>
        <w:t xml:space="preserve"> 124% </w:t>
      </w:r>
      <w:r>
        <w:rPr>
          <w:rFonts w:hint="eastAsia"/>
        </w:rPr>
        <w:t xml:space="preserve">的收益。这一集中度特征与动量因子在特定行业集群中表现更突出的发现一致</w:t>
      </w:r>
      <w:r>
        <w:t xml:space="preserve"> (Asness, Moskowitz &amp; Pedersen, </w:t>
      </w:r>
      <w:r>
        <w:rPr>
          <w:rFonts w:hint="eastAsia"/>
        </w:rPr>
        <w:t xml:space="preserve">2013)，但也意味着若存储芯片板块发生系统性回调，策略收益将受到严重冲击。</w:t>
      </w:r>
    </w:p>
    <w:bookmarkEnd w:id="48"/>
    <w:bookmarkStart w:id="49" w:name="市场环境表现"/>
    <w:p>
      <w:pPr>
        <w:pStyle w:val="Heading2"/>
      </w:pPr>
      <w:r>
        <w:t xml:space="preserve">5.3 </w:t>
      </w:r>
      <w:r>
        <w:rPr>
          <w:rFonts w:hint="eastAsia"/>
        </w:rPr>
        <w:t xml:space="preserve">市场环境表现</w:t>
      </w:r>
    </w:p>
    <w:p>
      <w:pPr>
        <w:pStyle w:val="FirstParagraph"/>
      </w:pPr>
      <w:r>
        <w:rPr>
          <w:rFonts w:hint="eastAsia"/>
        </w:rPr>
        <w:t xml:space="preserve">按季度划分市场状态（沪深300季度收益</w:t>
      </w:r>
      <w:r>
        <w:t xml:space="preserve"> </w:t>
      </w:r>
      <w:r>
        <w:rPr>
          <w:rFonts w:hint="eastAsia"/>
        </w:rPr>
        <w:t xml:space="preserve">&gt;10%为上涨市，&lt;-5%为下跌市，其余为震荡市）：</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市场状态</w:t>
            </w:r>
          </w:p>
        </w:tc>
        <w:tc>
          <w:tcPr/>
          <w:p>
            <w:pPr>
              <w:pStyle w:val="Compact"/>
              <w:jc w:val="left"/>
            </w:pPr>
            <w:r>
              <w:rPr>
                <w:rFonts w:hint="eastAsia"/>
              </w:rPr>
              <w:t xml:space="preserve">时段</w:t>
            </w:r>
          </w:p>
        </w:tc>
        <w:tc>
          <w:tcPr/>
          <w:p>
            <w:pPr>
              <w:pStyle w:val="Compact"/>
              <w:jc w:val="right"/>
            </w:pPr>
            <w:r>
              <w:rPr>
                <w:rFonts w:hint="eastAsia"/>
              </w:rPr>
              <w:t xml:space="preserve">组合收益率</w:t>
            </w:r>
          </w:p>
        </w:tc>
        <w:tc>
          <w:tcPr/>
          <w:p>
            <w:pPr>
              <w:pStyle w:val="Compact"/>
              <w:jc w:val="right"/>
            </w:pPr>
            <w:r>
              <w:rPr>
                <w:rFonts w:hint="eastAsia"/>
              </w:rPr>
              <w:t xml:space="preserve">基准收益率</w:t>
            </w:r>
          </w:p>
        </w:tc>
        <w:tc>
          <w:tcPr/>
          <w:p>
            <w:pPr>
              <w:pStyle w:val="Compact"/>
              <w:jc w:val="center"/>
            </w:pPr>
            <w:r>
              <w:rPr>
                <w:rFonts w:hint="eastAsia"/>
              </w:rPr>
              <w:t xml:space="preserve">是否跑赢</w:t>
            </w:r>
          </w:p>
        </w:tc>
      </w:tr>
      <w:tr>
        <w:tc>
          <w:tcPr/>
          <w:p>
            <w:pPr>
              <w:pStyle w:val="Compact"/>
              <w:jc w:val="left"/>
            </w:pPr>
            <w:r>
              <w:rPr>
                <w:rFonts w:hint="eastAsia"/>
              </w:rPr>
              <w:t xml:space="preserve">震荡市</w:t>
            </w:r>
          </w:p>
        </w:tc>
        <w:tc>
          <w:tcPr/>
          <w:p>
            <w:pPr>
              <w:pStyle w:val="Compact"/>
              <w:jc w:val="left"/>
            </w:pPr>
            <w:r>
              <w:t xml:space="preserve">2025Q1</w:t>
            </w:r>
          </w:p>
        </w:tc>
        <w:tc>
          <w:tcPr/>
          <w:p>
            <w:pPr>
              <w:pStyle w:val="Compact"/>
              <w:jc w:val="right"/>
            </w:pPr>
            <w:r>
              <w:t xml:space="preserve">+13.7%</w:t>
            </w:r>
          </w:p>
        </w:tc>
        <w:tc>
          <w:tcPr/>
          <w:p>
            <w:pPr>
              <w:pStyle w:val="Compact"/>
              <w:jc w:val="right"/>
            </w:pPr>
            <w:r>
              <w:t xml:space="preserve">+1.8%</w:t>
            </w:r>
          </w:p>
        </w:tc>
        <w:tc>
          <w:tcPr/>
          <w:p>
            <w:pPr>
              <w:pStyle w:val="Compact"/>
              <w:jc w:val="center"/>
            </w:pPr>
            <w:r>
              <w:rPr>
                <w:rFonts w:hint="eastAsia"/>
              </w:rPr>
              <w:t xml:space="preserve">是</w:t>
            </w:r>
          </w:p>
        </w:tc>
      </w:tr>
      <w:tr>
        <w:tc>
          <w:tcPr/>
          <w:p>
            <w:pPr>
              <w:pStyle w:val="Compact"/>
              <w:jc w:val="left"/>
            </w:pPr>
            <w:r>
              <w:rPr>
                <w:rFonts w:hint="eastAsia"/>
              </w:rPr>
              <w:t xml:space="preserve">震荡市</w:t>
            </w:r>
          </w:p>
        </w:tc>
        <w:tc>
          <w:tcPr/>
          <w:p>
            <w:pPr>
              <w:pStyle w:val="Compact"/>
              <w:jc w:val="left"/>
            </w:pPr>
            <w:r>
              <w:t xml:space="preserve">2025Q2</w:t>
            </w:r>
          </w:p>
        </w:tc>
        <w:tc>
          <w:tcPr/>
          <w:p>
            <w:pPr>
              <w:pStyle w:val="Compact"/>
              <w:jc w:val="right"/>
            </w:pPr>
            <w:r>
              <w:t xml:space="preserve">+2.7%</w:t>
            </w:r>
          </w:p>
        </w:tc>
        <w:tc>
          <w:tcPr/>
          <w:p>
            <w:pPr>
              <w:pStyle w:val="Compact"/>
              <w:jc w:val="right"/>
            </w:pPr>
            <w:r>
              <w:t xml:space="preserve">+1.2%</w:t>
            </w:r>
          </w:p>
        </w:tc>
        <w:tc>
          <w:tcPr/>
          <w:p>
            <w:pPr>
              <w:pStyle w:val="Compact"/>
              <w:jc w:val="center"/>
            </w:pPr>
            <w:r>
              <w:rPr>
                <w:rFonts w:hint="eastAsia"/>
              </w:rPr>
              <w:t xml:space="preserve">是</w:t>
            </w:r>
          </w:p>
        </w:tc>
      </w:tr>
      <w:tr>
        <w:tc>
          <w:tcPr/>
          <w:p>
            <w:pPr>
              <w:pStyle w:val="Compact"/>
              <w:jc w:val="left"/>
            </w:pPr>
            <w:r>
              <w:rPr>
                <w:rFonts w:hint="eastAsia"/>
              </w:rPr>
              <w:t xml:space="preserve">上涨市</w:t>
            </w:r>
          </w:p>
        </w:tc>
        <w:tc>
          <w:tcPr/>
          <w:p>
            <w:pPr>
              <w:pStyle w:val="Compact"/>
              <w:jc w:val="left"/>
            </w:pPr>
            <w:r>
              <w:t xml:space="preserve">2025Q3</w:t>
            </w:r>
          </w:p>
        </w:tc>
        <w:tc>
          <w:tcPr/>
          <w:p>
            <w:pPr>
              <w:pStyle w:val="Compact"/>
              <w:jc w:val="right"/>
            </w:pPr>
            <w:r>
              <w:t xml:space="preserve">+69.8%</w:t>
            </w:r>
          </w:p>
        </w:tc>
        <w:tc>
          <w:tcPr/>
          <w:p>
            <w:pPr>
              <w:pStyle w:val="Compact"/>
              <w:jc w:val="right"/>
            </w:pPr>
            <w:r>
              <w:t xml:space="preserve">+17.7%</w:t>
            </w:r>
          </w:p>
        </w:tc>
        <w:tc>
          <w:tcPr/>
          <w:p>
            <w:pPr>
              <w:pStyle w:val="Compact"/>
              <w:jc w:val="center"/>
            </w:pPr>
            <w:r>
              <w:rPr>
                <w:rFonts w:hint="eastAsia"/>
              </w:rPr>
              <w:t xml:space="preserve">是</w:t>
            </w:r>
          </w:p>
        </w:tc>
      </w:tr>
      <w:tr>
        <w:tc>
          <w:tcPr/>
          <w:p>
            <w:pPr>
              <w:pStyle w:val="Compact"/>
              <w:jc w:val="left"/>
            </w:pPr>
            <w:r>
              <w:rPr>
                <w:rFonts w:hint="eastAsia"/>
              </w:rPr>
              <w:t xml:space="preserve">震荡市</w:t>
            </w:r>
          </w:p>
        </w:tc>
        <w:tc>
          <w:tcPr/>
          <w:p>
            <w:pPr>
              <w:pStyle w:val="Compact"/>
              <w:jc w:val="left"/>
            </w:pPr>
            <w:r>
              <w:t xml:space="preserve">2025Q4</w:t>
            </w:r>
          </w:p>
        </w:tc>
        <w:tc>
          <w:tcPr/>
          <w:p>
            <w:pPr>
              <w:pStyle w:val="Compact"/>
              <w:jc w:val="right"/>
            </w:pPr>
            <w:r>
              <w:t xml:space="preserve">+14.9%</w:t>
            </w:r>
          </w:p>
        </w:tc>
        <w:tc>
          <w:tcPr/>
          <w:p>
            <w:pPr>
              <w:pStyle w:val="Compact"/>
              <w:jc w:val="right"/>
            </w:pPr>
            <w:r>
              <w:t xml:space="preserve">-1.7%</w:t>
            </w:r>
          </w:p>
        </w:tc>
        <w:tc>
          <w:tcPr/>
          <w:p>
            <w:pPr>
              <w:pStyle w:val="Compact"/>
              <w:jc w:val="center"/>
            </w:pPr>
            <w:r>
              <w:rPr>
                <w:rFonts w:hint="eastAsia"/>
              </w:rPr>
              <w:t xml:space="preserve">是</w:t>
            </w:r>
          </w:p>
        </w:tc>
      </w:tr>
      <w:tr>
        <w:tc>
          <w:tcPr/>
          <w:p>
            <w:pPr>
              <w:pStyle w:val="Compact"/>
              <w:jc w:val="left"/>
            </w:pPr>
            <w:r>
              <w:rPr>
                <w:rFonts w:hint="eastAsia"/>
              </w:rPr>
              <w:t xml:space="preserve">下跌市</w:t>
            </w:r>
          </w:p>
        </w:tc>
        <w:tc>
          <w:tcPr/>
          <w:p>
            <w:pPr>
              <w:pStyle w:val="Compact"/>
              <w:jc w:val="left"/>
            </w:pPr>
            <w:r>
              <w:t xml:space="preserve">2026Q1</w:t>
            </w:r>
          </w:p>
        </w:tc>
        <w:tc>
          <w:tcPr/>
          <w:p>
            <w:pPr>
              <w:pStyle w:val="Compact"/>
              <w:jc w:val="right"/>
            </w:pPr>
            <w:r>
              <w:t xml:space="preserve">-0.5%</w:t>
            </w:r>
          </w:p>
        </w:tc>
        <w:tc>
          <w:tcPr/>
          <w:p>
            <w:pPr>
              <w:pStyle w:val="Compact"/>
              <w:jc w:val="right"/>
            </w:pPr>
            <w:r>
              <w:t xml:space="preserve">-5.7%</w:t>
            </w:r>
          </w:p>
        </w:tc>
        <w:tc>
          <w:tcPr/>
          <w:p>
            <w:pPr>
              <w:pStyle w:val="Compact"/>
              <w:jc w:val="center"/>
            </w:pPr>
            <w:r>
              <w:rPr>
                <w:rFonts w:hint="eastAsia"/>
              </w:rPr>
              <w:t xml:space="preserve">是</w:t>
            </w:r>
          </w:p>
        </w:tc>
      </w:tr>
      <w:tr>
        <w:tc>
          <w:tcPr/>
          <w:p>
            <w:pPr>
              <w:pStyle w:val="Compact"/>
              <w:jc w:val="left"/>
            </w:pPr>
            <w:r>
              <w:rPr>
                <w:rFonts w:hint="eastAsia"/>
              </w:rPr>
              <w:t xml:space="preserve">上涨市</w:t>
            </w:r>
          </w:p>
        </w:tc>
        <w:tc>
          <w:tcPr/>
          <w:p>
            <w:pPr>
              <w:pStyle w:val="Compact"/>
              <w:jc w:val="left"/>
            </w:pPr>
            <w:r>
              <w:t xml:space="preserve">2026Q2</w:t>
            </w:r>
          </w:p>
        </w:tc>
        <w:tc>
          <w:tcPr/>
          <w:p>
            <w:pPr>
              <w:pStyle w:val="Compact"/>
              <w:jc w:val="right"/>
            </w:pPr>
            <w:r>
              <w:t xml:space="preserve">+47.3%</w:t>
            </w:r>
          </w:p>
        </w:tc>
        <w:tc>
          <w:tcPr/>
          <w:p>
            <w:pPr>
              <w:pStyle w:val="Compact"/>
              <w:jc w:val="right"/>
            </w:pPr>
            <w:r>
              <w:t xml:space="preserve">+10.0%</w:t>
            </w:r>
          </w:p>
        </w:tc>
        <w:tc>
          <w:tcPr/>
          <w:p>
            <w:pPr>
              <w:pStyle w:val="Compact"/>
              <w:jc w:val="center"/>
            </w:pPr>
            <w:r>
              <w:rPr>
                <w:rFonts w:hint="eastAsia"/>
              </w:rPr>
              <w:t xml:space="preserve">是</w:t>
            </w:r>
          </w:p>
        </w:tc>
      </w:tr>
      <w:tr>
        <w:tc>
          <w:tcPr/>
          <w:p>
            <w:pPr>
              <w:pStyle w:val="Compact"/>
              <w:jc w:val="left"/>
            </w:pPr>
            <w:r>
              <w:rPr>
                <w:rFonts w:hint="eastAsia"/>
              </w:rPr>
              <w:t xml:space="preserve">震荡市</w:t>
            </w:r>
          </w:p>
        </w:tc>
        <w:tc>
          <w:tcPr/>
          <w:p>
            <w:pPr>
              <w:pStyle w:val="Compact"/>
              <w:jc w:val="left"/>
            </w:pPr>
            <w:r>
              <w:t xml:space="preserve">2026Q3</w:t>
            </w:r>
          </w:p>
        </w:tc>
        <w:tc>
          <w:tcPr/>
          <w:p>
            <w:pPr>
              <w:pStyle w:val="Compact"/>
              <w:jc w:val="right"/>
            </w:pPr>
            <w:r>
              <w:t xml:space="preserve">-5.7%</w:t>
            </w:r>
          </w:p>
        </w:tc>
        <w:tc>
          <w:tcPr/>
          <w:p>
            <w:pPr>
              <w:pStyle w:val="Compact"/>
              <w:jc w:val="right"/>
            </w:pPr>
            <w:r>
              <w:t xml:space="preserve">-4.4%</w:t>
            </w:r>
          </w:p>
        </w:tc>
        <w:tc>
          <w:tcPr/>
          <w:p>
            <w:pPr>
              <w:pStyle w:val="Compact"/>
              <w:jc w:val="center"/>
            </w:pPr>
            <w:r>
              <w:rPr>
                <w:rFonts w:hint="eastAsia"/>
              </w:rPr>
              <w:t xml:space="preserve">否</w:t>
            </w:r>
          </w:p>
        </w:tc>
      </w:tr>
    </w:tbl>
    <w:p>
      <w:pPr>
        <w:pStyle w:val="BodyText"/>
      </w:pPr>
      <w:r>
        <w:rPr>
          <w:rFonts w:hint="eastAsia"/>
          <w:b/>
          <w:bCs/>
        </w:rPr>
        <w:t xml:space="preserve">汇总</w:t>
      </w:r>
      <w:r>
        <w:rPr>
          <w:rFonts w:hint="eastAsia"/>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市场状态</w:t>
            </w:r>
          </w:p>
        </w:tc>
        <w:tc>
          <w:tcPr/>
          <w:p>
            <w:pPr>
              <w:pStyle w:val="Compact"/>
              <w:jc w:val="right"/>
            </w:pPr>
            <w:r>
              <w:rPr>
                <w:rFonts w:hint="eastAsia"/>
              </w:rPr>
              <w:t xml:space="preserve">组合平均收益</w:t>
            </w:r>
          </w:p>
        </w:tc>
        <w:tc>
          <w:tcPr/>
          <w:p>
            <w:pPr>
              <w:pStyle w:val="Compact"/>
              <w:jc w:val="right"/>
            </w:pPr>
            <w:r>
              <w:rPr>
                <w:rFonts w:hint="eastAsia"/>
              </w:rPr>
              <w:t xml:space="preserve">基准平均收益</w:t>
            </w:r>
          </w:p>
        </w:tc>
        <w:tc>
          <w:tcPr/>
          <w:p>
            <w:pPr>
              <w:pStyle w:val="Compact"/>
              <w:jc w:val="center"/>
            </w:pPr>
            <w:r>
              <w:rPr>
                <w:rFonts w:hint="eastAsia"/>
              </w:rPr>
              <w:t xml:space="preserve">是否跑赢</w:t>
            </w:r>
          </w:p>
        </w:tc>
      </w:tr>
      <w:tr>
        <w:tc>
          <w:tcPr/>
          <w:p>
            <w:pPr>
              <w:pStyle w:val="Compact"/>
              <w:jc w:val="left"/>
            </w:pPr>
            <w:r>
              <w:rPr>
                <w:rFonts w:hint="eastAsia"/>
              </w:rPr>
              <w:t xml:space="preserve">上涨市（2个季度）</w:t>
            </w:r>
          </w:p>
        </w:tc>
        <w:tc>
          <w:tcPr/>
          <w:p>
            <w:pPr>
              <w:pStyle w:val="Compact"/>
              <w:jc w:val="right"/>
            </w:pPr>
            <w:r>
              <w:t xml:space="preserve">+58.5%</w:t>
            </w:r>
          </w:p>
        </w:tc>
        <w:tc>
          <w:tcPr/>
          <w:p>
            <w:pPr>
              <w:pStyle w:val="Compact"/>
              <w:jc w:val="right"/>
            </w:pPr>
            <w:r>
              <w:t xml:space="preserve">+13.9%</w:t>
            </w:r>
          </w:p>
        </w:tc>
        <w:tc>
          <w:tcPr/>
          <w:p>
            <w:pPr>
              <w:pStyle w:val="Compact"/>
              <w:jc w:val="center"/>
            </w:pPr>
            <w:r>
              <w:rPr>
                <w:rFonts w:hint="eastAsia"/>
              </w:rPr>
              <w:t xml:space="preserve">是</w:t>
            </w:r>
          </w:p>
        </w:tc>
      </w:tr>
      <w:tr>
        <w:tc>
          <w:tcPr/>
          <w:p>
            <w:pPr>
              <w:pStyle w:val="Compact"/>
              <w:jc w:val="left"/>
            </w:pPr>
            <w:r>
              <w:rPr>
                <w:rFonts w:hint="eastAsia"/>
              </w:rPr>
              <w:t xml:space="preserve">下跌市（1个季度）</w:t>
            </w:r>
          </w:p>
        </w:tc>
        <w:tc>
          <w:tcPr/>
          <w:p>
            <w:pPr>
              <w:pStyle w:val="Compact"/>
              <w:jc w:val="right"/>
            </w:pPr>
            <w:r>
              <w:t xml:space="preserve">-0.5%</w:t>
            </w:r>
          </w:p>
        </w:tc>
        <w:tc>
          <w:tcPr/>
          <w:p>
            <w:pPr>
              <w:pStyle w:val="Compact"/>
              <w:jc w:val="right"/>
            </w:pPr>
            <w:r>
              <w:t xml:space="preserve">-5.7%</w:t>
            </w:r>
          </w:p>
        </w:tc>
        <w:tc>
          <w:tcPr/>
          <w:p>
            <w:pPr>
              <w:pStyle w:val="Compact"/>
              <w:jc w:val="center"/>
            </w:pPr>
            <w:r>
              <w:rPr>
                <w:rFonts w:hint="eastAsia"/>
              </w:rPr>
              <w:t xml:space="preserve">是</w:t>
            </w:r>
          </w:p>
        </w:tc>
      </w:tr>
      <w:tr>
        <w:tc>
          <w:tcPr/>
          <w:p>
            <w:pPr>
              <w:pStyle w:val="Compact"/>
              <w:jc w:val="left"/>
            </w:pPr>
            <w:r>
              <w:rPr>
                <w:rFonts w:hint="eastAsia"/>
              </w:rPr>
              <w:t xml:space="preserve">震荡市（4个季度）</w:t>
            </w:r>
          </w:p>
        </w:tc>
        <w:tc>
          <w:tcPr/>
          <w:p>
            <w:pPr>
              <w:pStyle w:val="Compact"/>
              <w:jc w:val="right"/>
            </w:pPr>
            <w:r>
              <w:t xml:space="preserve">+6.4%</w:t>
            </w:r>
          </w:p>
        </w:tc>
        <w:tc>
          <w:tcPr/>
          <w:p>
            <w:pPr>
              <w:pStyle w:val="Compact"/>
              <w:jc w:val="right"/>
            </w:pPr>
            <w:r>
              <w:t xml:space="preserve">-0.8%</w:t>
            </w:r>
          </w:p>
        </w:tc>
        <w:tc>
          <w:tcPr/>
          <w:p>
            <w:pPr>
              <w:pStyle w:val="Compact"/>
              <w:jc w:val="center"/>
            </w:pPr>
            <w:r>
              <w:rPr>
                <w:rFonts w:hint="eastAsia"/>
              </w:rPr>
              <w:t xml:space="preserve">部分</w:t>
            </w:r>
          </w:p>
        </w:tc>
      </w:tr>
    </w:tbl>
    <w:p>
      <w:pPr>
        <w:pStyle w:val="BodyText"/>
      </w:pPr>
      <w:r>
        <w:rPr>
          <w:rFonts w:hint="eastAsia"/>
        </w:rPr>
        <w:t xml:space="preserve">策略在上涨市和下跌市中均跑赢基准。在震荡市中4个季度有3个跑赢，唯一例外是2026Q3（科技股回调），策略因重仓存储芯片而小幅跑输基准，但回撤控制机制限制了损失幅度。</w:t>
      </w:r>
    </w:p>
    <w:bookmarkEnd w:id="49"/>
    <w:bookmarkStart w:id="52" w:name="攻防风格分析"/>
    <w:p>
      <w:pPr>
        <w:pStyle w:val="Heading2"/>
      </w:pPr>
      <w:r>
        <w:t xml:space="preserve">5.4 </w:t>
      </w:r>
      <w:r>
        <w:rPr>
          <w:rFonts w:hint="eastAsia"/>
        </w:rPr>
        <w:t xml:space="preserve">攻防风格分析</w:t>
      </w:r>
    </w:p>
    <w:bookmarkStart w:id="50" w:name="风格分类"/>
    <w:p>
      <w:pPr>
        <w:pStyle w:val="Heading3"/>
      </w:pPr>
      <w:r>
        <w:t xml:space="preserve">5.4.1 </w:t>
      </w:r>
      <w:r>
        <w:rPr>
          <w:rFonts w:hint="eastAsia"/>
        </w:rPr>
        <w:t xml:space="preserve">风格分类</w:t>
      </w:r>
    </w:p>
    <w:p>
      <w:pPr>
        <w:pStyle w:val="FirstParagraph"/>
      </w:pPr>
      <w:r>
        <w:rPr>
          <w:rFonts w:hint="eastAsia"/>
        </w:rPr>
        <w:t xml:space="preserve">将20只股票按年化波动率和Beta系数划分为三种风格：</w:t>
      </w:r>
      <w:r>
        <w:rPr>
          <w:rFonts w:hint="eastAsia"/>
          <w:b/>
          <w:bCs/>
        </w:rPr>
        <w:t xml:space="preserve">进攻型</w:t>
      </w:r>
      <w:r>
        <w:rPr>
          <w:rFonts w:hint="eastAsia"/>
        </w:rPr>
        <w:t xml:space="preserve">（年化波动率</w:t>
      </w:r>
      <w:r>
        <w:t xml:space="preserve"> &gt; 35% </w:t>
      </w:r>
      <w:r>
        <w:rPr>
          <w:rFonts w:hint="eastAsia"/>
        </w:rPr>
        <w:t xml:space="preserve">或</w:t>
      </w:r>
      <w:r>
        <w:t xml:space="preserve"> Beta &gt; </w:t>
      </w:r>
      <w:r>
        <w:rPr>
          <w:rFonts w:hint="eastAsia"/>
        </w:rPr>
        <w:t xml:space="preserve">1.2）、</w:t>
      </w:r>
      <w:r>
        <w:rPr>
          <w:rFonts w:hint="eastAsia"/>
          <w:b/>
          <w:bCs/>
        </w:rPr>
        <w:t xml:space="preserve">平衡型</w:t>
      </w:r>
      <w:r>
        <w:rPr>
          <w:rFonts w:hint="eastAsia"/>
        </w:rPr>
        <w:t xml:space="preserve">（居中）、</w:t>
      </w:r>
      <w:r>
        <w:rPr>
          <w:rFonts w:hint="eastAsia"/>
          <w:b/>
          <w:bCs/>
        </w:rPr>
        <w:t xml:space="preserve">防守型</w:t>
      </w:r>
      <w:r>
        <w:rPr>
          <w:rFonts w:hint="eastAsia"/>
        </w:rPr>
        <w:t xml:space="preserve">（年化波动率</w:t>
      </w:r>
      <w:r>
        <w:t xml:space="preserve"> &lt; 25% </w:t>
      </w:r>
      <w:r>
        <w:rPr>
          <w:rFonts w:hint="eastAsia"/>
        </w:rPr>
        <w:t xml:space="preserve">且</w:t>
      </w:r>
      <w:r>
        <w:t xml:space="preserve"> Beta &lt; </w:t>
      </w:r>
      <w:r>
        <w:rPr>
          <w:rFonts w:hint="eastAsia"/>
        </w:rPr>
        <w:t xml:space="preserve">0.8）。此分类方法参考</w:t>
      </w:r>
      <w:r>
        <w:t xml:space="preserve"> Asness, Frazzini &amp; Pedersen (2019) </w:t>
      </w:r>
      <w:r>
        <w:rPr>
          <w:rFonts w:hint="eastAsia"/>
        </w:rPr>
        <w:t xml:space="preserve">的质量因子分组框架。</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rPr>
                <w:rFonts w:hint="eastAsia"/>
              </w:rPr>
              <w:t xml:space="preserve">风格</w:t>
            </w:r>
          </w:p>
        </w:tc>
        <w:tc>
          <w:tcPr/>
          <w:p>
            <w:pPr>
              <w:pStyle w:val="Compact"/>
              <w:jc w:val="right"/>
            </w:pPr>
            <w:r>
              <w:rPr>
                <w:rFonts w:hint="eastAsia"/>
              </w:rPr>
              <w:t xml:space="preserve">数量</w:t>
            </w:r>
          </w:p>
        </w:tc>
        <w:tc>
          <w:tcPr/>
          <w:p>
            <w:pPr>
              <w:pStyle w:val="Compact"/>
              <w:jc w:val="left"/>
            </w:pPr>
            <w:r>
              <w:rPr>
                <w:rFonts w:hint="eastAsia"/>
              </w:rPr>
              <w:t xml:space="preserve">代表股票</w:t>
            </w:r>
          </w:p>
        </w:tc>
        <w:tc>
          <w:tcPr/>
          <w:p>
            <w:pPr>
              <w:pStyle w:val="Compact"/>
              <w:jc w:val="right"/>
            </w:pPr>
            <w:r>
              <w:rPr>
                <w:rFonts w:hint="eastAsia"/>
              </w:rPr>
              <w:t xml:space="preserve">平均波动率</w:t>
            </w:r>
          </w:p>
        </w:tc>
        <w:tc>
          <w:tcPr/>
          <w:p>
            <w:pPr>
              <w:pStyle w:val="Compact"/>
              <w:jc w:val="right"/>
            </w:pPr>
            <w:r>
              <w:rPr>
                <w:rFonts w:hint="eastAsia"/>
              </w:rPr>
              <w:t xml:space="preserve">平均区间收益</w:t>
            </w:r>
          </w:p>
        </w:tc>
        <w:tc>
          <w:tcPr/>
          <w:p>
            <w:pPr>
              <w:pStyle w:val="Compact"/>
              <w:jc w:val="right"/>
            </w:pPr>
            <w:r>
              <w:rPr>
                <w:rFonts w:hint="eastAsia"/>
              </w:rPr>
              <w:t xml:space="preserve">平均最大回撤</w:t>
            </w:r>
          </w:p>
        </w:tc>
        <w:tc>
          <w:tcPr/>
          <w:p>
            <w:pPr>
              <w:pStyle w:val="Compact"/>
              <w:jc w:val="right"/>
            </w:pPr>
            <w:r>
              <w:rPr>
                <w:rFonts w:hint="eastAsia"/>
              </w:rPr>
              <w:t xml:space="preserve">平均夏普</w:t>
            </w:r>
          </w:p>
        </w:tc>
        <w:tc>
          <w:tcPr/>
          <w:p>
            <w:pPr>
              <w:pStyle w:val="Compact"/>
              <w:jc w:val="right"/>
            </w:pPr>
            <w:r>
              <w:rPr>
                <w:rFonts w:hint="eastAsia"/>
              </w:rPr>
              <w:t xml:space="preserve">平均Beta</w:t>
            </w:r>
          </w:p>
        </w:tc>
      </w:tr>
      <w:tr>
        <w:tc>
          <w:tcPr/>
          <w:p>
            <w:pPr>
              <w:pStyle w:val="Compact"/>
              <w:jc w:val="left"/>
            </w:pPr>
            <w:r>
              <w:rPr>
                <w:rFonts w:hint="eastAsia"/>
              </w:rPr>
              <w:t xml:space="preserve">进攻</w:t>
            </w:r>
          </w:p>
        </w:tc>
        <w:tc>
          <w:tcPr/>
          <w:p>
            <w:pPr>
              <w:pStyle w:val="Compact"/>
              <w:jc w:val="right"/>
            </w:pPr>
            <w:r>
              <w:t xml:space="preserve">9</w:t>
            </w:r>
          </w:p>
        </w:tc>
        <w:tc>
          <w:tcPr/>
          <w:p>
            <w:pPr>
              <w:pStyle w:val="Compact"/>
              <w:jc w:val="left"/>
            </w:pPr>
            <w:r>
              <w:rPr>
                <w:rFonts w:hint="eastAsia"/>
              </w:rPr>
              <w:t xml:space="preserve">德明利、江波龙、佰维存储、普冉股份、兆易创新、澜起科技、泡泡玛特、科伦药业、百济神州</w:t>
            </w:r>
          </w:p>
        </w:tc>
        <w:tc>
          <w:tcPr/>
          <w:p>
            <w:pPr>
              <w:pStyle w:val="Compact"/>
              <w:jc w:val="right"/>
            </w:pPr>
            <w:r>
              <w:t xml:space="preserve">64.9%</w:t>
            </w:r>
          </w:p>
        </w:tc>
        <w:tc>
          <w:tcPr/>
          <w:p>
            <w:pPr>
              <w:pStyle w:val="Compact"/>
              <w:jc w:val="right"/>
            </w:pPr>
            <w:r>
              <w:t xml:space="preserve">+357.5%</w:t>
            </w:r>
          </w:p>
        </w:tc>
        <w:tc>
          <w:tcPr/>
          <w:p>
            <w:pPr>
              <w:pStyle w:val="Compact"/>
              <w:jc w:val="right"/>
            </w:pPr>
            <w:r>
              <w:t xml:space="preserve">-46.4%</w:t>
            </w:r>
          </w:p>
        </w:tc>
        <w:tc>
          <w:tcPr/>
          <w:p>
            <w:pPr>
              <w:pStyle w:val="Compact"/>
              <w:jc w:val="right"/>
            </w:pPr>
            <w:r>
              <w:t xml:space="preserve">1.38</w:t>
            </w:r>
          </w:p>
        </w:tc>
        <w:tc>
          <w:tcPr/>
          <w:p>
            <w:pPr>
              <w:pStyle w:val="Compact"/>
              <w:jc w:val="right"/>
            </w:pPr>
            <w:r>
              <w:t xml:space="preserve">1.92</w:t>
            </w:r>
          </w:p>
        </w:tc>
      </w:tr>
      <w:tr>
        <w:tc>
          <w:tcPr/>
          <w:p>
            <w:pPr>
              <w:pStyle w:val="Compact"/>
              <w:jc w:val="left"/>
            </w:pPr>
            <w:r>
              <w:rPr>
                <w:rFonts w:hint="eastAsia"/>
              </w:rPr>
              <w:t xml:space="preserve">平衡</w:t>
            </w:r>
          </w:p>
        </w:tc>
        <w:tc>
          <w:tcPr/>
          <w:p>
            <w:pPr>
              <w:pStyle w:val="Compact"/>
              <w:jc w:val="right"/>
            </w:pPr>
            <w:r>
              <w:t xml:space="preserve">2</w:t>
            </w:r>
          </w:p>
        </w:tc>
        <w:tc>
          <w:tcPr/>
          <w:p>
            <w:pPr>
              <w:pStyle w:val="Compact"/>
              <w:jc w:val="left"/>
            </w:pPr>
            <w:r>
              <w:rPr>
                <w:rFonts w:hint="eastAsia"/>
              </w:rPr>
              <w:t xml:space="preserve">腾讯控股、恒瑞医药</w:t>
            </w:r>
          </w:p>
        </w:tc>
        <w:tc>
          <w:tcPr/>
          <w:p>
            <w:pPr>
              <w:pStyle w:val="Compact"/>
              <w:jc w:val="right"/>
            </w:pPr>
            <w:r>
              <w:t xml:space="preserve">33.4%</w:t>
            </w:r>
          </w:p>
        </w:tc>
        <w:tc>
          <w:tcPr/>
          <w:p>
            <w:pPr>
              <w:pStyle w:val="Compact"/>
              <w:jc w:val="right"/>
            </w:pPr>
            <w:r>
              <w:t xml:space="preserve">+32.0%</w:t>
            </w:r>
          </w:p>
        </w:tc>
        <w:tc>
          <w:tcPr/>
          <w:p>
            <w:pPr>
              <w:pStyle w:val="Compact"/>
              <w:jc w:val="right"/>
            </w:pPr>
            <w:r>
              <w:t xml:space="preserve">-37.4%</w:t>
            </w:r>
          </w:p>
        </w:tc>
        <w:tc>
          <w:tcPr/>
          <w:p>
            <w:pPr>
              <w:pStyle w:val="Compact"/>
              <w:jc w:val="right"/>
            </w:pPr>
            <w:r>
              <w:t xml:space="preserve">0.54</w:t>
            </w:r>
          </w:p>
        </w:tc>
        <w:tc>
          <w:tcPr/>
          <w:p>
            <w:pPr>
              <w:pStyle w:val="Compact"/>
              <w:jc w:val="right"/>
            </w:pPr>
            <w:r>
              <w:t xml:space="preserve">0.88</w:t>
            </w:r>
          </w:p>
        </w:tc>
      </w:tr>
      <w:tr>
        <w:tc>
          <w:tcPr/>
          <w:p>
            <w:pPr>
              <w:pStyle w:val="Compact"/>
              <w:jc w:val="left"/>
            </w:pPr>
            <w:r>
              <w:rPr>
                <w:rFonts w:hint="eastAsia"/>
              </w:rPr>
              <w:t xml:space="preserve">防守</w:t>
            </w:r>
          </w:p>
        </w:tc>
        <w:tc>
          <w:tcPr/>
          <w:p>
            <w:pPr>
              <w:pStyle w:val="Compact"/>
              <w:jc w:val="right"/>
            </w:pPr>
            <w:r>
              <w:t xml:space="preserve">9</w:t>
            </w:r>
          </w:p>
        </w:tc>
        <w:tc>
          <w:tcPr/>
          <w:p>
            <w:pPr>
              <w:pStyle w:val="Compact"/>
              <w:jc w:val="left"/>
            </w:pPr>
            <w:r>
              <w:rPr>
                <w:rFonts w:hint="eastAsia"/>
              </w:rPr>
              <w:t xml:space="preserve">红利ETF、伊利股份、美的集团、云南白药、同仁堂、达仁堂、片仔癀、贵州茅台、奇正藏药</w:t>
            </w:r>
          </w:p>
        </w:tc>
        <w:tc>
          <w:tcPr/>
          <w:p>
            <w:pPr>
              <w:pStyle w:val="Compact"/>
              <w:jc w:val="right"/>
            </w:pPr>
            <w:r>
              <w:t xml:space="preserve">24.9%</w:t>
            </w:r>
          </w:p>
        </w:tc>
        <w:tc>
          <w:tcPr/>
          <w:p>
            <w:pPr>
              <w:pStyle w:val="Compact"/>
              <w:jc w:val="right"/>
            </w:pPr>
            <w:r>
              <w:t xml:space="preserve">+5.4%</w:t>
            </w:r>
          </w:p>
        </w:tc>
        <w:tc>
          <w:tcPr/>
          <w:p>
            <w:pPr>
              <w:pStyle w:val="Compact"/>
              <w:jc w:val="right"/>
            </w:pPr>
            <w:r>
              <w:t xml:space="preserve">-30.4%</w:t>
            </w:r>
          </w:p>
        </w:tc>
        <w:tc>
          <w:tcPr/>
          <w:p>
            <w:pPr>
              <w:pStyle w:val="Compact"/>
              <w:jc w:val="right"/>
            </w:pPr>
            <w:r>
              <w:t xml:space="preserve">0.10</w:t>
            </w:r>
          </w:p>
        </w:tc>
        <w:tc>
          <w:tcPr/>
          <w:p>
            <w:pPr>
              <w:pStyle w:val="Compact"/>
              <w:jc w:val="right"/>
            </w:pPr>
            <w:r>
              <w:t xml:space="preserve">0.31</w:t>
            </w:r>
          </w:p>
        </w:tc>
      </w:tr>
    </w:tbl>
    <w:p>
      <w:pPr>
        <w:pStyle w:val="BodyText"/>
      </w:pPr>
      <w:r>
        <w:rPr>
          <w:rFonts w:hint="eastAsia"/>
        </w:rPr>
        <w:t xml:space="preserve">进攻型以半导体为主（6只），具有高弹性：上涨季度平均收益</w:t>
      </w:r>
      <w:r>
        <w:t xml:space="preserve"> </w:t>
      </w:r>
      <w:r>
        <w:rPr>
          <w:rFonts w:hint="eastAsia"/>
        </w:rPr>
        <w:t xml:space="preserve">+12%~+111%，下跌季度</w:t>
      </w:r>
      <w:r>
        <w:t xml:space="preserve"> </w:t>
      </w:r>
      <w:r>
        <w:rPr>
          <w:rFonts w:hint="eastAsia"/>
        </w:rPr>
        <w:t xml:space="preserve">-3.7%~-30.8%。防守型以消费和医药为主，弹性低：上涨季度</w:t>
      </w:r>
      <w:r>
        <w:t xml:space="preserve"> </w:t>
      </w:r>
      <w:r>
        <w:rPr>
          <w:rFonts w:hint="eastAsia"/>
        </w:rPr>
        <w:t xml:space="preserve">+0.2%~+6.3%，下跌季度</w:t>
      </w:r>
      <w:r>
        <w:t xml:space="preserve"> </w:t>
      </w:r>
      <w:r>
        <w:rPr>
          <w:rFonts w:hint="eastAsia"/>
        </w:rPr>
        <w:t xml:space="preserve">-1.2%~-12.4%。红利ETF波动率最低（12.1%）、回撤最浅（-13.6%），是天然的防御锚。</w:t>
      </w:r>
    </w:p>
    <w:bookmarkEnd w:id="50"/>
    <w:bookmarkStart w:id="51" w:name="季度攻防切换"/>
    <w:p>
      <w:pPr>
        <w:pStyle w:val="Heading3"/>
      </w:pPr>
      <w:r>
        <w:t xml:space="preserve">5.4.2 </w:t>
      </w:r>
      <w:r>
        <w:rPr>
          <w:rFonts w:hint="eastAsia"/>
        </w:rPr>
        <w:t xml:space="preserve">季度攻防切换</w:t>
      </w:r>
    </w:p>
    <w:p>
      <w:pPr>
        <w:pStyle w:val="FirstParagraph"/>
      </w:pPr>
      <w:r>
        <w:rPr>
          <w:rFonts w:hint="eastAsia"/>
        </w:rPr>
        <w:t xml:space="preserve">VQM策略并非静态配置，而是通过动量因子隐式地在季度间进行攻防切换。以下为各季度持仓的风格分布（每季</w:t>
      </w:r>
      <w:r>
        <w:t xml:space="preserve"> </w:t>
      </w:r>
      <w:r>
        <w:rPr>
          <w:rFonts w:hint="eastAsia"/>
        </w:rPr>
        <w:t xml:space="preserve">5只</w:t>
      </w:r>
      <w:r>
        <w:t xml:space="preserve"> × </w:t>
      </w:r>
      <w:r>
        <w:rPr>
          <w:rFonts w:hint="eastAsia"/>
        </w:rPr>
        <w:t xml:space="preserve">月数</w:t>
      </w:r>
      <w:r>
        <w:t xml:space="preserve"> = </w:t>
      </w:r>
      <w:r>
        <w:rPr>
          <w:rFonts w:hint="eastAsia"/>
        </w:rPr>
        <w:t xml:space="preserve">总持仓次数）：</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rFonts w:hint="eastAsia"/>
              </w:rPr>
              <w:t xml:space="preserve">季度</w:t>
            </w:r>
          </w:p>
        </w:tc>
        <w:tc>
          <w:tcPr/>
          <w:p>
            <w:pPr>
              <w:pStyle w:val="Compact"/>
              <w:jc w:val="right"/>
            </w:pPr>
            <w:r>
              <w:rPr>
                <w:rFonts w:hint="eastAsia"/>
              </w:rPr>
              <w:t xml:space="preserve">进攻</w:t>
            </w:r>
          </w:p>
        </w:tc>
        <w:tc>
          <w:tcPr/>
          <w:p>
            <w:pPr>
              <w:pStyle w:val="Compact"/>
              <w:jc w:val="right"/>
            </w:pPr>
            <w:r>
              <w:rPr>
                <w:rFonts w:hint="eastAsia"/>
              </w:rPr>
              <w:t xml:space="preserve">平衡</w:t>
            </w:r>
          </w:p>
        </w:tc>
        <w:tc>
          <w:tcPr/>
          <w:p>
            <w:pPr>
              <w:pStyle w:val="Compact"/>
              <w:jc w:val="right"/>
            </w:pPr>
            <w:r>
              <w:rPr>
                <w:rFonts w:hint="eastAsia"/>
              </w:rPr>
              <w:t xml:space="preserve">防守</w:t>
            </w:r>
          </w:p>
        </w:tc>
        <w:tc>
          <w:tcPr/>
          <w:p>
            <w:pPr>
              <w:pStyle w:val="Compact"/>
              <w:jc w:val="right"/>
            </w:pPr>
            <w:r>
              <w:rPr>
                <w:rFonts w:hint="eastAsia"/>
              </w:rPr>
              <w:t xml:space="preserve">总计</w:t>
            </w:r>
          </w:p>
        </w:tc>
        <w:tc>
          <w:tcPr/>
          <w:p>
            <w:pPr>
              <w:pStyle w:val="Compact"/>
              <w:jc w:val="left"/>
            </w:pPr>
            <w:r>
              <w:rPr>
                <w:rFonts w:hint="eastAsia"/>
              </w:rPr>
              <w:t xml:space="preserve">特征</w:t>
            </w:r>
          </w:p>
        </w:tc>
      </w:tr>
      <w:tr>
        <w:tc>
          <w:tcPr/>
          <w:p>
            <w:pPr>
              <w:pStyle w:val="Compact"/>
              <w:jc w:val="left"/>
            </w:pPr>
            <w:r>
              <w:t xml:space="preserve">2025Q1</w:t>
            </w:r>
          </w:p>
        </w:tc>
        <w:tc>
          <w:tcPr/>
          <w:p>
            <w:pPr>
              <w:pStyle w:val="Compact"/>
              <w:jc w:val="right"/>
            </w:pPr>
            <w:r>
              <w:t xml:space="preserve">13</w:t>
            </w:r>
          </w:p>
        </w:tc>
        <w:tc>
          <w:tcPr/>
          <w:p>
            <w:pPr>
              <w:pStyle w:val="Compact"/>
              <w:jc w:val="right"/>
            </w:pPr>
            <w:r>
              <w:t xml:space="preserve">2</w:t>
            </w:r>
          </w:p>
        </w:tc>
        <w:tc>
          <w:tcPr/>
          <w:p>
            <w:pPr>
              <w:pStyle w:val="Compact"/>
              <w:jc w:val="right"/>
            </w:pPr>
            <w:r>
              <w:t xml:space="preserve">0</w:t>
            </w:r>
          </w:p>
        </w:tc>
        <w:tc>
          <w:tcPr/>
          <w:p>
            <w:pPr>
              <w:pStyle w:val="Compact"/>
              <w:jc w:val="right"/>
            </w:pPr>
            <w:r>
              <w:t xml:space="preserve">15</w:t>
            </w:r>
          </w:p>
        </w:tc>
        <w:tc>
          <w:tcPr/>
          <w:p>
            <w:pPr>
              <w:pStyle w:val="Compact"/>
              <w:jc w:val="left"/>
            </w:pPr>
            <w:r>
              <w:rPr>
                <w:rFonts w:hint="eastAsia"/>
              </w:rPr>
              <w:t xml:space="preserve">全面进攻</w:t>
            </w:r>
          </w:p>
        </w:tc>
      </w:tr>
      <w:tr>
        <w:tc>
          <w:tcPr/>
          <w:p>
            <w:pPr>
              <w:pStyle w:val="Compact"/>
              <w:jc w:val="left"/>
            </w:pPr>
            <w:r>
              <w:t xml:space="preserve">2025Q2</w:t>
            </w:r>
          </w:p>
        </w:tc>
        <w:tc>
          <w:tcPr/>
          <w:p>
            <w:pPr>
              <w:pStyle w:val="Compact"/>
              <w:jc w:val="right"/>
            </w:pPr>
            <w:r>
              <w:t xml:space="preserve">6</w:t>
            </w:r>
          </w:p>
        </w:tc>
        <w:tc>
          <w:tcPr/>
          <w:p>
            <w:pPr>
              <w:pStyle w:val="Compact"/>
              <w:jc w:val="right"/>
            </w:pPr>
            <w:r>
              <w:t xml:space="preserve">3</w:t>
            </w:r>
          </w:p>
        </w:tc>
        <w:tc>
          <w:tcPr/>
          <w:p>
            <w:pPr>
              <w:pStyle w:val="Compact"/>
              <w:jc w:val="right"/>
            </w:pPr>
            <w:r>
              <w:t xml:space="preserve">6</w:t>
            </w:r>
          </w:p>
        </w:tc>
        <w:tc>
          <w:tcPr/>
          <w:p>
            <w:pPr>
              <w:pStyle w:val="Compact"/>
              <w:jc w:val="right"/>
            </w:pPr>
            <w:r>
              <w:t xml:space="preserve">15</w:t>
            </w:r>
          </w:p>
        </w:tc>
        <w:tc>
          <w:tcPr/>
          <w:p>
            <w:pPr>
              <w:pStyle w:val="Compact"/>
              <w:jc w:val="left"/>
            </w:pPr>
            <w:r>
              <w:rPr>
                <w:rFonts w:hint="eastAsia"/>
              </w:rPr>
              <w:t xml:space="preserve">攻守均衡</w:t>
            </w:r>
          </w:p>
        </w:tc>
      </w:tr>
      <w:tr>
        <w:tc>
          <w:tcPr/>
          <w:p>
            <w:pPr>
              <w:pStyle w:val="Compact"/>
              <w:jc w:val="left"/>
            </w:pPr>
            <w:r>
              <w:t xml:space="preserve">2025Q3</w:t>
            </w:r>
          </w:p>
        </w:tc>
        <w:tc>
          <w:tcPr/>
          <w:p>
            <w:pPr>
              <w:pStyle w:val="Compact"/>
              <w:jc w:val="right"/>
            </w:pPr>
            <w:r>
              <w:t xml:space="preserve">8</w:t>
            </w:r>
          </w:p>
        </w:tc>
        <w:tc>
          <w:tcPr/>
          <w:p>
            <w:pPr>
              <w:pStyle w:val="Compact"/>
              <w:jc w:val="right"/>
            </w:pPr>
            <w:r>
              <w:t xml:space="preserve">3</w:t>
            </w:r>
          </w:p>
        </w:tc>
        <w:tc>
          <w:tcPr/>
          <w:p>
            <w:pPr>
              <w:pStyle w:val="Compact"/>
              <w:jc w:val="right"/>
            </w:pPr>
            <w:r>
              <w:t xml:space="preserve">4</w:t>
            </w:r>
          </w:p>
        </w:tc>
        <w:tc>
          <w:tcPr/>
          <w:p>
            <w:pPr>
              <w:pStyle w:val="Compact"/>
              <w:jc w:val="right"/>
            </w:pPr>
            <w:r>
              <w:t xml:space="preserve">15</w:t>
            </w:r>
          </w:p>
        </w:tc>
        <w:tc>
          <w:tcPr/>
          <w:p>
            <w:pPr>
              <w:pStyle w:val="Compact"/>
              <w:jc w:val="left"/>
            </w:pPr>
            <w:r>
              <w:rPr>
                <w:rFonts w:hint="eastAsia"/>
              </w:rPr>
              <w:t xml:space="preserve">偏进攻</w:t>
            </w:r>
          </w:p>
        </w:tc>
      </w:tr>
      <w:tr>
        <w:tc>
          <w:tcPr/>
          <w:p>
            <w:pPr>
              <w:pStyle w:val="Compact"/>
              <w:jc w:val="left"/>
            </w:pPr>
            <w:r>
              <w:t xml:space="preserve">2025Q4</w:t>
            </w:r>
          </w:p>
        </w:tc>
        <w:tc>
          <w:tcPr/>
          <w:p>
            <w:pPr>
              <w:pStyle w:val="Compact"/>
              <w:jc w:val="right"/>
            </w:pPr>
            <w:r>
              <w:t xml:space="preserve">9</w:t>
            </w:r>
          </w:p>
        </w:tc>
        <w:tc>
          <w:tcPr/>
          <w:p>
            <w:pPr>
              <w:pStyle w:val="Compact"/>
              <w:jc w:val="right"/>
            </w:pPr>
            <w:r>
              <w:t xml:space="preserve">2</w:t>
            </w:r>
          </w:p>
        </w:tc>
        <w:tc>
          <w:tcPr/>
          <w:p>
            <w:pPr>
              <w:pStyle w:val="Compact"/>
              <w:jc w:val="right"/>
            </w:pPr>
            <w:r>
              <w:t xml:space="preserve">4</w:t>
            </w:r>
          </w:p>
        </w:tc>
        <w:tc>
          <w:tcPr/>
          <w:p>
            <w:pPr>
              <w:pStyle w:val="Compact"/>
              <w:jc w:val="right"/>
            </w:pPr>
            <w:r>
              <w:t xml:space="preserve">15</w:t>
            </w:r>
          </w:p>
        </w:tc>
        <w:tc>
          <w:tcPr/>
          <w:p>
            <w:pPr>
              <w:pStyle w:val="Compact"/>
              <w:jc w:val="left"/>
            </w:pPr>
            <w:r>
              <w:rPr>
                <w:rFonts w:hint="eastAsia"/>
              </w:rPr>
              <w:t xml:space="preserve">偏进攻</w:t>
            </w:r>
          </w:p>
        </w:tc>
      </w:tr>
      <w:tr>
        <w:tc>
          <w:tcPr/>
          <w:p>
            <w:pPr>
              <w:pStyle w:val="Compact"/>
              <w:jc w:val="left"/>
            </w:pPr>
            <w:r>
              <w:t xml:space="preserve">2026Q1</w:t>
            </w:r>
          </w:p>
        </w:tc>
        <w:tc>
          <w:tcPr/>
          <w:p>
            <w:pPr>
              <w:pStyle w:val="Compact"/>
              <w:jc w:val="right"/>
            </w:pPr>
            <w:r>
              <w:t xml:space="preserve">13</w:t>
            </w:r>
          </w:p>
        </w:tc>
        <w:tc>
          <w:tcPr/>
          <w:p>
            <w:pPr>
              <w:pStyle w:val="Compact"/>
              <w:jc w:val="right"/>
            </w:pPr>
            <w:r>
              <w:t xml:space="preserve">0</w:t>
            </w:r>
          </w:p>
        </w:tc>
        <w:tc>
          <w:tcPr/>
          <w:p>
            <w:pPr>
              <w:pStyle w:val="Compact"/>
              <w:jc w:val="right"/>
            </w:pPr>
            <w:r>
              <w:t xml:space="preserve">2</w:t>
            </w:r>
          </w:p>
        </w:tc>
        <w:tc>
          <w:tcPr/>
          <w:p>
            <w:pPr>
              <w:pStyle w:val="Compact"/>
              <w:jc w:val="right"/>
            </w:pPr>
            <w:r>
              <w:t xml:space="preserve">15</w:t>
            </w:r>
          </w:p>
        </w:tc>
        <w:tc>
          <w:tcPr/>
          <w:p>
            <w:pPr>
              <w:pStyle w:val="Compact"/>
              <w:jc w:val="left"/>
            </w:pPr>
            <w:r>
              <w:rPr>
                <w:rFonts w:hint="eastAsia"/>
              </w:rPr>
              <w:t xml:space="preserve">全面进攻（风险信号）</w:t>
            </w:r>
          </w:p>
        </w:tc>
      </w:tr>
      <w:tr>
        <w:tc>
          <w:tcPr/>
          <w:p>
            <w:pPr>
              <w:pStyle w:val="Compact"/>
              <w:jc w:val="left"/>
            </w:pPr>
            <w:r>
              <w:t xml:space="preserve">2026Q2</w:t>
            </w:r>
          </w:p>
        </w:tc>
        <w:tc>
          <w:tcPr/>
          <w:p>
            <w:pPr>
              <w:pStyle w:val="Compact"/>
              <w:jc w:val="right"/>
            </w:pPr>
            <w:r>
              <w:t xml:space="preserve">12</w:t>
            </w:r>
          </w:p>
        </w:tc>
        <w:tc>
          <w:tcPr/>
          <w:p>
            <w:pPr>
              <w:pStyle w:val="Compact"/>
              <w:jc w:val="right"/>
            </w:pPr>
            <w:r>
              <w:t xml:space="preserve">0</w:t>
            </w:r>
          </w:p>
        </w:tc>
        <w:tc>
          <w:tcPr/>
          <w:p>
            <w:pPr>
              <w:pStyle w:val="Compact"/>
              <w:jc w:val="right"/>
            </w:pPr>
            <w:r>
              <w:t xml:space="preserve">3</w:t>
            </w:r>
          </w:p>
        </w:tc>
        <w:tc>
          <w:tcPr/>
          <w:p>
            <w:pPr>
              <w:pStyle w:val="Compact"/>
              <w:jc w:val="right"/>
            </w:pPr>
            <w:r>
              <w:t xml:space="preserve">15</w:t>
            </w:r>
          </w:p>
        </w:tc>
        <w:tc>
          <w:tcPr/>
          <w:p>
            <w:pPr>
              <w:pStyle w:val="Compact"/>
              <w:jc w:val="left"/>
            </w:pPr>
            <w:r>
              <w:rPr>
                <w:rFonts w:hint="eastAsia"/>
              </w:rPr>
              <w:t xml:space="preserve">偏进攻</w:t>
            </w:r>
          </w:p>
        </w:tc>
      </w:tr>
      <w:tr>
        <w:tc>
          <w:tcPr/>
          <w:p>
            <w:pPr>
              <w:pStyle w:val="Compact"/>
              <w:jc w:val="left"/>
            </w:pPr>
            <w:r>
              <w:t xml:space="preserve">2026Q3</w:t>
            </w:r>
          </w:p>
        </w:tc>
        <w:tc>
          <w:tcPr/>
          <w:p>
            <w:pPr>
              <w:pStyle w:val="Compact"/>
              <w:jc w:val="right"/>
            </w:pPr>
            <w:r>
              <w:t xml:space="preserve">4</w:t>
            </w:r>
          </w:p>
        </w:tc>
        <w:tc>
          <w:tcPr/>
          <w:p>
            <w:pPr>
              <w:pStyle w:val="Compact"/>
              <w:jc w:val="right"/>
            </w:pPr>
            <w:r>
              <w:t xml:space="preserve">0</w:t>
            </w:r>
          </w:p>
        </w:tc>
        <w:tc>
          <w:tcPr/>
          <w:p>
            <w:pPr>
              <w:pStyle w:val="Compact"/>
              <w:jc w:val="right"/>
            </w:pPr>
            <w:r>
              <w:t xml:space="preserve">1</w:t>
            </w:r>
          </w:p>
        </w:tc>
        <w:tc>
          <w:tcPr/>
          <w:p>
            <w:pPr>
              <w:pStyle w:val="Compact"/>
              <w:jc w:val="right"/>
            </w:pPr>
            <w:r>
              <w:t xml:space="preserve">5</w:t>
            </w:r>
          </w:p>
        </w:tc>
        <w:tc>
          <w:tcPr/>
          <w:p>
            <w:pPr>
              <w:pStyle w:val="Compact"/>
              <w:jc w:val="left"/>
            </w:pPr>
            <w:r>
              <w:rPr>
                <w:rFonts w:hint="eastAsia"/>
              </w:rPr>
              <w:t xml:space="preserve">减仓修正</w:t>
            </w:r>
          </w:p>
        </w:tc>
      </w:tr>
    </w:tbl>
    <w:p>
      <w:pPr>
        <w:pStyle w:val="BodyText"/>
      </w:pPr>
      <w:r>
        <w:rPr>
          <w:rFonts w:hint="eastAsia"/>
        </w:rPr>
        <w:t xml:space="preserve">策略的攻防切换呈现明显的动量驱动特征：</w:t>
      </w:r>
    </w:p>
    <w:p>
      <w:pPr>
        <w:pStyle w:val="Compact"/>
        <w:numPr>
          <w:ilvl w:val="0"/>
          <w:numId w:val="1016"/>
        </w:numPr>
      </w:pPr>
      <w:r>
        <w:rPr>
          <w:b/>
          <w:bCs/>
        </w:rPr>
        <w:t xml:space="preserve">2025Q1 </w:t>
      </w:r>
      <w:r>
        <w:rPr>
          <w:rFonts w:hint="eastAsia"/>
          <w:b/>
          <w:bCs/>
        </w:rPr>
        <w:t xml:space="preserve">全面进攻</w:t>
      </w:r>
      <w:r>
        <w:rPr>
          <w:rFonts w:hint="eastAsia"/>
        </w:rPr>
        <w:t xml:space="preserve">：半导体动量初起，策略重仓进攻型股票，为后续主升浪布局</w:t>
      </w:r>
    </w:p>
    <w:p>
      <w:pPr>
        <w:pStyle w:val="Compact"/>
        <w:numPr>
          <w:ilvl w:val="0"/>
          <w:numId w:val="1016"/>
        </w:numPr>
      </w:pPr>
      <w:r>
        <w:rPr>
          <w:b/>
          <w:bCs/>
        </w:rPr>
        <w:t xml:space="preserve">2025Q2 </w:t>
      </w:r>
      <w:r>
        <w:rPr>
          <w:rFonts w:hint="eastAsia"/>
          <w:b/>
          <w:bCs/>
        </w:rPr>
        <w:t xml:space="preserve">攻守均衡</w:t>
      </w:r>
      <w:r>
        <w:rPr>
          <w:rFonts w:hint="eastAsia"/>
        </w:rPr>
        <w:t xml:space="preserve">：市场不确定性增加，策略纳入6次防守型持仓，动量信号短暂趋平</w:t>
      </w:r>
    </w:p>
    <w:p>
      <w:pPr>
        <w:pStyle w:val="Compact"/>
        <w:numPr>
          <w:ilvl w:val="0"/>
          <w:numId w:val="1016"/>
        </w:numPr>
      </w:pPr>
      <w:r>
        <w:rPr>
          <w:b/>
          <w:bCs/>
        </w:rPr>
        <w:t xml:space="preserve">2025Q3-Q4 </w:t>
      </w:r>
      <w:r>
        <w:rPr>
          <w:rFonts w:hint="eastAsia"/>
          <w:b/>
          <w:bCs/>
        </w:rPr>
        <w:t xml:space="preserve">偏进攻</w:t>
      </w:r>
      <w:r>
        <w:rPr>
          <w:rFonts w:hint="eastAsia"/>
        </w:rPr>
        <w:t xml:space="preserve">：存储芯片主升浪期间，策略持续偏向进攻型，捕获了最大的超额收益</w:t>
      </w:r>
    </w:p>
    <w:p>
      <w:pPr>
        <w:pStyle w:val="Compact"/>
        <w:numPr>
          <w:ilvl w:val="0"/>
          <w:numId w:val="1016"/>
        </w:numPr>
      </w:pPr>
      <w:r>
        <w:rPr>
          <w:b/>
          <w:bCs/>
        </w:rPr>
        <w:t xml:space="preserve">2026Q1 </w:t>
      </w:r>
      <w:r>
        <w:rPr>
          <w:rFonts w:hint="eastAsia"/>
          <w:b/>
          <w:bCs/>
        </w:rPr>
        <w:t xml:space="preserve">全面进攻（风险信号）</w:t>
      </w:r>
      <w:r>
        <w:rPr>
          <w:rFonts w:hint="eastAsia"/>
        </w:rPr>
        <w:t xml:space="preserve">：市场已转入下跌市，但动量因子仍在追逐高位强势股，13次进攻、0次防守——这是动量策略在趋势拐点的典型滞后特征</w:t>
      </w:r>
      <w:r>
        <w:t xml:space="preserve"> (Jegadeesh &amp; Titman, 1993; Carhart, 1997)</w:t>
      </w:r>
    </w:p>
    <w:p>
      <w:pPr>
        <w:pStyle w:val="Compact"/>
        <w:numPr>
          <w:ilvl w:val="0"/>
          <w:numId w:val="1016"/>
        </w:numPr>
      </w:pPr>
      <w:r>
        <w:rPr>
          <w:b/>
          <w:bCs/>
        </w:rPr>
        <w:t xml:space="preserve">2026Q3 </w:t>
      </w:r>
      <w:r>
        <w:rPr>
          <w:rFonts w:hint="eastAsia"/>
          <w:b/>
          <w:bCs/>
        </w:rPr>
        <w:t xml:space="preserve">减仓修正</w:t>
      </w:r>
      <w:r>
        <w:rPr>
          <w:rFonts w:hint="eastAsia"/>
        </w:rPr>
        <w:t xml:space="preserve">：7月科技股回调后，策略仅选出4次进攻型持仓，动量信号大幅衰减</w:t>
      </w:r>
    </w:p>
    <w:bookmarkEnd w:id="51"/>
    <w:bookmarkEnd w:id="52"/>
    <w:bookmarkEnd w:id="53"/>
    <w:bookmarkStart w:id="60" w:name="第6章-结论局限与下一步"/>
    <w:p>
      <w:pPr>
        <w:pStyle w:val="Heading1"/>
      </w:pPr>
      <w:r>
        <w:rPr>
          <w:rFonts w:hint="eastAsia"/>
        </w:rPr>
        <w:t xml:space="preserve">第6章</w:t>
      </w:r>
      <w:r>
        <w:t xml:space="preserve"> </w:t>
      </w:r>
      <w:r>
        <w:rPr>
          <w:rFonts w:hint="eastAsia"/>
        </w:rPr>
        <w:t xml:space="preserve">结论、局限与下一步</w:t>
      </w:r>
    </w:p>
    <w:bookmarkStart w:id="54" w:name="结论"/>
    <w:p>
      <w:pPr>
        <w:pStyle w:val="Heading2"/>
      </w:pPr>
      <w:r>
        <w:t xml:space="preserve">6.1 </w:t>
      </w:r>
      <w:r>
        <w:rPr>
          <w:rFonts w:hint="eastAsia"/>
        </w:rPr>
        <w:t xml:space="preserve">结论</w:t>
      </w:r>
    </w:p>
    <w:p>
      <w:pPr>
        <w:pStyle w:val="Compact"/>
        <w:numPr>
          <w:ilvl w:val="0"/>
          <w:numId w:val="1017"/>
        </w:numPr>
      </w:pPr>
      <w:r>
        <w:rPr>
          <w:rFonts w:hint="eastAsia"/>
        </w:rPr>
        <w:t xml:space="preserve">VQM三因子策略在2025-01-27至2026-07-21期间累计收益210.8%，超额沪深300达186.7%，年化收益123.2%远超基准的16.6%，三项成功标准（绝对收益≥0、超额收益≥0、最大回撤≤15%）全部通过。</w:t>
      </w:r>
    </w:p>
    <w:p>
      <w:pPr>
        <w:pStyle w:val="Compact"/>
        <w:numPr>
          <w:ilvl w:val="0"/>
          <w:numId w:val="1017"/>
        </w:numPr>
      </w:pPr>
      <w:r>
        <w:rPr>
          <w:rFonts w:hint="eastAsia"/>
        </w:rPr>
        <w:t xml:space="preserve">最大回撤仅-14.7%，低于预设15%的风控线，15%回撤控制机制在2025年末存储芯片板块回调中发挥了关键作用，夏普比率2.32显著优于基准的0.87，风险控制良好。</w:t>
      </w:r>
    </w:p>
    <w:p>
      <w:pPr>
        <w:pStyle w:val="Compact"/>
        <w:numPr>
          <w:ilvl w:val="0"/>
          <w:numId w:val="1017"/>
        </w:numPr>
      </w:pPr>
      <w:r>
        <w:rPr>
          <w:rFonts w:hint="eastAsia"/>
        </w:rPr>
        <w:t xml:space="preserve">策略收益高度来源于动量因子对存储芯片板块的捕捉，德明利、江波龙、佰维存储三只股票合计贡献约124%的组合收益，是超额收益的核心来源；攻防风格分析显示策略在2026Q1下跌市中仍全面进攻，暴露了动量因子在趋势拐点的滞后性。</w:t>
      </w:r>
    </w:p>
    <w:bookmarkEnd w:id="54"/>
    <w:bookmarkStart w:id="55" w:name="局限"/>
    <w:p>
      <w:pPr>
        <w:pStyle w:val="Heading2"/>
      </w:pPr>
      <w:r>
        <w:t xml:space="preserve">6.2 </w:t>
      </w:r>
      <w:r>
        <w:rPr>
          <w:rFonts w:hint="eastAsia"/>
        </w:rPr>
        <w:t xml:space="preserve">局限</w:t>
      </w:r>
    </w:p>
    <w:p>
      <w:pPr>
        <w:pStyle w:val="Compact"/>
        <w:numPr>
          <w:ilvl w:val="0"/>
          <w:numId w:val="1018"/>
        </w:numPr>
      </w:pPr>
      <w:r>
        <w:rPr>
          <w:rFonts w:hint="eastAsia"/>
          <w:b/>
          <w:bCs/>
        </w:rPr>
        <w:t xml:space="preserve">样本有限</w:t>
      </w:r>
      <w:r>
        <w:rPr>
          <w:rFonts w:hint="eastAsia"/>
        </w:rPr>
        <w:t xml:space="preserve">：股票池仅20只，每月选5只，结论可能不具普适性，难以推广至全市场。</w:t>
      </w:r>
    </w:p>
    <w:p>
      <w:pPr>
        <w:pStyle w:val="Compact"/>
        <w:numPr>
          <w:ilvl w:val="0"/>
          <w:numId w:val="1018"/>
        </w:numPr>
      </w:pPr>
      <w:r>
        <w:rPr>
          <w:rFonts w:hint="eastAsia"/>
          <w:b/>
          <w:bCs/>
        </w:rPr>
        <w:t xml:space="preserve">未考虑交易成本</w:t>
      </w:r>
      <w:r>
        <w:rPr>
          <w:rFonts w:hint="eastAsia"/>
        </w:rPr>
        <w:t xml:space="preserve">：实际交易中印花税、佣金、滑点会降低净收益，月度调仓的换手率较高时影响尤为显著。</w:t>
      </w:r>
    </w:p>
    <w:p>
      <w:pPr>
        <w:pStyle w:val="Compact"/>
        <w:numPr>
          <w:ilvl w:val="0"/>
          <w:numId w:val="1018"/>
        </w:numPr>
      </w:pPr>
      <w:r>
        <w:rPr>
          <w:rFonts w:hint="eastAsia"/>
          <w:b/>
          <w:bCs/>
        </w:rPr>
        <w:t xml:space="preserve">数据区间较短</w:t>
      </w:r>
      <w:r>
        <w:rPr>
          <w:rFonts w:hint="eastAsia"/>
        </w:rPr>
        <w:t xml:space="preserve">：策略有效回测期仅约1.5年（2025-01至2026-07），未经历完整牛熊周期，策略在极端行情下的表现有待验证。</w:t>
      </w:r>
    </w:p>
    <w:p>
      <w:pPr>
        <w:pStyle w:val="Compact"/>
        <w:numPr>
          <w:ilvl w:val="0"/>
          <w:numId w:val="1018"/>
        </w:numPr>
      </w:pPr>
      <w:r>
        <w:rPr>
          <w:rFonts w:hint="eastAsia"/>
          <w:b/>
          <w:bCs/>
        </w:rPr>
        <w:t xml:space="preserve">基本面因子静态化</w:t>
      </w:r>
      <w:r>
        <w:rPr>
          <w:rFonts w:hint="eastAsia"/>
        </w:rPr>
        <w:t xml:space="preserve">：PE和ROE为回测期内获取的快照值，未随季报更新动态调整，可能高估了质量与价值因子的截面区分度</w:t>
      </w:r>
      <w:r>
        <w:t xml:space="preserve"> (Novy-Marx, 2013; Lakonishok, Shleifer &amp; Vishny, 1994)。</w:t>
      </w:r>
    </w:p>
    <w:p>
      <w:pPr>
        <w:pStyle w:val="Compact"/>
        <w:numPr>
          <w:ilvl w:val="0"/>
          <w:numId w:val="1018"/>
        </w:numPr>
      </w:pPr>
      <w:r>
        <w:rPr>
          <w:rFonts w:hint="eastAsia"/>
          <w:b/>
          <w:bCs/>
        </w:rPr>
        <w:t xml:space="preserve">风格集中</w:t>
      </w:r>
      <w:r>
        <w:rPr>
          <w:rFonts w:hint="eastAsia"/>
        </w:rPr>
        <w:t xml:space="preserve">：策略对半导体板块暴露过度集中，在板块系统性回调时（如2026年7月）面临较大压力。当前策略的攻防切换完全由动量因子隐式驱动，存在两个结构性问题：（1）在市场拐点处滞后，如2026Q1在下跌市中仍全面进攻</w:t>
      </w:r>
      <w:r>
        <w:t xml:space="preserve"> (Jegadeesh &amp; Titman, </w:t>
      </w:r>
      <w:r>
        <w:rPr>
          <w:rFonts w:hint="eastAsia"/>
        </w:rPr>
        <w:t xml:space="preserve">1993)；（2）15%回撤控制是”一刀切”式全仓转现金，缺乏渐进式防御过渡。</w:t>
      </w:r>
    </w:p>
    <w:bookmarkEnd w:id="55"/>
    <w:bookmarkStart w:id="59" w:name="下一步"/>
    <w:p>
      <w:pPr>
        <w:pStyle w:val="Heading2"/>
      </w:pPr>
      <w:r>
        <w:t xml:space="preserve">6.3 </w:t>
      </w:r>
      <w:r>
        <w:rPr>
          <w:rFonts w:hint="eastAsia"/>
        </w:rPr>
        <w:t xml:space="preserve">下一步</w:t>
      </w:r>
    </w:p>
    <w:p>
      <w:pPr>
        <w:numPr>
          <w:ilvl w:val="0"/>
          <w:numId w:val="1019"/>
        </w:numPr>
      </w:pPr>
      <w:r>
        <w:rPr>
          <w:rFonts w:hint="eastAsia"/>
          <w:b/>
          <w:bCs/>
        </w:rPr>
        <w:t xml:space="preserve">加入风格约束</w:t>
      </w:r>
      <w:r>
        <w:rPr>
          <w:rFonts w:hint="eastAsia"/>
        </w:rPr>
        <w:t xml:space="preserve">：在选股规则中限制进攻型持仓数量（如最多3只）或要求至少1只防守型持仓，缓解动量因子在趋势拐点的滞后风险。</w:t>
      </w:r>
    </w:p>
    <w:p>
      <w:pPr>
        <w:numPr>
          <w:ilvl w:val="0"/>
          <w:numId w:val="1019"/>
        </w:numPr>
      </w:pPr>
      <w:r>
        <w:rPr>
          <w:rFonts w:hint="eastAsia"/>
          <w:b/>
          <w:bCs/>
        </w:rPr>
        <w:t xml:space="preserve">引入渐进式防御</w:t>
      </w:r>
      <w:r>
        <w:rPr>
          <w:rFonts w:hint="eastAsia"/>
        </w:rPr>
        <w:t xml:space="preserve">：当组合回撤超过10%时，将最弱持仓替换为红利ETF（波动率12.1%、最大回撤-13.6%，全池最低），替代当前15%一刀切全仓转现金的机制。</w:t>
      </w:r>
    </w:p>
    <w:p>
      <w:pPr>
        <w:numPr>
          <w:ilvl w:val="0"/>
          <w:numId w:val="1019"/>
        </w:numPr>
      </w:pPr>
      <w:r>
        <w:rPr>
          <w:rFonts w:hint="eastAsia"/>
          <w:b/>
          <w:bCs/>
        </w:rPr>
        <w:t xml:space="preserve">相对动量风格轮动</w:t>
      </w:r>
      <w:r>
        <w:rPr>
          <w:rFonts w:hint="eastAsia"/>
        </w:rPr>
        <w:t xml:space="preserve">：比较进攻组与防守组的近期动量强弱，动态调整配置比例——进攻组动量领先时配置3进攻+2防守，防守组领先时切换为2进攻+3防守。</w:t>
      </w:r>
    </w:p>
    <w:p>
      <w:pPr>
        <w:numPr>
          <w:ilvl w:val="0"/>
          <w:numId w:val="1019"/>
        </w:numPr>
      </w:pPr>
      <w:r>
        <w:rPr>
          <w:rFonts w:hint="eastAsia"/>
          <w:b/>
          <w:bCs/>
        </w:rPr>
        <w:t xml:space="preserve">扩大股票池</w:t>
      </w:r>
      <w:r>
        <w:rPr>
          <w:rFonts w:hint="eastAsia"/>
        </w:rPr>
        <w:t xml:space="preserve">：将候选股票从20只扩展至50只以上，覆盖更多行业，降低单一板块暴露风险，提升结论的普适性。</w:t>
      </w:r>
    </w:p>
    <w:p>
      <w:pPr>
        <w:numPr>
          <w:ilvl w:val="0"/>
          <w:numId w:val="1019"/>
        </w:numPr>
      </w:pPr>
      <w:r>
        <w:rPr>
          <w:rFonts w:hint="eastAsia"/>
          <w:b/>
          <w:bCs/>
        </w:rPr>
        <w:t xml:space="preserve">纳入交易成本</w:t>
      </w:r>
      <w:r>
        <w:rPr>
          <w:rFonts w:hint="eastAsia"/>
        </w:rPr>
        <w:t xml:space="preserve">：在回测中加入双边千分之一的交易成本假设，评估策略在扣费后的真实超额收益。</w:t>
      </w:r>
    </w:p>
    <w:p>
      <w:pPr>
        <w:numPr>
          <w:ilvl w:val="0"/>
          <w:numId w:val="1019"/>
        </w:numPr>
      </w:pPr>
      <w:r>
        <w:rPr>
          <w:rFonts w:hint="eastAsia"/>
          <w:b/>
          <w:bCs/>
        </w:rPr>
        <w:t xml:space="preserve">动态基本面因子</w:t>
      </w:r>
      <w:r>
        <w:rPr>
          <w:rFonts w:hint="eastAsia"/>
        </w:rPr>
        <w:t xml:space="preserve">：按季报发布时间滚动更新PE和ROE，使质量与价值因子反映最新的基本面信息。</w:t>
      </w:r>
    </w:p>
    <w:p>
      <w:pPr>
        <w:numPr>
          <w:ilvl w:val="0"/>
          <w:numId w:val="1019"/>
        </w:numPr>
      </w:pPr>
      <w:r>
        <w:rPr>
          <w:rFonts w:hint="eastAsia"/>
          <w:b/>
          <w:bCs/>
        </w:rPr>
        <w:t xml:space="preserve">空仓期替代资产测试</w:t>
      </w:r>
      <w:r>
        <w:rPr>
          <w:rFonts w:hint="eastAsia"/>
        </w:rPr>
        <w:t xml:space="preserve">：当前策略在回撤超过15%时全仓转现金。我们测试了在6个空仓期（共119个交易日）改为持有红利ETF（515100）的替代方案，结果如下：</w:t>
      </w:r>
    </w:p>
    <w:tbl>
      <w:tblPr>
        <w:tblStyle w:val="Table"/>
        <w:tblW w:type="auto" w:w="0"/>
        <w:jc w:val="left"/>
        <w:tblInd w:w="720" w:type="dxa"/>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指标</w:t>
            </w:r>
          </w:p>
        </w:tc>
        <w:tc>
          <w:tcPr/>
          <w:p>
            <w:pPr>
              <w:pStyle w:val="Compact"/>
              <w:jc w:val="right"/>
            </w:pPr>
            <w:r>
              <w:rPr>
                <w:rFonts w:hint="eastAsia"/>
              </w:rPr>
              <w:t xml:space="preserve">空仓持现金（原策略）</w:t>
            </w:r>
          </w:p>
        </w:tc>
        <w:tc>
          <w:tcPr/>
          <w:p>
            <w:pPr>
              <w:pStyle w:val="Compact"/>
              <w:jc w:val="right"/>
            </w:pPr>
            <w:r>
              <w:rPr>
                <w:rFonts w:hint="eastAsia"/>
              </w:rPr>
              <w:t xml:space="preserve">空仓持ETF（替代方案）</w:t>
            </w:r>
          </w:p>
        </w:tc>
        <w:tc>
          <w:tcPr/>
          <w:p>
            <w:pPr>
              <w:pStyle w:val="Compact"/>
              <w:jc w:val="right"/>
            </w:pPr>
            <w:r>
              <w:rPr>
                <w:rFonts w:hint="eastAsia"/>
              </w:rPr>
              <w:t xml:space="preserve">差异</w:t>
            </w:r>
          </w:p>
        </w:tc>
      </w:tr>
      <w:tr>
        <w:tc>
          <w:tcPr/>
          <w:p>
            <w:pPr>
              <w:pStyle w:val="Compact"/>
              <w:jc w:val="left"/>
            </w:pPr>
            <w:r>
              <w:rPr>
                <w:rFonts w:hint="eastAsia"/>
              </w:rPr>
              <w:t xml:space="preserve">总收益</w:t>
            </w:r>
          </w:p>
        </w:tc>
        <w:tc>
          <w:tcPr/>
          <w:p>
            <w:pPr>
              <w:pStyle w:val="Compact"/>
              <w:jc w:val="right"/>
            </w:pPr>
            <w:r>
              <w:t xml:space="preserve">210.8%</w:t>
            </w:r>
          </w:p>
        </w:tc>
        <w:tc>
          <w:tcPr/>
          <w:p>
            <w:pPr>
              <w:pStyle w:val="Compact"/>
              <w:jc w:val="right"/>
            </w:pPr>
            <w:r>
              <w:t xml:space="preserve">224.2%</w:t>
            </w:r>
          </w:p>
        </w:tc>
        <w:tc>
          <w:tcPr/>
          <w:p>
            <w:pPr>
              <w:pStyle w:val="Compact"/>
              <w:jc w:val="right"/>
            </w:pPr>
            <w:r>
              <w:t xml:space="preserve">+13.4pp</w:t>
            </w:r>
          </w:p>
        </w:tc>
      </w:tr>
      <w:tr>
        <w:tc>
          <w:tcPr/>
          <w:p>
            <w:pPr>
              <w:pStyle w:val="Compact"/>
              <w:jc w:val="left"/>
            </w:pPr>
            <w:r>
              <w:rPr>
                <w:rFonts w:hint="eastAsia"/>
              </w:rPr>
              <w:t xml:space="preserve">年化收益</w:t>
            </w:r>
          </w:p>
        </w:tc>
        <w:tc>
          <w:tcPr/>
          <w:p>
            <w:pPr>
              <w:pStyle w:val="Compact"/>
              <w:jc w:val="right"/>
            </w:pPr>
            <w:r>
              <w:t xml:space="preserve">118.8%</w:t>
            </w:r>
          </w:p>
        </w:tc>
        <w:tc>
          <w:tcPr/>
          <w:p>
            <w:pPr>
              <w:pStyle w:val="Compact"/>
              <w:jc w:val="right"/>
            </w:pPr>
            <w:r>
              <w:t xml:space="preserve">125.3%</w:t>
            </w:r>
          </w:p>
        </w:tc>
        <w:tc>
          <w:tcPr/>
          <w:p>
            <w:pPr>
              <w:pStyle w:val="Compact"/>
              <w:jc w:val="right"/>
            </w:pPr>
            <w:r>
              <w:t xml:space="preserve">+6.5pp</w:t>
            </w:r>
          </w:p>
        </w:tc>
      </w:tr>
      <w:tr>
        <w:tc>
          <w:tcPr/>
          <w:p>
            <w:pPr>
              <w:pStyle w:val="Compact"/>
              <w:jc w:val="left"/>
            </w:pPr>
            <w:r>
              <w:rPr>
                <w:rFonts w:hint="eastAsia"/>
              </w:rPr>
              <w:t xml:space="preserve">年化波动</w:t>
            </w:r>
          </w:p>
        </w:tc>
        <w:tc>
          <w:tcPr/>
          <w:p>
            <w:pPr>
              <w:pStyle w:val="Compact"/>
              <w:jc w:val="right"/>
            </w:pPr>
            <w:r>
              <w:t xml:space="preserve">36.0%</w:t>
            </w:r>
          </w:p>
        </w:tc>
        <w:tc>
          <w:tcPr/>
          <w:p>
            <w:pPr>
              <w:pStyle w:val="Compact"/>
              <w:jc w:val="right"/>
            </w:pPr>
            <w:r>
              <w:t xml:space="preserve">37.1%</w:t>
            </w:r>
          </w:p>
        </w:tc>
        <w:tc>
          <w:tcPr/>
          <w:p>
            <w:pPr>
              <w:pStyle w:val="Compact"/>
              <w:jc w:val="right"/>
            </w:pPr>
            <w:r>
              <w:t xml:space="preserve">+1.0pp</w:t>
            </w:r>
          </w:p>
        </w:tc>
      </w:tr>
      <w:tr>
        <w:tc>
          <w:tcPr/>
          <w:p>
            <w:pPr>
              <w:pStyle w:val="Compact"/>
              <w:jc w:val="left"/>
            </w:pPr>
            <w:r>
              <w:rPr>
                <w:rFonts w:hint="eastAsia"/>
              </w:rPr>
              <w:t xml:space="preserve">最大回撤</w:t>
            </w:r>
          </w:p>
        </w:tc>
        <w:tc>
          <w:tcPr/>
          <w:p>
            <w:pPr>
              <w:pStyle w:val="Compact"/>
              <w:jc w:val="right"/>
            </w:pPr>
            <w:r>
              <w:t xml:space="preserve">-14.7%</w:t>
            </w:r>
          </w:p>
        </w:tc>
        <w:tc>
          <w:tcPr/>
          <w:p>
            <w:pPr>
              <w:pStyle w:val="Compact"/>
              <w:jc w:val="right"/>
            </w:pPr>
            <w:r>
              <w:t xml:space="preserve">-17.6%</w:t>
            </w:r>
          </w:p>
        </w:tc>
        <w:tc>
          <w:tcPr/>
          <w:p>
            <w:pPr>
              <w:pStyle w:val="Compact"/>
              <w:jc w:val="right"/>
            </w:pPr>
            <w:r>
              <w:t xml:space="preserve">-2.9pp</w:t>
            </w:r>
          </w:p>
        </w:tc>
      </w:tr>
      <w:tr>
        <w:tc>
          <w:tcPr/>
          <w:p>
            <w:pPr>
              <w:pStyle w:val="Compact"/>
              <w:jc w:val="left"/>
            </w:pPr>
            <w:r>
              <w:rPr>
                <w:rFonts w:hint="eastAsia"/>
              </w:rPr>
              <w:t xml:space="preserve">夏普比率</w:t>
            </w:r>
          </w:p>
        </w:tc>
        <w:tc>
          <w:tcPr/>
          <w:p>
            <w:pPr>
              <w:pStyle w:val="Compact"/>
              <w:jc w:val="right"/>
            </w:pPr>
            <w:r>
              <w:t xml:space="preserve">3.24</w:t>
            </w:r>
          </w:p>
        </w:tc>
        <w:tc>
          <w:tcPr/>
          <w:p>
            <w:pPr>
              <w:pStyle w:val="Compact"/>
              <w:jc w:val="right"/>
            </w:pPr>
            <w:r>
              <w:t xml:space="preserve">3.33</w:t>
            </w:r>
          </w:p>
        </w:tc>
        <w:tc>
          <w:tcPr/>
          <w:p>
            <w:pPr>
              <w:pStyle w:val="Compact"/>
              <w:jc w:val="right"/>
            </w:pPr>
            <w:r>
              <w:t xml:space="preserve">+0.08</w:t>
            </w:r>
          </w:p>
        </w:tc>
      </w:tr>
      <w:tr>
        <w:tc>
          <w:tcPr/>
          <w:p>
            <w:pPr>
              <w:pStyle w:val="Compact"/>
              <w:jc w:val="left"/>
            </w:pPr>
            <w:r>
              <w:rPr>
                <w:rFonts w:hint="eastAsia"/>
              </w:rPr>
              <w:t xml:space="preserve">卡玛比率</w:t>
            </w:r>
          </w:p>
        </w:tc>
        <w:tc>
          <w:tcPr/>
          <w:p>
            <w:pPr>
              <w:pStyle w:val="Compact"/>
              <w:jc w:val="right"/>
            </w:pPr>
            <w:r>
              <w:t xml:space="preserve">8.07</w:t>
            </w:r>
          </w:p>
        </w:tc>
        <w:tc>
          <w:tcPr/>
          <w:p>
            <w:pPr>
              <w:pStyle w:val="Compact"/>
              <w:jc w:val="right"/>
            </w:pPr>
            <w:r>
              <w:t xml:space="preserve">7.13</w:t>
            </w:r>
          </w:p>
        </w:tc>
        <w:tc>
          <w:tcPr/>
          <w:p>
            <w:pPr>
              <w:pStyle w:val="Compact"/>
              <w:jc w:val="right"/>
            </w:pPr>
            <w:r>
              <w:t xml:space="preserve">-0.94</w:t>
            </w:r>
          </w:p>
        </w:tc>
      </w:tr>
    </w:tbl>
    <w:p>
      <w:pPr>
        <w:numPr>
          <w:ilvl w:val="0"/>
          <w:numId w:val="1000"/>
        </w:numPr>
      </w:pPr>
      <w:r>
        <w:rPr>
          <w:rFonts w:hint="eastAsia"/>
        </w:rPr>
        <w:t xml:space="preserve">ETF方案在6个空仓期中有5期录得正收益（仅2026年3–4月为-1.35%），累计贡献+13.4pp额外收益，夏普比率小幅提升。但根本矛盾在于：回撤触发往往发生在市场急跌日（如2025-04-07触发日ETF单日下跌-6.2%），ETF与市场仍有相关性，在组合最脆弱的时刻追加了风险敞口，导致最大回撤从-14.7%扩大至-17.6%，突破了15%回撤红线，卡玛比率下降0.94。后续可探索延迟1–2个交易日再切换ETF、或使用国债逆回购等低相关性资产作为替代，在收益与回撤之间寻找更优平衡点。</w:t>
      </w:r>
    </w:p>
    <w:p>
      <w:pPr>
        <w:pStyle w:val="CaptionedFigure"/>
        <w:numPr>
          <w:ilvl w:val="0"/>
          <w:numId w:val="1000"/>
        </w:numPr>
      </w:pPr>
      <w:r>
        <w:drawing>
          <wp:inline>
            <wp:extent cx="5334000" cy="3251463"/>
            <wp:effectExtent b="0" l="0" r="0" t="0"/>
            <wp:docPr descr="图5：空仓期持有现金 vs 红利ETF 净值与回撤对比" title="" id="57" name="Picture"/>
            <a:graphic>
              <a:graphicData uri="http://schemas.openxmlformats.org/drawingml/2006/picture">
                <pic:pic>
                  <pic:nvPicPr>
                    <pic:cNvPr descr="fig_etf_vs_cash.png" id="58" name="Picture"/>
                    <pic:cNvPicPr>
                      <a:picLocks noChangeArrowheads="1" noChangeAspect="1"/>
                    </pic:cNvPicPr>
                  </pic:nvPicPr>
                  <pic:blipFill>
                    <a:blip r:embed="rId56"/>
                    <a:stretch>
                      <a:fillRect/>
                    </a:stretch>
                  </pic:blipFill>
                  <pic:spPr bwMode="auto">
                    <a:xfrm>
                      <a:off x="0" y="0"/>
                      <a:ext cx="5334000" cy="3251463"/>
                    </a:xfrm>
                    <a:prstGeom prst="rect">
                      <a:avLst/>
                    </a:prstGeom>
                    <a:noFill/>
                    <a:ln w="9525">
                      <a:noFill/>
                      <a:headEnd/>
                      <a:tailEnd/>
                    </a:ln>
                  </pic:spPr>
                </pic:pic>
              </a:graphicData>
            </a:graphic>
          </wp:inline>
        </w:drawing>
      </w:r>
    </w:p>
    <w:p>
      <w:pPr>
        <w:pStyle w:val="ImageCaption"/>
        <w:numPr>
          <w:ilvl w:val="0"/>
          <w:numId w:val="1000"/>
        </w:numPr>
      </w:pPr>
      <w:r>
        <w:rPr>
          <w:rFonts w:hint="eastAsia"/>
        </w:rPr>
        <w:t xml:space="preserve">图5：空仓期持有现金</w:t>
      </w:r>
      <w:r>
        <w:t xml:space="preserve"> vs </w:t>
      </w:r>
      <w:r>
        <w:rPr>
          <w:rFonts w:hint="eastAsia"/>
        </w:rPr>
        <w:t xml:space="preserve">红利ETF</w:t>
      </w:r>
      <w:r>
        <w:t xml:space="preserve"> </w:t>
      </w:r>
      <w:r>
        <w:rPr>
          <w:rFonts w:hint="eastAsia"/>
        </w:rPr>
        <w:t xml:space="preserve">净值与回撤对比</w:t>
      </w:r>
    </w:p>
    <w:p>
      <w:pPr>
        <w:numPr>
          <w:ilvl w:val="0"/>
          <w:numId w:val="1000"/>
        </w:numPr>
      </w:pPr>
      <w:r>
        <w:rPr>
          <w:rFonts w:hint="eastAsia"/>
          <w:b/>
          <w:bCs/>
        </w:rPr>
        <w:t xml:space="preserve">现象</w:t>
      </w:r>
      <w:r>
        <w:rPr>
          <w:rFonts w:hint="eastAsia"/>
        </w:rPr>
        <w:t xml:space="preserve">：净值方面，两条曲线在持仓期完全重合，差异仅出现在6段灰色空仓区间内。ETF方案净值最终约3.24倍，高于现金方案的3.11倍。回撤方面，现金方案最大回撤-14.7%（2025年12月5日），始终未触及-15%红线；ETF方案最大回撤-17.6%（2025年4月7日），有40个交易日突破-15%红线，集中在2025年4月和2025年12月至2026年4月两段。</w:t>
      </w:r>
    </w:p>
    <w:p>
      <w:pPr>
        <w:numPr>
          <w:ilvl w:val="0"/>
          <w:numId w:val="1000"/>
        </w:numPr>
      </w:pPr>
      <w:r>
        <w:rPr>
          <w:rFonts w:hint="eastAsia"/>
          <w:b/>
          <w:bCs/>
        </w:rPr>
        <w:t xml:space="preserve">解释</w:t>
      </w:r>
      <w:r>
        <w:rPr>
          <w:rFonts w:hint="eastAsia"/>
        </w:rPr>
        <w:t xml:space="preserve">：回撤触发往往发生在市场急跌日，而红利ETF与A股市场仍有显著相关性。2025年4月7日策略触发空仓当天，ETF单日下跌-6.2%，现金方案收益为0、ETF方案承受了全部跌幅，直接将组合回撤从-12.1%推至-17.6%。6个空仓期中有5期ETF最终录得正收益（累计+13.4pp），说明ETF在空仓期整体上是涨的——问题不在方向，而在触发瞬间的冲击。</w:t>
      </w:r>
    </w:p>
    <w:p>
      <w:pPr>
        <w:numPr>
          <w:ilvl w:val="0"/>
          <w:numId w:val="1000"/>
        </w:numPr>
      </w:pPr>
      <w:r>
        <w:rPr>
          <w:rFonts w:hint="eastAsia"/>
          <w:b/>
          <w:bCs/>
        </w:rPr>
        <w:t xml:space="preserve">含义</w:t>
      </w:r>
      <w:r>
        <w:rPr>
          <w:rFonts w:hint="eastAsia"/>
        </w:rPr>
        <w:t xml:space="preserve">：空仓期持有ETF能在收益端带来改善（+13.4pp），但在风控端突破了预设的15%回撤约束，夏普比率小幅上升而卡玛比率下降，说明风险调整后的下行保护变差。后续可探索延迟1–2个交易日再切换ETF以规避触发日冲击，或使用国债逆回购等低相关性资产替代，在收益与回撤之间寻找更优平衡点。</w:t>
      </w:r>
    </w:p>
    <w:bookmarkEnd w:id="59"/>
    <w:bookmarkEnd w:id="60"/>
    <w:bookmarkStart w:id="61" w:name="参考文献"/>
    <w:p>
      <w:pPr>
        <w:pStyle w:val="Heading1"/>
      </w:pPr>
      <w:r>
        <w:rPr>
          <w:rFonts w:hint="eastAsia"/>
        </w:rPr>
        <w:t xml:space="preserve">参考文献</w:t>
      </w:r>
    </w:p>
    <w:p>
      <w:pPr>
        <w:numPr>
          <w:ilvl w:val="0"/>
          <w:numId w:val="1020"/>
        </w:numPr>
      </w:pPr>
      <w:r>
        <w:t xml:space="preserve">Asness, C. S., Frazzini, A., &amp; Pedersen, L. H. (2019). Quality minus junk.</w:t>
      </w:r>
      <w:r>
        <w:t xml:space="preserve"> </w:t>
      </w:r>
      <w:r>
        <w:rPr>
          <w:i/>
          <w:iCs/>
        </w:rPr>
        <w:t xml:space="preserve">Review of Accounting Studies</w:t>
      </w:r>
      <w:r>
        <w:t xml:space="preserve">, 24(1), 34–112.</w:t>
      </w:r>
    </w:p>
    <w:p>
      <w:pPr>
        <w:numPr>
          <w:ilvl w:val="0"/>
          <w:numId w:val="1020"/>
        </w:numPr>
      </w:pPr>
      <w:r>
        <w:t xml:space="preserve">Asness, C. S., Moskowitz, T. J., &amp; Pedersen, L. H. (2013). Value and momentum everywhere.</w:t>
      </w:r>
      <w:r>
        <w:t xml:space="preserve"> </w:t>
      </w:r>
      <w:r>
        <w:rPr>
          <w:i/>
          <w:iCs/>
        </w:rPr>
        <w:t xml:space="preserve">Journal of Finance</w:t>
      </w:r>
      <w:r>
        <w:t xml:space="preserve">, 68(3), 929–985.</w:t>
      </w:r>
    </w:p>
    <w:p>
      <w:pPr>
        <w:numPr>
          <w:ilvl w:val="0"/>
          <w:numId w:val="1020"/>
        </w:numPr>
      </w:pPr>
      <w:r>
        <w:t xml:space="preserve">Bachelet, D., Marot, D., &amp; Marot, J. (2024).</w:t>
      </w:r>
      <w:r>
        <w:t xml:space="preserve"> </w:t>
      </w:r>
      <w:r>
        <w:rPr>
          <w:i/>
          <w:iCs/>
        </w:rPr>
        <w:t xml:space="preserve">Multi-factor models: A practitioner’s guide to Z-score standardization and portfolio construction</w:t>
      </w:r>
      <w:r>
        <w:t xml:space="preserve">. SSRN Working Paper.</w:t>
      </w:r>
    </w:p>
    <w:p>
      <w:pPr>
        <w:numPr>
          <w:ilvl w:val="0"/>
          <w:numId w:val="1020"/>
        </w:numPr>
      </w:pPr>
      <w:r>
        <w:t xml:space="preserve">Carhart, M. M. (1997). On persistence in mutual fund performance.</w:t>
      </w:r>
      <w:r>
        <w:t xml:space="preserve"> </w:t>
      </w:r>
      <w:r>
        <w:rPr>
          <w:i/>
          <w:iCs/>
        </w:rPr>
        <w:t xml:space="preserve">Journal of Finance</w:t>
      </w:r>
      <w:r>
        <w:t xml:space="preserve">, 52(1), 57–82.</w:t>
      </w:r>
    </w:p>
    <w:p>
      <w:pPr>
        <w:numPr>
          <w:ilvl w:val="0"/>
          <w:numId w:val="1020"/>
        </w:numPr>
      </w:pPr>
      <w:r>
        <w:t xml:space="preserve">Fama, E. F., &amp; French, K. R. (1993). Common risk factors in the returns on stocks and bonds.</w:t>
      </w:r>
      <w:r>
        <w:t xml:space="preserve"> </w:t>
      </w:r>
      <w:r>
        <w:rPr>
          <w:i/>
          <w:iCs/>
        </w:rPr>
        <w:t xml:space="preserve">Journal of Financial Economics</w:t>
      </w:r>
      <w:r>
        <w:t xml:space="preserve">, 33(1), 3–56.</w:t>
      </w:r>
    </w:p>
    <w:p>
      <w:pPr>
        <w:numPr>
          <w:ilvl w:val="0"/>
          <w:numId w:val="1020"/>
        </w:numPr>
      </w:pPr>
      <w:r>
        <w:t xml:space="preserve">Jegadeesh, N., &amp; Titman, S. (1993). Returns to buying winners and selling losers: Implications for stock market efficiency.</w:t>
      </w:r>
      <w:r>
        <w:t xml:space="preserve"> </w:t>
      </w:r>
      <w:r>
        <w:rPr>
          <w:i/>
          <w:iCs/>
        </w:rPr>
        <w:t xml:space="preserve">Journal of Finance</w:t>
      </w:r>
      <w:r>
        <w:t xml:space="preserve">, 48(1), 65–91.</w:t>
      </w:r>
    </w:p>
    <w:p>
      <w:pPr>
        <w:numPr>
          <w:ilvl w:val="0"/>
          <w:numId w:val="1020"/>
        </w:numPr>
      </w:pPr>
      <w:r>
        <w:t xml:space="preserve">Lakonishok, J., Shleifer, A., &amp; Vishny, R. W. (1994). Contrarian investment, extrapolation, and risk.</w:t>
      </w:r>
      <w:r>
        <w:t xml:space="preserve"> </w:t>
      </w:r>
      <w:r>
        <w:rPr>
          <w:i/>
          <w:iCs/>
        </w:rPr>
        <w:t xml:space="preserve">Journal of Finance</w:t>
      </w:r>
      <w:r>
        <w:t xml:space="preserve">, 49(5), 1541–1578.</w:t>
      </w:r>
    </w:p>
    <w:p>
      <w:pPr>
        <w:numPr>
          <w:ilvl w:val="0"/>
          <w:numId w:val="1020"/>
        </w:numPr>
      </w:pPr>
      <w:r>
        <w:t xml:space="preserve">Novy-Marx, R. (2013). The other side of value: The gross profitability premium.</w:t>
      </w:r>
      <w:r>
        <w:t xml:space="preserve"> </w:t>
      </w:r>
      <w:r>
        <w:rPr>
          <w:i/>
          <w:iCs/>
        </w:rPr>
        <w:t xml:space="preserve">Journal of Financial Economics</w:t>
      </w:r>
      <w:r>
        <w:t xml:space="preserve">, 108(1), 1–28.</w:t>
      </w:r>
    </w:p>
    <w:p>
      <w:pPr>
        <w:numPr>
          <w:ilvl w:val="0"/>
          <w:numId w:val="1020"/>
        </w:numPr>
      </w:pPr>
      <w:r>
        <w:t xml:space="preserve">Wilks, S. S. (1938). Weighting systems for linear functions of correlated variables.</w:t>
      </w:r>
      <w:r>
        <w:t xml:space="preserve"> </w:t>
      </w:r>
      <w:r>
        <w:rPr>
          <w:i/>
          <w:iCs/>
        </w:rPr>
        <w:t xml:space="preserve">Psychometrika</w:t>
      </w:r>
      <w:r>
        <w:t xml:space="preserve">, 3(1), 23–40.</w:t>
      </w:r>
    </w:p>
    <w:bookmarkEnd w:id="61"/>
    <w:bookmarkStart w:id="69" w:name="附录"/>
    <w:p>
      <w:pPr>
        <w:pStyle w:val="Heading1"/>
      </w:pPr>
      <w:r>
        <w:rPr>
          <w:rFonts w:hint="eastAsia"/>
        </w:rPr>
        <w:t xml:space="preserve">附录</w:t>
      </w:r>
    </w:p>
    <w:bookmarkStart w:id="63" w:name="附录a20只股票完整列表与数据文件"/>
    <w:p>
      <w:pPr>
        <w:pStyle w:val="Heading2"/>
      </w:pPr>
      <w:r>
        <w:rPr>
          <w:rFonts w:hint="eastAsia"/>
        </w:rPr>
        <w:t xml:space="preserve">附录A：20只股票完整列表与数据文件</w:t>
      </w:r>
    </w:p>
    <w:p>
      <w:pPr>
        <w:pStyle w:val="FirstParagraph"/>
      </w:pPr>
      <w:r>
        <w:rPr>
          <w:rFonts w:hint="eastAsia"/>
        </w:rPr>
        <w:t xml:space="preserve">详见正文</w:t>
      </w:r>
      <w:r>
        <w:t xml:space="preserve"> §2.1 </w:t>
      </w:r>
      <w:r>
        <w:rPr>
          <w:rFonts w:hint="eastAsia"/>
        </w:rPr>
        <w:t xml:space="preserve">股票池与聚焦10只个股表。</w:t>
      </w:r>
    </w:p>
    <w:bookmarkStart w:id="62" w:name="数据文件"/>
    <w:p>
      <w:pPr>
        <w:pStyle w:val="Heading3"/>
      </w:pPr>
      <w:r>
        <w:rPr>
          <w:rFonts w:hint="eastAsia"/>
        </w:rPr>
        <w:t xml:space="preserve">数据文件</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文件名</w:t>
            </w:r>
          </w:p>
        </w:tc>
        <w:tc>
          <w:tcPr/>
          <w:p>
            <w:pPr>
              <w:pStyle w:val="Compact"/>
              <w:jc w:val="left"/>
            </w:pPr>
            <w:r>
              <w:rPr>
                <w:rFonts w:hint="eastAsia"/>
              </w:rPr>
              <w:t xml:space="preserve">内容</w:t>
            </w:r>
          </w:p>
        </w:tc>
        <w:tc>
          <w:tcPr/>
          <w:p>
            <w:pPr>
              <w:pStyle w:val="Compact"/>
              <w:jc w:val="right"/>
            </w:pPr>
            <w:r>
              <w:rPr>
                <w:rFonts w:hint="eastAsia"/>
              </w:rPr>
              <w:t xml:space="preserve">记录数</w:t>
            </w:r>
          </w:p>
        </w:tc>
        <w:tc>
          <w:tcPr/>
          <w:p>
            <w:pPr>
              <w:pStyle w:val="Compact"/>
              <w:jc w:val="left"/>
            </w:pPr>
            <w:r>
              <w:rPr>
                <w:rFonts w:hint="eastAsia"/>
              </w:rPr>
              <w:t xml:space="preserve">说明</w:t>
            </w:r>
          </w:p>
        </w:tc>
      </w:tr>
      <w:tr>
        <w:tc>
          <w:tcPr/>
          <w:p>
            <w:pPr>
              <w:pStyle w:val="Compact"/>
              <w:jc w:val="left"/>
            </w:pPr>
            <w:r>
              <w:rPr>
                <w:rStyle w:val="VerbatimChar"/>
              </w:rPr>
              <w:t xml:space="preserve">price_qfq_20240719_20260721.csv</w:t>
            </w:r>
          </w:p>
        </w:tc>
        <w:tc>
          <w:tcPr/>
          <w:p>
            <w:pPr>
              <w:pStyle w:val="Compact"/>
              <w:jc w:val="left"/>
            </w:pPr>
            <w:r>
              <w:rPr>
                <w:rFonts w:hint="eastAsia"/>
              </w:rPr>
              <w:t xml:space="preserve">前复权日线数据</w:t>
            </w:r>
          </w:p>
        </w:tc>
        <w:tc>
          <w:tcPr/>
          <w:p>
            <w:pPr>
              <w:pStyle w:val="Compact"/>
              <w:jc w:val="right"/>
            </w:pPr>
            <w:r>
              <w:t xml:space="preserve">9,702 </w:t>
            </w:r>
            <w:r>
              <w:rPr>
                <w:rFonts w:hint="eastAsia"/>
              </w:rPr>
              <w:t xml:space="preserve">行</w:t>
            </w:r>
          </w:p>
        </w:tc>
        <w:tc>
          <w:tcPr/>
          <w:p>
            <w:pPr>
              <w:pStyle w:val="Compact"/>
              <w:jc w:val="left"/>
            </w:pPr>
            <w:r>
              <w:t xml:space="preserve">20 </w:t>
            </w:r>
            <w:r>
              <w:rPr>
                <w:rFonts w:hint="eastAsia"/>
              </w:rPr>
              <w:t xml:space="preserve">只股票</w:t>
            </w:r>
            <w:r>
              <w:t xml:space="preserve"> 2024-07-19 </w:t>
            </w:r>
            <w:r>
              <w:rPr>
                <w:rFonts w:hint="eastAsia"/>
              </w:rPr>
              <w:t xml:space="preserve">至</w:t>
            </w:r>
            <w:r>
              <w:t xml:space="preserve"> 2026-07-21 </w:t>
            </w:r>
            <w:r>
              <w:rPr>
                <w:rFonts w:hint="eastAsia"/>
              </w:rPr>
              <w:t xml:space="preserve">的前复权收盘价，策略核心数据源，由</w:t>
            </w:r>
            <w:r>
              <w:t xml:space="preserve"> </w:t>
            </w:r>
            <w:r>
              <w:rPr>
                <w:rStyle w:val="VerbatimChar"/>
              </w:rPr>
              <w:t xml:space="preserve">analysis.ipynb</w:t>
            </w:r>
            <w:r>
              <w:t xml:space="preserve"> </w:t>
            </w:r>
            <w:r>
              <w:rPr>
                <w:rFonts w:hint="eastAsia"/>
              </w:rPr>
              <w:t xml:space="preserve">第一步生成</w:t>
            </w:r>
          </w:p>
        </w:tc>
      </w:tr>
      <w:tr>
        <w:tc>
          <w:tcPr/>
          <w:p>
            <w:pPr>
              <w:pStyle w:val="Compact"/>
              <w:jc w:val="left"/>
            </w:pPr>
            <w:r>
              <w:rPr>
                <w:rStyle w:val="VerbatimChar"/>
              </w:rPr>
              <w:t xml:space="preserve">monthly_selection.csv</w:t>
            </w:r>
          </w:p>
        </w:tc>
        <w:tc>
          <w:tcPr/>
          <w:p>
            <w:pPr>
              <w:pStyle w:val="Compact"/>
              <w:jc w:val="left"/>
            </w:pPr>
            <w:r>
              <w:rPr>
                <w:rFonts w:hint="eastAsia"/>
              </w:rPr>
              <w:t xml:space="preserve">月度选股调仓表</w:t>
            </w:r>
          </w:p>
        </w:tc>
        <w:tc>
          <w:tcPr/>
          <w:p>
            <w:pPr>
              <w:pStyle w:val="Compact"/>
              <w:jc w:val="right"/>
            </w:pPr>
            <w:r>
              <w:t xml:space="preserve">95 </w:t>
            </w:r>
            <w:r>
              <w:rPr>
                <w:rFonts w:hint="eastAsia"/>
              </w:rPr>
              <w:t xml:space="preserve">行</w:t>
            </w:r>
          </w:p>
        </w:tc>
        <w:tc>
          <w:tcPr/>
          <w:p>
            <w:pPr>
              <w:pStyle w:val="Compact"/>
              <w:jc w:val="left"/>
            </w:pPr>
            <w:r>
              <w:t xml:space="preserve">19 </w:t>
            </w:r>
            <w:r>
              <w:rPr>
                <w:rFonts w:hint="eastAsia"/>
              </w:rPr>
              <w:t xml:space="preserve">个调仓月（2025-01-27</w:t>
            </w:r>
            <w:r>
              <w:t xml:space="preserve"> </w:t>
            </w:r>
            <w:r>
              <w:rPr>
                <w:rFonts w:hint="eastAsia"/>
              </w:rPr>
              <w:t xml:space="preserve">至</w:t>
            </w:r>
            <w:r>
              <w:t xml:space="preserve"> </w:t>
            </w:r>
            <w:r>
              <w:rPr>
                <w:rFonts w:hint="eastAsia"/>
              </w:rPr>
              <w:t xml:space="preserve">2026-07-21）每月选出</w:t>
            </w:r>
            <w:r>
              <w:t xml:space="preserve"> 5 </w:t>
            </w:r>
            <w:r>
              <w:rPr>
                <w:rFonts w:hint="eastAsia"/>
              </w:rPr>
              <w:t xml:space="preserve">只股票，含动量、PE、ROE、Z-score</w:t>
            </w:r>
            <w:r>
              <w:t xml:space="preserve"> </w:t>
            </w:r>
            <w:r>
              <w:rPr>
                <w:rFonts w:hint="eastAsia"/>
              </w:rPr>
              <w:t xml:space="preserve">及综合评分，由</w:t>
            </w:r>
            <w:r>
              <w:t xml:space="preserve"> </w:t>
            </w:r>
            <w:r>
              <w:rPr>
                <w:rStyle w:val="VerbatimChar"/>
              </w:rPr>
              <w:t xml:space="preserve">analysis.ipynb</w:t>
            </w:r>
            <w:r>
              <w:t xml:space="preserve"> </w:t>
            </w:r>
            <w:r>
              <w:rPr>
                <w:rFonts w:hint="eastAsia"/>
              </w:rPr>
              <w:t xml:space="preserve">第三步生成</w:t>
            </w:r>
          </w:p>
        </w:tc>
      </w:tr>
    </w:tbl>
    <w:bookmarkEnd w:id="62"/>
    <w:bookmarkEnd w:id="63"/>
    <w:bookmarkStart w:id="66" w:name="附录bcsv字段与文件路径见2.2和2.3"/>
    <w:p>
      <w:pPr>
        <w:pStyle w:val="Heading2"/>
      </w:pPr>
      <w:r>
        <w:rPr>
          <w:rFonts w:hint="eastAsia"/>
        </w:rPr>
        <w:t xml:space="preserve">附录B：CSV字段与文件路径（见2.2和2.3）</w:t>
      </w:r>
    </w:p>
    <w:p>
      <w:pPr>
        <w:pStyle w:val="FirstParagraph"/>
      </w:pPr>
      <w:r>
        <w:rPr>
          <w:rFonts w:hint="eastAsia"/>
        </w:rPr>
        <w:t xml:space="preserve">详见正文</w:t>
      </w:r>
      <w:r>
        <w:t xml:space="preserve"> §2.2 </w:t>
      </w:r>
      <w:r>
        <w:rPr>
          <w:rFonts w:hint="eastAsia"/>
        </w:rPr>
        <w:t xml:space="preserve">数据来源与字段字典表及</w:t>
      </w:r>
      <w:r>
        <w:t xml:space="preserve"> §2.3 </w:t>
      </w:r>
      <w:r>
        <w:rPr>
          <w:rFonts w:hint="eastAsia"/>
        </w:rPr>
        <w:t xml:space="preserve">文件说明。以下补充两个数据文件的详细说明。</w:t>
      </w:r>
    </w:p>
    <w:bookmarkStart w:id="64" w:name="price_qfq_20240719_20260721.csv-前复权日线数据"/>
    <w:p>
      <w:pPr>
        <w:pStyle w:val="Heading3"/>
      </w:pPr>
      <w:r>
        <w:t xml:space="preserve">price_qfq_20240719_20260721.csv — </w:t>
      </w:r>
      <w:r>
        <w:rPr>
          <w:rFonts w:hint="eastAsia"/>
        </w:rPr>
        <w:t xml:space="preserve">前复权日线数据</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rFonts w:hint="eastAsia"/>
              </w:rPr>
              <w:t xml:space="preserve">项目</w:t>
            </w:r>
          </w:p>
        </w:tc>
        <w:tc>
          <w:tcPr/>
          <w:p>
            <w:pPr>
              <w:pStyle w:val="Compact"/>
              <w:jc w:val="left"/>
            </w:pPr>
            <w:r>
              <w:rPr>
                <w:rFonts w:hint="eastAsia"/>
              </w:rPr>
              <w:t xml:space="preserve">说明</w:t>
            </w:r>
          </w:p>
        </w:tc>
      </w:tr>
      <w:tr>
        <w:tc>
          <w:tcPr/>
          <w:p>
            <w:pPr>
              <w:pStyle w:val="Compact"/>
              <w:jc w:val="left"/>
            </w:pPr>
            <w:r>
              <w:rPr>
                <w:rFonts w:hint="eastAsia"/>
              </w:rPr>
              <w:t xml:space="preserve">文件名</w:t>
            </w:r>
          </w:p>
        </w:tc>
        <w:tc>
          <w:tcPr/>
          <w:p>
            <w:pPr>
              <w:pStyle w:val="Compact"/>
              <w:jc w:val="left"/>
            </w:pPr>
            <w:r>
              <w:rPr>
                <w:rStyle w:val="VerbatimChar"/>
              </w:rPr>
              <w:t xml:space="preserve">price_qfq_20240719_20260721.csv</w:t>
            </w:r>
          </w:p>
        </w:tc>
      </w:tr>
      <w:tr>
        <w:tc>
          <w:tcPr/>
          <w:p>
            <w:pPr>
              <w:pStyle w:val="Compact"/>
              <w:jc w:val="left"/>
            </w:pPr>
            <w:r>
              <w:rPr>
                <w:rFonts w:hint="eastAsia"/>
              </w:rPr>
              <w:t xml:space="preserve">记录数</w:t>
            </w:r>
          </w:p>
        </w:tc>
        <w:tc>
          <w:tcPr/>
          <w:p>
            <w:pPr>
              <w:pStyle w:val="Compact"/>
              <w:jc w:val="left"/>
            </w:pPr>
            <w:r>
              <w:t xml:space="preserve">9,702 </w:t>
            </w:r>
            <w:r>
              <w:rPr>
                <w:rFonts w:hint="eastAsia"/>
              </w:rPr>
              <w:t xml:space="preserve">行</w:t>
            </w:r>
          </w:p>
        </w:tc>
      </w:tr>
      <w:tr>
        <w:tc>
          <w:tcPr/>
          <w:p>
            <w:pPr>
              <w:pStyle w:val="Compact"/>
              <w:jc w:val="left"/>
            </w:pPr>
            <w:r>
              <w:rPr>
                <w:rFonts w:hint="eastAsia"/>
              </w:rPr>
              <w:t xml:space="preserve">列数</w:t>
            </w:r>
          </w:p>
        </w:tc>
        <w:tc>
          <w:tcPr/>
          <w:p>
            <w:pPr>
              <w:pStyle w:val="Compact"/>
              <w:jc w:val="left"/>
            </w:pPr>
            <w:r>
              <w:t xml:space="preserve">29 </w:t>
            </w:r>
            <w:r>
              <w:rPr>
                <w:rFonts w:hint="eastAsia"/>
              </w:rPr>
              <w:t xml:space="preserve">列</w:t>
            </w:r>
          </w:p>
        </w:tc>
      </w:tr>
      <w:tr>
        <w:tc>
          <w:tcPr/>
          <w:p>
            <w:pPr>
              <w:pStyle w:val="Compact"/>
              <w:jc w:val="left"/>
            </w:pPr>
            <w:r>
              <w:rPr>
                <w:rFonts w:hint="eastAsia"/>
              </w:rPr>
              <w:t xml:space="preserve">时间范围</w:t>
            </w:r>
          </w:p>
        </w:tc>
        <w:tc>
          <w:tcPr/>
          <w:p>
            <w:pPr>
              <w:pStyle w:val="Compact"/>
              <w:jc w:val="left"/>
            </w:pPr>
            <w:r>
              <w:t xml:space="preserve">2024-07-19 </w:t>
            </w:r>
            <w:r>
              <w:rPr>
                <w:rFonts w:hint="eastAsia"/>
              </w:rPr>
              <w:t xml:space="preserve">至</w:t>
            </w:r>
            <w:r>
              <w:t xml:space="preserve"> 2026-07-21</w:t>
            </w:r>
          </w:p>
        </w:tc>
      </w:tr>
      <w:tr>
        <w:tc>
          <w:tcPr/>
          <w:p>
            <w:pPr>
              <w:pStyle w:val="Compact"/>
              <w:jc w:val="left"/>
            </w:pPr>
            <w:r>
              <w:rPr>
                <w:rFonts w:hint="eastAsia"/>
              </w:rPr>
              <w:t xml:space="preserve">覆盖股票</w:t>
            </w:r>
          </w:p>
        </w:tc>
        <w:tc>
          <w:tcPr/>
          <w:p>
            <w:pPr>
              <w:pStyle w:val="Compact"/>
              <w:jc w:val="left"/>
            </w:pPr>
            <w:r>
              <w:t xml:space="preserve">20 </w:t>
            </w:r>
            <w:r>
              <w:rPr>
                <w:rFonts w:hint="eastAsia"/>
              </w:rPr>
              <w:t xml:space="preserve">只（17</w:t>
            </w:r>
            <w:r>
              <w:t xml:space="preserve"> </w:t>
            </w:r>
            <w:r>
              <w:rPr>
                <w:rFonts w:hint="eastAsia"/>
              </w:rPr>
              <w:t xml:space="preserve">只</w:t>
            </w:r>
            <w:r>
              <w:t xml:space="preserve"> A </w:t>
            </w:r>
            <w:r>
              <w:rPr>
                <w:rFonts w:hint="eastAsia"/>
              </w:rPr>
              <w:t xml:space="preserve">股</w:t>
            </w:r>
            <w:r>
              <w:t xml:space="preserve"> + 2 </w:t>
            </w:r>
            <w:r>
              <w:rPr>
                <w:rFonts w:hint="eastAsia"/>
              </w:rPr>
              <w:t xml:space="preserve">只港股</w:t>
            </w:r>
            <w:r>
              <w:t xml:space="preserve"> + 1 </w:t>
            </w:r>
            <w:r>
              <w:rPr>
                <w:rFonts w:hint="eastAsia"/>
              </w:rPr>
              <w:t xml:space="preserve">只</w:t>
            </w:r>
            <w:r>
              <w:t xml:space="preserve"> </w:t>
            </w:r>
            <w:r>
              <w:rPr>
                <w:rFonts w:hint="eastAsia"/>
              </w:rPr>
              <w:t xml:space="preserve">ETF）</w:t>
            </w:r>
          </w:p>
        </w:tc>
      </w:tr>
      <w:tr>
        <w:tc>
          <w:tcPr/>
          <w:p>
            <w:pPr>
              <w:pStyle w:val="Compact"/>
              <w:jc w:val="left"/>
            </w:pPr>
            <w:r>
              <w:rPr>
                <w:rFonts w:hint="eastAsia"/>
              </w:rPr>
              <w:t xml:space="preserve">数据来源</w:t>
            </w:r>
          </w:p>
        </w:tc>
        <w:tc>
          <w:tcPr/>
          <w:p>
            <w:pPr>
              <w:pStyle w:val="Compact"/>
              <w:jc w:val="left"/>
            </w:pPr>
            <w:r>
              <w:t xml:space="preserve">A </w:t>
            </w:r>
            <w:r>
              <w:rPr>
                <w:rFonts w:hint="eastAsia"/>
              </w:rPr>
              <w:t xml:space="preserve">股为本地</w:t>
            </w:r>
            <w:r>
              <w:t xml:space="preserve"> Tushare </w:t>
            </w:r>
            <w:r>
              <w:rPr>
                <w:rFonts w:hint="eastAsia"/>
              </w:rPr>
              <w:t xml:space="preserve">导出</w:t>
            </w:r>
            <w:r>
              <w:t xml:space="preserve"> </w:t>
            </w:r>
            <w:r>
              <w:rPr>
                <w:rFonts w:hint="eastAsia"/>
              </w:rPr>
              <w:t xml:space="preserve">CSV，港股为</w:t>
            </w:r>
            <w:r>
              <w:t xml:space="preserve"> AKShare</w:t>
            </w:r>
            <w:r>
              <w:t xml:space="preserve"> </w:t>
            </w:r>
            <w:r>
              <w:rPr>
                <w:rStyle w:val="VerbatimChar"/>
              </w:rPr>
              <w:t xml:space="preserve">stock_hk_daily(adjust="qfq")</w:t>
            </w:r>
            <w:r>
              <w:t xml:space="preserve"> </w:t>
            </w:r>
            <w:r>
              <w:rPr>
                <w:rFonts w:hint="eastAsia"/>
              </w:rPr>
              <w:t xml:space="preserve">在线获取，ETF</w:t>
            </w:r>
            <w:r>
              <w:t xml:space="preserve"> </w:t>
            </w:r>
            <w:r>
              <w:rPr>
                <w:rFonts w:hint="eastAsia"/>
              </w:rPr>
              <w:t xml:space="preserve">为</w:t>
            </w:r>
            <w:r>
              <w:t xml:space="preserve"> AKShare</w:t>
            </w:r>
            <w:r>
              <w:t xml:space="preserve"> </w:t>
            </w:r>
            <w:r>
              <w:rPr>
                <w:rStyle w:val="VerbatimChar"/>
              </w:rPr>
              <w:t xml:space="preserve">fund_etf_hist_sina</w:t>
            </w:r>
            <w:r>
              <w:t xml:space="preserve"> </w:t>
            </w:r>
            <w:r>
              <w:t xml:space="preserve">+ </w:t>
            </w:r>
            <w:r>
              <w:rPr>
                <w:rFonts w:hint="eastAsia"/>
              </w:rPr>
              <w:t xml:space="preserve">分红数据手动前复权</w:t>
            </w:r>
          </w:p>
        </w:tc>
      </w:tr>
      <w:tr>
        <w:tc>
          <w:tcPr/>
          <w:p>
            <w:pPr>
              <w:pStyle w:val="Compact"/>
              <w:jc w:val="left"/>
            </w:pPr>
            <w:r>
              <w:rPr>
                <w:rFonts w:hint="eastAsia"/>
              </w:rPr>
              <w:t xml:space="preserve">编码</w:t>
            </w:r>
          </w:p>
        </w:tc>
        <w:tc>
          <w:tcPr/>
          <w:p>
            <w:pPr>
              <w:pStyle w:val="Compact"/>
              <w:jc w:val="left"/>
            </w:pPr>
            <w:r>
              <w:t xml:space="preserve">UTF-8 with </w:t>
            </w:r>
            <w:r>
              <w:rPr>
                <w:rFonts w:hint="eastAsia"/>
              </w:rPr>
              <w:t xml:space="preserve">BOM（utf-8-sig）</w:t>
            </w:r>
          </w:p>
        </w:tc>
      </w:tr>
      <w:tr>
        <w:tc>
          <w:tcPr/>
          <w:p>
            <w:pPr>
              <w:pStyle w:val="Compact"/>
              <w:jc w:val="left"/>
            </w:pPr>
            <w:r>
              <w:rPr>
                <w:rFonts w:hint="eastAsia"/>
              </w:rPr>
              <w:t xml:space="preserve">策略使用字段</w:t>
            </w:r>
          </w:p>
        </w:tc>
        <w:tc>
          <w:tcPr/>
          <w:p>
            <w:pPr>
              <w:pStyle w:val="Compact"/>
              <w:jc w:val="left"/>
            </w:pPr>
            <w:r>
              <w:rPr>
                <w:rStyle w:val="VerbatimChar"/>
              </w:rPr>
              <w:t xml:space="preserve">ts_code</w:t>
            </w:r>
            <w:r>
              <w:t xml:space="preserve">、</w:t>
            </w:r>
            <w:r>
              <w:rPr>
                <w:rStyle w:val="VerbatimChar"/>
              </w:rPr>
              <w:t xml:space="preserve">trade_date</w:t>
            </w:r>
            <w:r>
              <w:t xml:space="preserve">、</w:t>
            </w:r>
            <w:r>
              <w:rPr>
                <w:rStyle w:val="VerbatimChar"/>
              </w:rPr>
              <w:t xml:space="preserve">close_qfq</w:t>
            </w:r>
            <w:r>
              <w:rPr>
                <w:rFonts w:hint="eastAsia"/>
              </w:rPr>
              <w:t xml:space="preserve">（前复权收盘价，策略核心字段）</w:t>
            </w:r>
          </w:p>
        </w:tc>
      </w:tr>
      <w:tr>
        <w:tc>
          <w:tcPr/>
          <w:p>
            <w:pPr>
              <w:pStyle w:val="Compact"/>
              <w:jc w:val="left"/>
            </w:pPr>
            <w:r>
              <w:rPr>
                <w:rFonts w:hint="eastAsia"/>
              </w:rPr>
              <w:t xml:space="preserve">缺失值说明</w:t>
            </w:r>
          </w:p>
        </w:tc>
        <w:tc>
          <w:tcPr/>
          <w:p>
            <w:pPr>
              <w:pStyle w:val="Compact"/>
              <w:jc w:val="left"/>
            </w:pPr>
            <w:r>
              <w:rPr>
                <w:rFonts w:hint="eastAsia"/>
              </w:rPr>
              <w:t xml:space="preserve">港股和</w:t>
            </w:r>
            <w:r>
              <w:t xml:space="preserve"> ETF </w:t>
            </w:r>
            <w:r>
              <w:rPr>
                <w:rFonts w:hint="eastAsia"/>
              </w:rPr>
              <w:t xml:space="preserve">的</w:t>
            </w:r>
            <w:r>
              <w:t xml:space="preserve"> </w:t>
            </w:r>
            <w:r>
              <w:rPr>
                <w:rStyle w:val="VerbatimChar"/>
              </w:rPr>
              <w:t xml:space="preserve">adj_factor</w:t>
            </w:r>
            <w:r>
              <w:t xml:space="preserve">、</w:t>
            </w:r>
            <w:r>
              <w:rPr>
                <w:rStyle w:val="VerbatimChar"/>
              </w:rPr>
              <w:t xml:space="preserve">pre_close</w:t>
            </w:r>
            <w:r>
              <w:t xml:space="preserve">、</w:t>
            </w:r>
            <w:r>
              <w:rPr>
                <w:rStyle w:val="VerbatimChar"/>
              </w:rPr>
              <w:t xml:space="preserve">change</w:t>
            </w:r>
            <w:r>
              <w:t xml:space="preserve"> </w:t>
            </w:r>
            <w:r>
              <w:rPr>
                <w:rFonts w:hint="eastAsia"/>
              </w:rPr>
              <w:t xml:space="preserve">及全部</w:t>
            </w:r>
            <w:r>
              <w:t xml:space="preserve"> hfq </w:t>
            </w:r>
            <w:r>
              <w:rPr>
                <w:rFonts w:hint="eastAsia"/>
              </w:rPr>
              <w:t xml:space="preserve">列为</w:t>
            </w:r>
            <w:r>
              <w:t xml:space="preserve"> </w:t>
            </w:r>
            <w:r>
              <w:rPr>
                <w:rFonts w:hint="eastAsia"/>
              </w:rPr>
              <w:t xml:space="preserve">NaN（共</w:t>
            </w:r>
            <w:r>
              <w:t xml:space="preserve"> 1,468 </w:t>
            </w:r>
            <w:r>
              <w:rPr>
                <w:rFonts w:hint="eastAsia"/>
              </w:rPr>
              <w:t xml:space="preserve">行，占</w:t>
            </w:r>
            <w:r>
              <w:t xml:space="preserve"> </w:t>
            </w:r>
            <w:r>
              <w:rPr>
                <w:rFonts w:hint="eastAsia"/>
              </w:rPr>
              <w:t xml:space="preserve">15.1%），策略不受影响</w:t>
            </w:r>
          </w:p>
        </w:tc>
      </w:tr>
      <w:tr>
        <w:tc>
          <w:tcPr/>
          <w:p>
            <w:pPr>
              <w:pStyle w:val="Compact"/>
              <w:jc w:val="left"/>
            </w:pPr>
            <w:r>
              <w:rPr>
                <w:rFonts w:hint="eastAsia"/>
              </w:rPr>
              <w:t xml:space="preserve">生成方式</w:t>
            </w:r>
          </w:p>
        </w:tc>
        <w:tc>
          <w:tcPr/>
          <w:p>
            <w:pPr>
              <w:pStyle w:val="Compact"/>
              <w:jc w:val="left"/>
            </w:pPr>
            <w:r>
              <w:rPr>
                <w:rStyle w:val="VerbatimChar"/>
              </w:rPr>
              <w:t xml:space="preserve">analysis.ipynb</w:t>
            </w:r>
            <w:r>
              <w:t xml:space="preserve"> </w:t>
            </w:r>
            <w:r>
              <w:rPr>
                <w:rFonts w:hint="eastAsia"/>
              </w:rPr>
              <w:t xml:space="preserve">第一步生成并导出</w:t>
            </w:r>
          </w:p>
        </w:tc>
      </w:tr>
    </w:tbl>
    <w:bookmarkEnd w:id="64"/>
    <w:bookmarkStart w:id="65" w:name="monthly_selection.csv-月度选股调仓表"/>
    <w:p>
      <w:pPr>
        <w:pStyle w:val="Heading3"/>
      </w:pPr>
      <w:r>
        <w:t xml:space="preserve">monthly_selection.csv — </w:t>
      </w:r>
      <w:r>
        <w:rPr>
          <w:rFonts w:hint="eastAsia"/>
        </w:rPr>
        <w:t xml:space="preserve">月度选股调仓表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rFonts w:hint="eastAsia"/>
              </w:rPr>
              <w:t xml:space="preserve">项目</w:t>
            </w:r>
          </w:p>
        </w:tc>
        <w:tc>
          <w:tcPr/>
          <w:p>
            <w:pPr>
              <w:pStyle w:val="Compact"/>
              <w:jc w:val="left"/>
            </w:pPr>
            <w:r>
              <w:rPr>
                <w:rFonts w:hint="eastAsia"/>
              </w:rPr>
              <w:t xml:space="preserve">说明</w:t>
            </w:r>
          </w:p>
        </w:tc>
      </w:tr>
      <w:tr>
        <w:tc>
          <w:tcPr/>
          <w:p>
            <w:pPr>
              <w:pStyle w:val="Compact"/>
              <w:jc w:val="left"/>
            </w:pPr>
            <w:r>
              <w:rPr>
                <w:rFonts w:hint="eastAsia"/>
              </w:rPr>
              <w:t xml:space="preserve">文件名</w:t>
            </w:r>
          </w:p>
        </w:tc>
        <w:tc>
          <w:tcPr/>
          <w:p>
            <w:pPr>
              <w:pStyle w:val="Compact"/>
              <w:jc w:val="left"/>
            </w:pPr>
            <w:r>
              <w:rPr>
                <w:rStyle w:val="VerbatimChar"/>
              </w:rPr>
              <w:t xml:space="preserve">monthly_selection.csv</w:t>
            </w:r>
          </w:p>
        </w:tc>
      </w:tr>
      <w:tr>
        <w:tc>
          <w:tcPr/>
          <w:p>
            <w:pPr>
              <w:pStyle w:val="Compact"/>
              <w:jc w:val="left"/>
            </w:pPr>
            <w:r>
              <w:rPr>
                <w:rFonts w:hint="eastAsia"/>
              </w:rPr>
              <w:t xml:space="preserve">记录数</w:t>
            </w:r>
          </w:p>
        </w:tc>
        <w:tc>
          <w:tcPr/>
          <w:p>
            <w:pPr>
              <w:pStyle w:val="Compact"/>
              <w:jc w:val="left"/>
            </w:pPr>
            <w:r>
              <w:t xml:space="preserve">95 </w:t>
            </w:r>
            <w:r>
              <w:rPr>
                <w:rFonts w:hint="eastAsia"/>
              </w:rPr>
              <w:t xml:space="preserve">行（19</w:t>
            </w:r>
            <w:r>
              <w:t xml:space="preserve"> </w:t>
            </w:r>
            <w:r>
              <w:rPr>
                <w:rFonts w:hint="eastAsia"/>
              </w:rPr>
              <w:t xml:space="preserve">个调仓月</w:t>
            </w:r>
            <w:r>
              <w:t xml:space="preserve"> × </w:t>
            </w:r>
            <w:r>
              <w:rPr>
                <w:rFonts w:hint="eastAsia"/>
              </w:rPr>
              <w:t xml:space="preserve">每月</w:t>
            </w:r>
            <w:r>
              <w:t xml:space="preserve"> 5 </w:t>
            </w:r>
            <w:r>
              <w:rPr>
                <w:rFonts w:hint="eastAsia"/>
              </w:rPr>
              <w:t xml:space="preserve">只）</w:t>
            </w:r>
          </w:p>
        </w:tc>
      </w:tr>
      <w:tr>
        <w:tc>
          <w:tcPr/>
          <w:p>
            <w:pPr>
              <w:pStyle w:val="Compact"/>
              <w:jc w:val="left"/>
            </w:pPr>
            <w:r>
              <w:rPr>
                <w:rFonts w:hint="eastAsia"/>
              </w:rPr>
              <w:t xml:space="preserve">列数</w:t>
            </w:r>
          </w:p>
        </w:tc>
        <w:tc>
          <w:tcPr/>
          <w:p>
            <w:pPr>
              <w:pStyle w:val="Compact"/>
              <w:jc w:val="left"/>
            </w:pPr>
            <w:r>
              <w:t xml:space="preserve">14 </w:t>
            </w:r>
            <w:r>
              <w:rPr>
                <w:rFonts w:hint="eastAsia"/>
              </w:rPr>
              <w:t xml:space="preserve">列</w:t>
            </w:r>
          </w:p>
        </w:tc>
      </w:tr>
      <w:tr>
        <w:tc>
          <w:tcPr/>
          <w:p>
            <w:pPr>
              <w:pStyle w:val="Compact"/>
              <w:jc w:val="left"/>
            </w:pPr>
            <w:r>
              <w:rPr>
                <w:rFonts w:hint="eastAsia"/>
              </w:rPr>
              <w:t xml:space="preserve">时间范围</w:t>
            </w:r>
          </w:p>
        </w:tc>
        <w:tc>
          <w:tcPr/>
          <w:p>
            <w:pPr>
              <w:pStyle w:val="Compact"/>
              <w:jc w:val="left"/>
            </w:pPr>
            <w:r>
              <w:t xml:space="preserve">2025-01-27 </w:t>
            </w:r>
            <w:r>
              <w:rPr>
                <w:rFonts w:hint="eastAsia"/>
              </w:rPr>
              <w:t xml:space="preserve">至</w:t>
            </w:r>
            <w:r>
              <w:t xml:space="preserve"> </w:t>
            </w:r>
            <w:r>
              <w:rPr>
                <w:rFonts w:hint="eastAsia"/>
              </w:rPr>
              <w:t xml:space="preserve">2026-07-21（19</w:t>
            </w:r>
            <w:r>
              <w:t xml:space="preserve"> </w:t>
            </w:r>
            <w:r>
              <w:rPr>
                <w:rFonts w:hint="eastAsia"/>
              </w:rPr>
              <w:t xml:space="preserve">个调仓月）</w:t>
            </w:r>
          </w:p>
        </w:tc>
      </w:tr>
      <w:tr>
        <w:tc>
          <w:tcPr/>
          <w:p>
            <w:pPr>
              <w:pStyle w:val="Compact"/>
              <w:jc w:val="left"/>
            </w:pPr>
            <w:r>
              <w:rPr>
                <w:rFonts w:hint="eastAsia"/>
              </w:rPr>
              <w:t xml:space="preserve">编码</w:t>
            </w:r>
          </w:p>
        </w:tc>
        <w:tc>
          <w:tcPr/>
          <w:p>
            <w:pPr>
              <w:pStyle w:val="Compact"/>
              <w:jc w:val="left"/>
            </w:pPr>
            <w:r>
              <w:t xml:space="preserve">UTF-8 with </w:t>
            </w:r>
            <w:r>
              <w:rPr>
                <w:rFonts w:hint="eastAsia"/>
              </w:rPr>
              <w:t xml:space="preserve">BOM（utf-8-sig）</w:t>
            </w:r>
          </w:p>
        </w:tc>
      </w:tr>
      <w:tr>
        <w:tc>
          <w:tcPr/>
          <w:p>
            <w:pPr>
              <w:pStyle w:val="Compact"/>
              <w:jc w:val="left"/>
            </w:pPr>
            <w:r>
              <w:rPr>
                <w:rFonts w:hint="eastAsia"/>
              </w:rPr>
              <w:t xml:space="preserve">生成方式</w:t>
            </w:r>
          </w:p>
        </w:tc>
        <w:tc>
          <w:tcPr/>
          <w:p>
            <w:pPr>
              <w:pStyle w:val="Compact"/>
              <w:jc w:val="left"/>
            </w:pPr>
            <w:r>
              <w:rPr>
                <w:rStyle w:val="VerbatimChar"/>
              </w:rPr>
              <w:t xml:space="preserve">analysis.ipynb</w:t>
            </w:r>
            <w:r>
              <w:t xml:space="preserve"> </w:t>
            </w:r>
            <w:r>
              <w:rPr>
                <w:rFonts w:hint="eastAsia"/>
              </w:rPr>
              <w:t xml:space="preserve">第三步生成并导出</w:t>
            </w:r>
          </w:p>
        </w:tc>
      </w:tr>
    </w:tbl>
    <w:p>
      <w:pPr>
        <w:pStyle w:val="BodyText"/>
      </w:pPr>
      <w:r>
        <w:rPr>
          <w:rFonts w:hint="eastAsia"/>
        </w:rPr>
        <w:t xml:space="preserve">字段说明：</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字段名</w:t>
            </w:r>
          </w:p>
        </w:tc>
        <w:tc>
          <w:tcPr/>
          <w:p>
            <w:pPr>
              <w:pStyle w:val="Compact"/>
              <w:jc w:val="left"/>
            </w:pPr>
            <w:r>
              <w:rPr>
                <w:rFonts w:hint="eastAsia"/>
              </w:rPr>
              <w:t xml:space="preserve">含义</w:t>
            </w:r>
          </w:p>
        </w:tc>
        <w:tc>
          <w:tcPr/>
          <w:p>
            <w:pPr>
              <w:pStyle w:val="Compact"/>
              <w:jc w:val="left"/>
            </w:pPr>
            <w:r>
              <w:rPr>
                <w:rFonts w:hint="eastAsia"/>
              </w:rPr>
              <w:t xml:space="preserve">备注</w:t>
            </w:r>
          </w:p>
        </w:tc>
      </w:tr>
      <w:tr>
        <w:tc>
          <w:tcPr/>
          <w:p>
            <w:pPr>
              <w:pStyle w:val="Compact"/>
              <w:jc w:val="left"/>
            </w:pPr>
            <w:r>
              <w:t xml:space="preserve">date</w:t>
            </w:r>
          </w:p>
        </w:tc>
        <w:tc>
          <w:tcPr/>
          <w:p>
            <w:pPr>
              <w:pStyle w:val="Compact"/>
              <w:jc w:val="left"/>
            </w:pPr>
            <w:r>
              <w:rPr>
                <w:rFonts w:hint="eastAsia"/>
              </w:rPr>
              <w:t xml:space="preserve">调仓日期</w:t>
            </w:r>
          </w:p>
        </w:tc>
        <w:tc>
          <w:tcPr/>
          <w:p>
            <w:pPr>
              <w:pStyle w:val="Compact"/>
              <w:jc w:val="left"/>
            </w:pPr>
            <w:r>
              <w:rPr>
                <w:rFonts w:hint="eastAsia"/>
              </w:rPr>
              <w:t xml:space="preserve">每月最后一个所有股票共有的交易日</w:t>
            </w:r>
          </w:p>
        </w:tc>
      </w:tr>
      <w:tr>
        <w:tc>
          <w:tcPr/>
          <w:p>
            <w:pPr>
              <w:pStyle w:val="Compact"/>
              <w:jc w:val="left"/>
            </w:pPr>
            <w:r>
              <w:t xml:space="preserve">code</w:t>
            </w:r>
          </w:p>
        </w:tc>
        <w:tc>
          <w:tcPr/>
          <w:p>
            <w:pPr>
              <w:pStyle w:val="Compact"/>
              <w:jc w:val="left"/>
            </w:pPr>
            <w:r>
              <w:rPr>
                <w:rFonts w:hint="eastAsia"/>
              </w:rPr>
              <w:t xml:space="preserve">股票代码</w:t>
            </w:r>
          </w:p>
        </w:tc>
        <w:tc>
          <w:tcPr/>
          <w:p>
            <w:pPr>
              <w:pStyle w:val="Compact"/>
              <w:jc w:val="left"/>
            </w:pPr>
            <w:r>
              <w:rPr>
                <w:rFonts w:hint="eastAsia"/>
              </w:rPr>
              <w:t xml:space="preserve">格式</w:t>
            </w:r>
            <w:r>
              <w:t xml:space="preserve"> </w:t>
            </w:r>
            <w:r>
              <w:rPr>
                <w:rStyle w:val="VerbatimChar"/>
              </w:rPr>
              <w:t xml:space="preserve">001309.SZ</w:t>
            </w:r>
            <w:r>
              <w:t xml:space="preserve"> </w:t>
            </w:r>
            <w:r>
              <w:t xml:space="preserve">/</w:t>
            </w:r>
            <w:r>
              <w:t xml:space="preserve"> </w:t>
            </w:r>
            <w:r>
              <w:rPr>
                <w:rStyle w:val="VerbatimChar"/>
              </w:rPr>
              <w:t xml:space="preserve">00700.HK</w:t>
            </w:r>
          </w:p>
        </w:tc>
      </w:tr>
      <w:tr>
        <w:tc>
          <w:tcPr/>
          <w:p>
            <w:pPr>
              <w:pStyle w:val="Compact"/>
              <w:jc w:val="left"/>
            </w:pPr>
            <w:r>
              <w:t xml:space="preserve">name</w:t>
            </w:r>
          </w:p>
        </w:tc>
        <w:tc>
          <w:tcPr/>
          <w:p>
            <w:pPr>
              <w:pStyle w:val="Compact"/>
              <w:jc w:val="left"/>
            </w:pPr>
            <w:r>
              <w:rPr>
                <w:rFonts w:hint="eastAsia"/>
              </w:rPr>
              <w:t xml:space="preserve">股票名称</w:t>
            </w:r>
          </w:p>
        </w:tc>
        <w:tc>
          <w:tcPr/>
          <w:p>
            <w:pPr>
              <w:pStyle w:val="Compact"/>
              <w:jc w:val="left"/>
            </w:pPr>
            <w:r>
              <w:t xml:space="preserve">—</w:t>
            </w:r>
          </w:p>
        </w:tc>
      </w:tr>
      <w:tr>
        <w:tc>
          <w:tcPr/>
          <w:p>
            <w:pPr>
              <w:pStyle w:val="Compact"/>
              <w:jc w:val="left"/>
            </w:pPr>
            <w:r>
              <w:t xml:space="preserve">close</w:t>
            </w:r>
          </w:p>
        </w:tc>
        <w:tc>
          <w:tcPr/>
          <w:p>
            <w:pPr>
              <w:pStyle w:val="Compact"/>
              <w:jc w:val="left"/>
            </w:pPr>
            <w:r>
              <w:rPr>
                <w:rFonts w:hint="eastAsia"/>
              </w:rPr>
              <w:t xml:space="preserve">前复权收盘价</w:t>
            </w:r>
          </w:p>
        </w:tc>
        <w:tc>
          <w:tcPr/>
          <w:p>
            <w:pPr>
              <w:pStyle w:val="Compact"/>
              <w:jc w:val="left"/>
            </w:pPr>
            <w:r>
              <w:rPr>
                <w:rFonts w:hint="eastAsia"/>
              </w:rPr>
              <w:t xml:space="preserve">元，调仓日收盘价</w:t>
            </w:r>
          </w:p>
        </w:tc>
      </w:tr>
      <w:tr>
        <w:tc>
          <w:tcPr/>
          <w:p>
            <w:pPr>
              <w:pStyle w:val="Compact"/>
              <w:jc w:val="left"/>
            </w:pPr>
            <w:r>
              <w:t xml:space="preserve">momentum</w:t>
            </w:r>
          </w:p>
        </w:tc>
        <w:tc>
          <w:tcPr/>
          <w:p>
            <w:pPr>
              <w:pStyle w:val="Compact"/>
              <w:jc w:val="left"/>
            </w:pPr>
            <w:r>
              <w:rPr>
                <w:rFonts w:hint="eastAsia"/>
              </w:rPr>
              <w:t xml:space="preserve">60日动量</w:t>
            </w:r>
          </w:p>
        </w:tc>
        <w:tc>
          <w:tcPr/>
          <w:p>
            <w:pPr>
              <w:pStyle w:val="Compact"/>
              <w:jc w:val="left"/>
            </w:pPr>
            <w:r>
              <w:rPr>
                <w:rStyle w:val="VerbatimChar"/>
              </w:rPr>
              <w:t xml:space="preserve">close_qfq.pct_change(60)</w:t>
            </w:r>
          </w:p>
        </w:tc>
      </w:tr>
      <w:tr>
        <w:tc>
          <w:tcPr/>
          <w:p>
            <w:pPr>
              <w:pStyle w:val="Compact"/>
              <w:jc w:val="left"/>
            </w:pPr>
            <w:r>
              <w:t xml:space="preserve">pe</w:t>
            </w:r>
          </w:p>
        </w:tc>
        <w:tc>
          <w:tcPr/>
          <w:p>
            <w:pPr>
              <w:pStyle w:val="Compact"/>
              <w:jc w:val="left"/>
            </w:pPr>
            <w:r>
              <w:rPr>
                <w:rFonts w:hint="eastAsia"/>
              </w:rPr>
              <w:t xml:space="preserve">市盈率（TTM）</w:t>
            </w:r>
          </w:p>
        </w:tc>
        <w:tc>
          <w:tcPr/>
          <w:p>
            <w:pPr>
              <w:pStyle w:val="Compact"/>
              <w:jc w:val="left"/>
            </w:pPr>
            <w:r>
              <w:rPr>
                <w:rFonts w:hint="eastAsia"/>
              </w:rPr>
              <w:t xml:space="preserve">在线获取，ETF</w:t>
            </w:r>
            <w:r>
              <w:t xml:space="preserve"> </w:t>
            </w:r>
            <w:r>
              <w:rPr>
                <w:rFonts w:hint="eastAsia"/>
              </w:rPr>
              <w:t xml:space="preserve">为</w:t>
            </w:r>
            <w:r>
              <w:t xml:space="preserve"> NaN</w:t>
            </w:r>
          </w:p>
        </w:tc>
      </w:tr>
      <w:tr>
        <w:tc>
          <w:tcPr/>
          <w:p>
            <w:pPr>
              <w:pStyle w:val="Compact"/>
              <w:jc w:val="left"/>
            </w:pPr>
            <w:r>
              <w:t xml:space="preserve">roe</w:t>
            </w:r>
          </w:p>
        </w:tc>
        <w:tc>
          <w:tcPr/>
          <w:p>
            <w:pPr>
              <w:pStyle w:val="Compact"/>
              <w:jc w:val="left"/>
            </w:pPr>
            <w:r>
              <w:rPr>
                <w:rFonts w:hint="eastAsia"/>
              </w:rPr>
              <w:t xml:space="preserve">净资产收益率</w:t>
            </w:r>
          </w:p>
        </w:tc>
        <w:tc>
          <w:tcPr/>
          <w:p>
            <w:pPr>
              <w:pStyle w:val="Compact"/>
              <w:jc w:val="left"/>
            </w:pPr>
            <w:r>
              <w:rPr>
                <w:rFonts w:hint="eastAsia"/>
              </w:rPr>
              <w:t xml:space="preserve">在线获取，ETF</w:t>
            </w:r>
            <w:r>
              <w:t xml:space="preserve"> </w:t>
            </w:r>
            <w:r>
              <w:rPr>
                <w:rFonts w:hint="eastAsia"/>
              </w:rPr>
              <w:t xml:space="preserve">为</w:t>
            </w:r>
            <w:r>
              <w:t xml:space="preserve"> NaN</w:t>
            </w:r>
          </w:p>
        </w:tc>
      </w:tr>
      <w:tr>
        <w:tc>
          <w:tcPr/>
          <w:p>
            <w:pPr>
              <w:pStyle w:val="Compact"/>
              <w:jc w:val="left"/>
            </w:pPr>
            <w:r>
              <w:t xml:space="preserve">ma120</w:t>
            </w:r>
          </w:p>
        </w:tc>
        <w:tc>
          <w:tcPr/>
          <w:p>
            <w:pPr>
              <w:pStyle w:val="Compact"/>
              <w:jc w:val="left"/>
            </w:pPr>
            <w:r>
              <w:rPr>
                <w:rFonts w:hint="eastAsia"/>
              </w:rPr>
              <w:t xml:space="preserve">120日均线</w:t>
            </w:r>
          </w:p>
        </w:tc>
        <w:tc>
          <w:tcPr/>
          <w:p>
            <w:pPr>
              <w:pStyle w:val="Compact"/>
              <w:jc w:val="left"/>
            </w:pPr>
            <w:r>
              <w:rPr>
                <w:rStyle w:val="VerbatimChar"/>
              </w:rPr>
              <w:t xml:space="preserve">close_qfq.rolling(120).mean()</w:t>
            </w:r>
          </w:p>
        </w:tc>
      </w:tr>
      <w:tr>
        <w:tc>
          <w:tcPr/>
          <w:p>
            <w:pPr>
              <w:pStyle w:val="Compact"/>
              <w:jc w:val="left"/>
            </w:pPr>
            <w:r>
              <w:t xml:space="preserve">month</w:t>
            </w:r>
          </w:p>
        </w:tc>
        <w:tc>
          <w:tcPr/>
          <w:p>
            <w:pPr>
              <w:pStyle w:val="Compact"/>
              <w:jc w:val="left"/>
            </w:pPr>
            <w:r>
              <w:rPr>
                <w:rFonts w:hint="eastAsia"/>
              </w:rPr>
              <w:t xml:space="preserve">所属月份</w:t>
            </w:r>
          </w:p>
        </w:tc>
        <w:tc>
          <w:tcPr/>
          <w:p>
            <w:pPr>
              <w:pStyle w:val="Compact"/>
              <w:jc w:val="left"/>
            </w:pPr>
            <w:r>
              <w:t xml:space="preserve">Period </w:t>
            </w:r>
            <w:r>
              <w:rPr>
                <w:rFonts w:hint="eastAsia"/>
              </w:rPr>
              <w:t xml:space="preserve">对象，格式</w:t>
            </w:r>
            <w:r>
              <w:t xml:space="preserve"> </w:t>
            </w:r>
            <w:r>
              <w:rPr>
                <w:rStyle w:val="VerbatimChar"/>
              </w:rPr>
              <w:t xml:space="preserve">2025-01</w:t>
            </w:r>
          </w:p>
        </w:tc>
      </w:tr>
      <w:tr>
        <w:tc>
          <w:tcPr/>
          <w:p>
            <w:pPr>
              <w:pStyle w:val="Compact"/>
              <w:jc w:val="left"/>
            </w:pPr>
            <w:r>
              <w:t xml:space="preserve">pe_score</w:t>
            </w:r>
          </w:p>
        </w:tc>
        <w:tc>
          <w:tcPr/>
          <w:p>
            <w:pPr>
              <w:pStyle w:val="Compact"/>
              <w:jc w:val="left"/>
            </w:pPr>
            <w:r>
              <w:t xml:space="preserve">PE </w:t>
            </w:r>
            <w:r>
              <w:rPr>
                <w:rFonts w:hint="eastAsia"/>
              </w:rPr>
              <w:t xml:space="preserve">的</w:t>
            </w:r>
            <w:r>
              <w:t xml:space="preserve"> Z-score</w:t>
            </w:r>
          </w:p>
        </w:tc>
        <w:tc>
          <w:tcPr/>
          <w:p>
            <w:pPr>
              <w:pStyle w:val="Compact"/>
              <w:jc w:val="left"/>
            </w:pPr>
            <w:r>
              <w:rPr>
                <w:rFonts w:hint="eastAsia"/>
              </w:rPr>
              <w:t xml:space="preserve">取负值（PE</w:t>
            </w:r>
            <w:r>
              <w:t xml:space="preserve"> </w:t>
            </w:r>
            <w:r>
              <w:rPr>
                <w:rFonts w:hint="eastAsia"/>
              </w:rPr>
              <w:t xml:space="preserve">越低越好）</w:t>
            </w:r>
          </w:p>
        </w:tc>
      </w:tr>
      <w:tr>
        <w:tc>
          <w:tcPr/>
          <w:p>
            <w:pPr>
              <w:pStyle w:val="Compact"/>
              <w:jc w:val="left"/>
            </w:pPr>
            <w:r>
              <w:t xml:space="preserve">roe_score</w:t>
            </w:r>
          </w:p>
        </w:tc>
        <w:tc>
          <w:tcPr/>
          <w:p>
            <w:pPr>
              <w:pStyle w:val="Compact"/>
              <w:jc w:val="left"/>
            </w:pPr>
            <w:r>
              <w:t xml:space="preserve">ROE </w:t>
            </w:r>
            <w:r>
              <w:rPr>
                <w:rFonts w:hint="eastAsia"/>
              </w:rPr>
              <w:t xml:space="preserve">的</w:t>
            </w:r>
            <w:r>
              <w:t xml:space="preserve"> Z-score</w:t>
            </w:r>
          </w:p>
        </w:tc>
        <w:tc>
          <w:tcPr/>
          <w:p>
            <w:pPr>
              <w:pStyle w:val="Compact"/>
              <w:jc w:val="left"/>
            </w:pPr>
            <w:r>
              <w:t xml:space="preserve">—</w:t>
            </w:r>
          </w:p>
        </w:tc>
      </w:tr>
      <w:tr>
        <w:tc>
          <w:tcPr/>
          <w:p>
            <w:pPr>
              <w:pStyle w:val="Compact"/>
              <w:jc w:val="left"/>
            </w:pPr>
            <w:r>
              <w:t xml:space="preserve">mom_score</w:t>
            </w:r>
          </w:p>
        </w:tc>
        <w:tc>
          <w:tcPr/>
          <w:p>
            <w:pPr>
              <w:pStyle w:val="Compact"/>
              <w:jc w:val="left"/>
            </w:pPr>
            <w:r>
              <w:rPr>
                <w:rFonts w:hint="eastAsia"/>
              </w:rPr>
              <w:t xml:space="preserve">动量的</w:t>
            </w:r>
            <w:r>
              <w:t xml:space="preserve"> Z-score</w:t>
            </w:r>
          </w:p>
        </w:tc>
        <w:tc>
          <w:tcPr/>
          <w:p>
            <w:pPr>
              <w:pStyle w:val="Compact"/>
              <w:jc w:val="left"/>
            </w:pPr>
            <w:r>
              <w:t xml:space="preserve">—</w:t>
            </w:r>
          </w:p>
        </w:tc>
      </w:tr>
      <w:tr>
        <w:tc>
          <w:tcPr/>
          <w:p>
            <w:pPr>
              <w:pStyle w:val="Compact"/>
              <w:jc w:val="left"/>
            </w:pPr>
            <w:r>
              <w:t xml:space="preserve">score</w:t>
            </w:r>
          </w:p>
        </w:tc>
        <w:tc>
          <w:tcPr/>
          <w:p>
            <w:pPr>
              <w:pStyle w:val="Compact"/>
              <w:jc w:val="left"/>
            </w:pPr>
            <w:r>
              <w:rPr>
                <w:rFonts w:hint="eastAsia"/>
              </w:rPr>
              <w:t xml:space="preserve">综合评分</w:t>
            </w:r>
          </w:p>
        </w:tc>
        <w:tc>
          <w:tcPr/>
          <w:p>
            <w:pPr>
              <w:pStyle w:val="Compact"/>
              <w:jc w:val="left"/>
            </w:pPr>
            <w:r>
              <w:rPr>
                <w:rStyle w:val="VerbatimChar"/>
              </w:rPr>
              <w:t xml:space="preserve">0.4×mom_score + 0.3×roe_score + 0.3×pe_score</w:t>
            </w:r>
          </w:p>
        </w:tc>
      </w:tr>
      <w:tr>
        <w:tc>
          <w:tcPr/>
          <w:p>
            <w:pPr>
              <w:pStyle w:val="Compact"/>
              <w:jc w:val="left"/>
            </w:pPr>
            <w:r>
              <w:t xml:space="preserve">weight</w:t>
            </w:r>
          </w:p>
        </w:tc>
        <w:tc>
          <w:tcPr/>
          <w:p>
            <w:pPr>
              <w:pStyle w:val="Compact"/>
              <w:jc w:val="left"/>
            </w:pPr>
            <w:r>
              <w:rPr>
                <w:rFonts w:hint="eastAsia"/>
              </w:rPr>
              <w:t xml:space="preserve">配置权重</w:t>
            </w:r>
          </w:p>
        </w:tc>
        <w:tc>
          <w:tcPr/>
          <w:p>
            <w:pPr>
              <w:pStyle w:val="Compact"/>
              <w:jc w:val="left"/>
            </w:pPr>
            <w:r>
              <w:rPr>
                <w:rFonts w:hint="eastAsia"/>
              </w:rPr>
              <w:t xml:space="preserve">固定</w:t>
            </w:r>
            <w:r>
              <w:t xml:space="preserve"> </w:t>
            </w:r>
            <w:r>
              <w:rPr>
                <w:rFonts w:hint="eastAsia"/>
              </w:rPr>
              <w:t xml:space="preserve">0.20（等权</w:t>
            </w:r>
            <w:r>
              <w:t xml:space="preserve"> 5 </w:t>
            </w:r>
            <w:r>
              <w:rPr>
                <w:rFonts w:hint="eastAsia"/>
              </w:rPr>
              <w:t xml:space="preserve">只）</w:t>
            </w:r>
          </w:p>
        </w:tc>
      </w:tr>
    </w:tbl>
    <w:bookmarkEnd w:id="65"/>
    <w:bookmarkEnd w:id="66"/>
    <w:bookmarkStart w:id="67" w:name="附录c完整指标表"/>
    <w:p>
      <w:pPr>
        <w:pStyle w:val="Heading2"/>
      </w:pPr>
      <w:r>
        <w:rPr>
          <w:rFonts w:hint="eastAsia"/>
        </w:rPr>
        <w:t xml:space="preserve">附录C：完整指标表</w:t>
      </w:r>
    </w:p>
    <w:p>
      <w:pPr>
        <w:pStyle w:val="FirstParagraph"/>
      </w:pPr>
      <w:r>
        <w:rPr>
          <w:rFonts w:hint="eastAsia"/>
        </w:rPr>
        <w:t xml:space="preserve">以下为全部20只股票在回测期间（2024-07-19</w:t>
      </w:r>
      <w:r>
        <w:t xml:space="preserve"> </w:t>
      </w:r>
      <w:r>
        <w:rPr>
          <w:rFonts w:hint="eastAsia"/>
        </w:rPr>
        <w:t xml:space="preserve">至</w:t>
      </w:r>
      <w:r>
        <w:t xml:space="preserve"> </w:t>
      </w:r>
      <w:r>
        <w:rPr>
          <w:rFonts w:hint="eastAsia"/>
        </w:rPr>
        <w:t xml:space="preserve">2026-07-21）的六项核心指标，按总收益降序排列。</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rFonts w:hint="eastAsia"/>
              </w:rPr>
              <w:t xml:space="preserve">股票</w:t>
            </w:r>
          </w:p>
        </w:tc>
        <w:tc>
          <w:tcPr/>
          <w:p>
            <w:pPr>
              <w:pStyle w:val="Compact"/>
              <w:jc w:val="right"/>
            </w:pPr>
            <w:r>
              <w:rPr>
                <w:rFonts w:hint="eastAsia"/>
              </w:rPr>
              <w:t xml:space="preserve">总收益</w:t>
            </w:r>
          </w:p>
        </w:tc>
        <w:tc>
          <w:tcPr/>
          <w:p>
            <w:pPr>
              <w:pStyle w:val="Compact"/>
              <w:jc w:val="right"/>
            </w:pPr>
            <w:r>
              <w:rPr>
                <w:rFonts w:hint="eastAsia"/>
              </w:rPr>
              <w:t xml:space="preserve">年化收益</w:t>
            </w:r>
          </w:p>
        </w:tc>
        <w:tc>
          <w:tcPr/>
          <w:p>
            <w:pPr>
              <w:pStyle w:val="Compact"/>
              <w:jc w:val="right"/>
            </w:pPr>
            <w:r>
              <w:rPr>
                <w:rFonts w:hint="eastAsia"/>
              </w:rPr>
              <w:t xml:space="preserve">年化波动</w:t>
            </w:r>
          </w:p>
        </w:tc>
        <w:tc>
          <w:tcPr/>
          <w:p>
            <w:pPr>
              <w:pStyle w:val="Compact"/>
              <w:jc w:val="right"/>
            </w:pPr>
            <w:r>
              <w:rPr>
                <w:rFonts w:hint="eastAsia"/>
              </w:rPr>
              <w:t xml:space="preserve">最大回撤</w:t>
            </w:r>
          </w:p>
        </w:tc>
        <w:tc>
          <w:tcPr/>
          <w:p>
            <w:pPr>
              <w:pStyle w:val="Compact"/>
              <w:jc w:val="right"/>
            </w:pPr>
            <w:r>
              <w:rPr>
                <w:rFonts w:hint="eastAsia"/>
              </w:rPr>
              <w:t xml:space="preserve">夏普</w:t>
            </w:r>
          </w:p>
        </w:tc>
        <w:tc>
          <w:tcPr/>
          <w:p>
            <w:pPr>
              <w:pStyle w:val="Compact"/>
              <w:jc w:val="right"/>
            </w:pPr>
            <w:r>
              <w:rPr>
                <w:rFonts w:hint="eastAsia"/>
              </w:rPr>
              <w:t xml:space="preserve">卡玛</w:t>
            </w:r>
          </w:p>
        </w:tc>
      </w:tr>
      <w:tr>
        <w:tc>
          <w:tcPr/>
          <w:p>
            <w:pPr>
              <w:pStyle w:val="Compact"/>
              <w:jc w:val="left"/>
            </w:pPr>
            <w:r>
              <w:rPr>
                <w:rFonts w:hint="eastAsia"/>
              </w:rPr>
              <w:t xml:space="preserve">德明利（001309.SZ）</w:t>
            </w:r>
          </w:p>
        </w:tc>
        <w:tc>
          <w:tcPr/>
          <w:p>
            <w:pPr>
              <w:pStyle w:val="Compact"/>
              <w:jc w:val="right"/>
            </w:pPr>
            <w:r>
              <w:t xml:space="preserve">718.5%</w:t>
            </w:r>
          </w:p>
        </w:tc>
        <w:tc>
          <w:tcPr/>
          <w:p>
            <w:pPr>
              <w:pStyle w:val="Compact"/>
              <w:jc w:val="right"/>
            </w:pPr>
            <w:r>
              <w:t xml:space="preserve">185.5%</w:t>
            </w:r>
          </w:p>
        </w:tc>
        <w:tc>
          <w:tcPr/>
          <w:p>
            <w:pPr>
              <w:pStyle w:val="Compact"/>
              <w:jc w:val="right"/>
            </w:pPr>
            <w:r>
              <w:t xml:space="preserve">69.1%</w:t>
            </w:r>
          </w:p>
        </w:tc>
        <w:tc>
          <w:tcPr/>
          <w:p>
            <w:pPr>
              <w:pStyle w:val="Compact"/>
              <w:jc w:val="right"/>
            </w:pPr>
            <w:r>
              <w:t xml:space="preserve">-50.2%</w:t>
            </w:r>
          </w:p>
        </w:tc>
        <w:tc>
          <w:tcPr/>
          <w:p>
            <w:pPr>
              <w:pStyle w:val="Compact"/>
              <w:jc w:val="right"/>
            </w:pPr>
            <w:r>
              <w:t xml:space="preserve">2.66</w:t>
            </w:r>
          </w:p>
        </w:tc>
        <w:tc>
          <w:tcPr/>
          <w:p>
            <w:pPr>
              <w:pStyle w:val="Compact"/>
              <w:jc w:val="right"/>
            </w:pPr>
            <w:r>
              <w:t xml:space="preserve">3.69</w:t>
            </w:r>
          </w:p>
        </w:tc>
      </w:tr>
      <w:tr>
        <w:tc>
          <w:tcPr/>
          <w:p>
            <w:pPr>
              <w:pStyle w:val="Compact"/>
              <w:jc w:val="left"/>
            </w:pPr>
            <w:r>
              <w:rPr>
                <w:rFonts w:hint="eastAsia"/>
              </w:rPr>
              <w:t xml:space="preserve">普冉股份（688766.SH）</w:t>
            </w:r>
          </w:p>
        </w:tc>
        <w:tc>
          <w:tcPr/>
          <w:p>
            <w:pPr>
              <w:pStyle w:val="Compact"/>
              <w:jc w:val="right"/>
            </w:pPr>
            <w:r>
              <w:t xml:space="preserve">662.1%</w:t>
            </w:r>
          </w:p>
        </w:tc>
        <w:tc>
          <w:tcPr/>
          <w:p>
            <w:pPr>
              <w:pStyle w:val="Compact"/>
              <w:jc w:val="right"/>
            </w:pPr>
            <w:r>
              <w:t xml:space="preserve">175.5%</w:t>
            </w:r>
          </w:p>
        </w:tc>
        <w:tc>
          <w:tcPr/>
          <w:p>
            <w:pPr>
              <w:pStyle w:val="Compact"/>
              <w:jc w:val="right"/>
            </w:pPr>
            <w:r>
              <w:t xml:space="preserve">86.4%</w:t>
            </w:r>
          </w:p>
        </w:tc>
        <w:tc>
          <w:tcPr/>
          <w:p>
            <w:pPr>
              <w:pStyle w:val="Compact"/>
              <w:jc w:val="right"/>
            </w:pPr>
            <w:r>
              <w:t xml:space="preserve">-54.0%</w:t>
            </w:r>
          </w:p>
        </w:tc>
        <w:tc>
          <w:tcPr/>
          <w:p>
            <w:pPr>
              <w:pStyle w:val="Compact"/>
              <w:jc w:val="right"/>
            </w:pPr>
            <w:r>
              <w:t xml:space="preserve">2.01</w:t>
            </w:r>
          </w:p>
        </w:tc>
        <w:tc>
          <w:tcPr/>
          <w:p>
            <w:pPr>
              <w:pStyle w:val="Compact"/>
              <w:jc w:val="right"/>
            </w:pPr>
            <w:r>
              <w:t xml:space="preserve">3.25</w:t>
            </w:r>
          </w:p>
        </w:tc>
      </w:tr>
      <w:tr>
        <w:tc>
          <w:tcPr/>
          <w:p>
            <w:pPr>
              <w:pStyle w:val="Compact"/>
              <w:jc w:val="left"/>
            </w:pPr>
            <w:r>
              <w:rPr>
                <w:rFonts w:hint="eastAsia"/>
              </w:rPr>
              <w:t xml:space="preserve">兆易创新（603986.SH）</w:t>
            </w:r>
          </w:p>
        </w:tc>
        <w:tc>
          <w:tcPr/>
          <w:p>
            <w:pPr>
              <w:pStyle w:val="Compact"/>
              <w:jc w:val="right"/>
            </w:pPr>
            <w:r>
              <w:t xml:space="preserve">397.5%</w:t>
            </w:r>
          </w:p>
        </w:tc>
        <w:tc>
          <w:tcPr/>
          <w:p>
            <w:pPr>
              <w:pStyle w:val="Compact"/>
              <w:jc w:val="right"/>
            </w:pPr>
            <w:r>
              <w:t xml:space="preserve">122.7%</w:t>
            </w:r>
          </w:p>
        </w:tc>
        <w:tc>
          <w:tcPr/>
          <w:p>
            <w:pPr>
              <w:pStyle w:val="Compact"/>
              <w:jc w:val="right"/>
            </w:pPr>
            <w:r>
              <w:t xml:space="preserve">63.7%</w:t>
            </w:r>
          </w:p>
        </w:tc>
        <w:tc>
          <w:tcPr/>
          <w:p>
            <w:pPr>
              <w:pStyle w:val="Compact"/>
              <w:jc w:val="right"/>
            </w:pPr>
            <w:r>
              <w:t xml:space="preserve">-48.5%</w:t>
            </w:r>
          </w:p>
        </w:tc>
        <w:tc>
          <w:tcPr/>
          <w:p>
            <w:pPr>
              <w:pStyle w:val="Compact"/>
              <w:jc w:val="right"/>
            </w:pPr>
            <w:r>
              <w:t xml:space="preserve">1.89</w:t>
            </w:r>
          </w:p>
        </w:tc>
        <w:tc>
          <w:tcPr/>
          <w:p>
            <w:pPr>
              <w:pStyle w:val="Compact"/>
              <w:jc w:val="right"/>
            </w:pPr>
            <w:r>
              <w:t xml:space="preserve">2.53</w:t>
            </w:r>
          </w:p>
        </w:tc>
      </w:tr>
      <w:tr>
        <w:tc>
          <w:tcPr/>
          <w:p>
            <w:pPr>
              <w:pStyle w:val="Compact"/>
              <w:jc w:val="left"/>
            </w:pPr>
            <w:r>
              <w:rPr>
                <w:rFonts w:hint="eastAsia"/>
              </w:rPr>
              <w:t xml:space="preserve">佰维存储（688525.SH）</w:t>
            </w:r>
          </w:p>
        </w:tc>
        <w:tc>
          <w:tcPr/>
          <w:p>
            <w:pPr>
              <w:pStyle w:val="Compact"/>
              <w:jc w:val="right"/>
            </w:pPr>
            <w:r>
              <w:t xml:space="preserve">365.3%</w:t>
            </w:r>
          </w:p>
        </w:tc>
        <w:tc>
          <w:tcPr/>
          <w:p>
            <w:pPr>
              <w:pStyle w:val="Compact"/>
              <w:jc w:val="right"/>
            </w:pPr>
            <w:r>
              <w:t xml:space="preserve">115.4%</w:t>
            </w:r>
          </w:p>
        </w:tc>
        <w:tc>
          <w:tcPr/>
          <w:p>
            <w:pPr>
              <w:pStyle w:val="Compact"/>
              <w:jc w:val="right"/>
            </w:pPr>
            <w:r>
              <w:t xml:space="preserve">74.5%</w:t>
            </w:r>
          </w:p>
        </w:tc>
        <w:tc>
          <w:tcPr/>
          <w:p>
            <w:pPr>
              <w:pStyle w:val="Compact"/>
              <w:jc w:val="right"/>
            </w:pPr>
            <w:r>
              <w:t xml:space="preserve">-51.9%</w:t>
            </w:r>
          </w:p>
        </w:tc>
        <w:tc>
          <w:tcPr/>
          <w:p>
            <w:pPr>
              <w:pStyle w:val="Compact"/>
              <w:jc w:val="right"/>
            </w:pPr>
            <w:r>
              <w:t xml:space="preserve">1.52</w:t>
            </w:r>
          </w:p>
        </w:tc>
        <w:tc>
          <w:tcPr/>
          <w:p>
            <w:pPr>
              <w:pStyle w:val="Compact"/>
              <w:jc w:val="right"/>
            </w:pPr>
            <w:r>
              <w:t xml:space="preserve">2.22</w:t>
            </w:r>
          </w:p>
        </w:tc>
      </w:tr>
      <w:tr>
        <w:tc>
          <w:tcPr/>
          <w:p>
            <w:pPr>
              <w:pStyle w:val="Compact"/>
              <w:jc w:val="left"/>
            </w:pPr>
            <w:r>
              <w:rPr>
                <w:rFonts w:hint="eastAsia"/>
              </w:rPr>
              <w:t xml:space="preserve">江波龙（301308.SZ）</w:t>
            </w:r>
          </w:p>
        </w:tc>
        <w:tc>
          <w:tcPr/>
          <w:p>
            <w:pPr>
              <w:pStyle w:val="Compact"/>
              <w:jc w:val="right"/>
            </w:pPr>
            <w:r>
              <w:t xml:space="preserve">354.3%</w:t>
            </w:r>
          </w:p>
        </w:tc>
        <w:tc>
          <w:tcPr/>
          <w:p>
            <w:pPr>
              <w:pStyle w:val="Compact"/>
              <w:jc w:val="right"/>
            </w:pPr>
            <w:r>
              <w:t xml:space="preserve">112.8%</w:t>
            </w:r>
          </w:p>
        </w:tc>
        <w:tc>
          <w:tcPr/>
          <w:p>
            <w:pPr>
              <w:pStyle w:val="Compact"/>
              <w:jc w:val="right"/>
            </w:pPr>
            <w:r>
              <w:t xml:space="preserve">74.0%</w:t>
            </w:r>
          </w:p>
        </w:tc>
        <w:tc>
          <w:tcPr/>
          <w:p>
            <w:pPr>
              <w:pStyle w:val="Compact"/>
              <w:jc w:val="right"/>
            </w:pPr>
            <w:r>
              <w:t xml:space="preserve">-47.9%</w:t>
            </w:r>
          </w:p>
        </w:tc>
        <w:tc>
          <w:tcPr/>
          <w:p>
            <w:pPr>
              <w:pStyle w:val="Compact"/>
              <w:jc w:val="right"/>
            </w:pPr>
            <w:r>
              <w:t xml:space="preserve">1.50</w:t>
            </w:r>
          </w:p>
        </w:tc>
        <w:tc>
          <w:tcPr/>
          <w:p>
            <w:pPr>
              <w:pStyle w:val="Compact"/>
              <w:jc w:val="right"/>
            </w:pPr>
            <w:r>
              <w:t xml:space="preserve">2.35</w:t>
            </w:r>
          </w:p>
        </w:tc>
      </w:tr>
      <w:tr>
        <w:tc>
          <w:tcPr/>
          <w:p>
            <w:pPr>
              <w:pStyle w:val="Compact"/>
              <w:jc w:val="left"/>
            </w:pPr>
            <w:r>
              <w:rPr>
                <w:rFonts w:hint="eastAsia"/>
              </w:rPr>
              <w:t xml:space="preserve">泡泡玛特（09992.HK）</w:t>
            </w:r>
          </w:p>
        </w:tc>
        <w:tc>
          <w:tcPr/>
          <w:p>
            <w:pPr>
              <w:pStyle w:val="Compact"/>
              <w:jc w:val="right"/>
            </w:pPr>
            <w:r>
              <w:t xml:space="preserve">300.9%</w:t>
            </w:r>
          </w:p>
        </w:tc>
        <w:tc>
          <w:tcPr/>
          <w:p>
            <w:pPr>
              <w:pStyle w:val="Compact"/>
              <w:jc w:val="right"/>
            </w:pPr>
            <w:r>
              <w:t xml:space="preserve">99.9%</w:t>
            </w:r>
          </w:p>
        </w:tc>
        <w:tc>
          <w:tcPr/>
          <w:p>
            <w:pPr>
              <w:pStyle w:val="Compact"/>
              <w:jc w:val="right"/>
            </w:pPr>
            <w:r>
              <w:t xml:space="preserve">58.5%</w:t>
            </w:r>
          </w:p>
        </w:tc>
        <w:tc>
          <w:tcPr/>
          <w:p>
            <w:pPr>
              <w:pStyle w:val="Compact"/>
              <w:jc w:val="right"/>
            </w:pPr>
            <w:r>
              <w:t xml:space="preserve">-57.7%</w:t>
            </w:r>
          </w:p>
        </w:tc>
        <w:tc>
          <w:tcPr/>
          <w:p>
            <w:pPr>
              <w:pStyle w:val="Compact"/>
              <w:jc w:val="right"/>
            </w:pPr>
            <w:r>
              <w:t xml:space="preserve">1.67</w:t>
            </w:r>
          </w:p>
        </w:tc>
        <w:tc>
          <w:tcPr/>
          <w:p>
            <w:pPr>
              <w:pStyle w:val="Compact"/>
              <w:jc w:val="right"/>
            </w:pPr>
            <w:r>
              <w:t xml:space="preserve">1.73</w:t>
            </w:r>
          </w:p>
        </w:tc>
      </w:tr>
      <w:tr>
        <w:tc>
          <w:tcPr/>
          <w:p>
            <w:pPr>
              <w:pStyle w:val="Compact"/>
              <w:jc w:val="left"/>
            </w:pPr>
            <w:r>
              <w:rPr>
                <w:rFonts w:hint="eastAsia"/>
              </w:rPr>
              <w:t xml:space="preserve">澜起科技（688008.SH）</w:t>
            </w:r>
          </w:p>
        </w:tc>
        <w:tc>
          <w:tcPr/>
          <w:p>
            <w:pPr>
              <w:pStyle w:val="Compact"/>
              <w:jc w:val="right"/>
            </w:pPr>
            <w:r>
              <w:t xml:space="preserve">250.8%</w:t>
            </w:r>
          </w:p>
        </w:tc>
        <w:tc>
          <w:tcPr/>
          <w:p>
            <w:pPr>
              <w:pStyle w:val="Compact"/>
              <w:jc w:val="right"/>
            </w:pPr>
            <w:r>
              <w:t xml:space="preserve">87.0%</w:t>
            </w:r>
          </w:p>
        </w:tc>
        <w:tc>
          <w:tcPr/>
          <w:p>
            <w:pPr>
              <w:pStyle w:val="Compact"/>
              <w:jc w:val="right"/>
            </w:pPr>
            <w:r>
              <w:t xml:space="preserve">65.2%</w:t>
            </w:r>
          </w:p>
        </w:tc>
        <w:tc>
          <w:tcPr/>
          <w:p>
            <w:pPr>
              <w:pStyle w:val="Compact"/>
              <w:jc w:val="right"/>
            </w:pPr>
            <w:r>
              <w:t xml:space="preserve">-41.9%</w:t>
            </w:r>
          </w:p>
        </w:tc>
        <w:tc>
          <w:tcPr/>
          <w:p>
            <w:pPr>
              <w:pStyle w:val="Compact"/>
              <w:jc w:val="right"/>
            </w:pPr>
            <w:r>
              <w:t xml:space="preserve">1.30</w:t>
            </w:r>
          </w:p>
        </w:tc>
        <w:tc>
          <w:tcPr/>
          <w:p>
            <w:pPr>
              <w:pStyle w:val="Compact"/>
              <w:jc w:val="right"/>
            </w:pPr>
            <w:r>
              <w:t xml:space="preserve">2.08</w:t>
            </w:r>
          </w:p>
        </w:tc>
      </w:tr>
      <w:tr>
        <w:tc>
          <w:tcPr/>
          <w:p>
            <w:pPr>
              <w:pStyle w:val="Compact"/>
              <w:jc w:val="left"/>
            </w:pPr>
            <w:r>
              <w:rPr>
                <w:rFonts w:hint="eastAsia"/>
              </w:rPr>
              <w:t xml:space="preserve">百济神州（688235.SH）</w:t>
            </w:r>
          </w:p>
        </w:tc>
        <w:tc>
          <w:tcPr/>
          <w:p>
            <w:pPr>
              <w:pStyle w:val="Compact"/>
              <w:jc w:val="right"/>
            </w:pPr>
            <w:r>
              <w:t xml:space="preserve">114.4%</w:t>
            </w:r>
          </w:p>
        </w:tc>
        <w:tc>
          <w:tcPr/>
          <w:p>
            <w:pPr>
              <w:pStyle w:val="Compact"/>
              <w:jc w:val="right"/>
            </w:pPr>
            <w:r>
              <w:t xml:space="preserve">46.3%</w:t>
            </w:r>
          </w:p>
        </w:tc>
        <w:tc>
          <w:tcPr/>
          <w:p>
            <w:pPr>
              <w:pStyle w:val="Compact"/>
              <w:jc w:val="right"/>
            </w:pPr>
            <w:r>
              <w:t xml:space="preserve">49.5%</w:t>
            </w:r>
          </w:p>
        </w:tc>
        <w:tc>
          <w:tcPr/>
          <w:p>
            <w:pPr>
              <w:pStyle w:val="Compact"/>
              <w:jc w:val="right"/>
            </w:pPr>
            <w:r>
              <w:t xml:space="preserve">-36.2%</w:t>
            </w:r>
          </w:p>
        </w:tc>
        <w:tc>
          <w:tcPr/>
          <w:p>
            <w:pPr>
              <w:pStyle w:val="Compact"/>
              <w:jc w:val="right"/>
            </w:pPr>
            <w:r>
              <w:t xml:space="preserve">0.89</w:t>
            </w:r>
          </w:p>
        </w:tc>
        <w:tc>
          <w:tcPr/>
          <w:p>
            <w:pPr>
              <w:pStyle w:val="Compact"/>
              <w:jc w:val="right"/>
            </w:pPr>
            <w:r>
              <w:t xml:space="preserve">1.28</w:t>
            </w:r>
          </w:p>
        </w:tc>
      </w:tr>
      <w:tr>
        <w:tc>
          <w:tcPr/>
          <w:p>
            <w:pPr>
              <w:pStyle w:val="Compact"/>
              <w:jc w:val="left"/>
            </w:pPr>
            <w:r>
              <w:rPr>
                <w:rFonts w:hint="eastAsia"/>
              </w:rPr>
              <w:t xml:space="preserve">科伦药业（002422.SZ）</w:t>
            </w:r>
          </w:p>
        </w:tc>
        <w:tc>
          <w:tcPr/>
          <w:p>
            <w:pPr>
              <w:pStyle w:val="Compact"/>
              <w:jc w:val="right"/>
            </w:pPr>
            <w:r>
              <w:t xml:space="preserve">53.7%</w:t>
            </w:r>
          </w:p>
        </w:tc>
        <w:tc>
          <w:tcPr/>
          <w:p>
            <w:pPr>
              <w:pStyle w:val="Compact"/>
              <w:jc w:val="right"/>
            </w:pPr>
            <w:r>
              <w:t xml:space="preserve">23.9%</w:t>
            </w:r>
          </w:p>
        </w:tc>
        <w:tc>
          <w:tcPr/>
          <w:p>
            <w:pPr>
              <w:pStyle w:val="Compact"/>
              <w:jc w:val="right"/>
            </w:pPr>
            <w:r>
              <w:t xml:space="preserve">43.2%</w:t>
            </w:r>
          </w:p>
        </w:tc>
        <w:tc>
          <w:tcPr/>
          <w:p>
            <w:pPr>
              <w:pStyle w:val="Compact"/>
              <w:jc w:val="right"/>
            </w:pPr>
            <w:r>
              <w:t xml:space="preserve">-28.9%</w:t>
            </w:r>
          </w:p>
        </w:tc>
        <w:tc>
          <w:tcPr/>
          <w:p>
            <w:pPr>
              <w:pStyle w:val="Compact"/>
              <w:jc w:val="right"/>
            </w:pPr>
            <w:r>
              <w:t xml:space="preserve">0.51</w:t>
            </w:r>
          </w:p>
        </w:tc>
        <w:tc>
          <w:tcPr/>
          <w:p>
            <w:pPr>
              <w:pStyle w:val="Compact"/>
              <w:jc w:val="right"/>
            </w:pPr>
            <w:r>
              <w:t xml:space="preserve">0.83</w:t>
            </w:r>
          </w:p>
        </w:tc>
      </w:tr>
      <w:tr>
        <w:tc>
          <w:tcPr/>
          <w:p>
            <w:pPr>
              <w:pStyle w:val="Compact"/>
              <w:jc w:val="left"/>
            </w:pPr>
            <w:r>
              <w:rPr>
                <w:rFonts w:hint="eastAsia"/>
              </w:rPr>
              <w:t xml:space="preserve">美的集团（000333.SZ）</w:t>
            </w:r>
          </w:p>
        </w:tc>
        <w:tc>
          <w:tcPr/>
          <w:p>
            <w:pPr>
              <w:pStyle w:val="Compact"/>
              <w:jc w:val="right"/>
            </w:pPr>
            <w:r>
              <w:t xml:space="preserve">46.7%</w:t>
            </w:r>
          </w:p>
        </w:tc>
        <w:tc>
          <w:tcPr/>
          <w:p>
            <w:pPr>
              <w:pStyle w:val="Compact"/>
              <w:jc w:val="right"/>
            </w:pPr>
            <w:r>
              <w:t xml:space="preserve">21.1%</w:t>
            </w:r>
          </w:p>
        </w:tc>
        <w:tc>
          <w:tcPr/>
          <w:p>
            <w:pPr>
              <w:pStyle w:val="Compact"/>
              <w:jc w:val="right"/>
            </w:pPr>
            <w:r>
              <w:t xml:space="preserve">23.6%</w:t>
            </w:r>
          </w:p>
        </w:tc>
        <w:tc>
          <w:tcPr/>
          <w:p>
            <w:pPr>
              <w:pStyle w:val="Compact"/>
              <w:jc w:val="right"/>
            </w:pPr>
            <w:r>
              <w:t xml:space="preserve">-16.2%</w:t>
            </w:r>
          </w:p>
        </w:tc>
        <w:tc>
          <w:tcPr/>
          <w:p>
            <w:pPr>
              <w:pStyle w:val="Compact"/>
              <w:jc w:val="right"/>
            </w:pPr>
            <w:r>
              <w:t xml:space="preserve">0.81</w:t>
            </w:r>
          </w:p>
        </w:tc>
        <w:tc>
          <w:tcPr/>
          <w:p>
            <w:pPr>
              <w:pStyle w:val="Compact"/>
              <w:jc w:val="right"/>
            </w:pPr>
            <w:r>
              <w:t xml:space="preserve">1.30</w:t>
            </w:r>
          </w:p>
        </w:tc>
      </w:tr>
      <w:tr>
        <w:tc>
          <w:tcPr/>
          <w:p>
            <w:pPr>
              <w:pStyle w:val="Compact"/>
              <w:jc w:val="left"/>
            </w:pPr>
            <w:r>
              <w:rPr>
                <w:rFonts w:hint="eastAsia"/>
              </w:rPr>
              <w:t xml:space="preserve">腾讯控股（00700.HK）</w:t>
            </w:r>
          </w:p>
        </w:tc>
        <w:tc>
          <w:tcPr/>
          <w:p>
            <w:pPr>
              <w:pStyle w:val="Compact"/>
              <w:jc w:val="right"/>
            </w:pPr>
            <w:r>
              <w:t xml:space="preserve">32.9%</w:t>
            </w:r>
          </w:p>
        </w:tc>
        <w:tc>
          <w:tcPr/>
          <w:p>
            <w:pPr>
              <w:pStyle w:val="Compact"/>
              <w:jc w:val="right"/>
            </w:pPr>
            <w:r>
              <w:t xml:space="preserve">15.2%</w:t>
            </w:r>
          </w:p>
        </w:tc>
        <w:tc>
          <w:tcPr/>
          <w:p>
            <w:pPr>
              <w:pStyle w:val="Compact"/>
              <w:jc w:val="right"/>
            </w:pPr>
            <w:r>
              <w:t xml:space="preserve">32.9%</w:t>
            </w:r>
          </w:p>
        </w:tc>
        <w:tc>
          <w:tcPr/>
          <w:p>
            <w:pPr>
              <w:pStyle w:val="Compact"/>
              <w:jc w:val="right"/>
            </w:pPr>
            <w:r>
              <w:t xml:space="preserve">-38.5%</w:t>
            </w:r>
          </w:p>
        </w:tc>
        <w:tc>
          <w:tcPr/>
          <w:p>
            <w:pPr>
              <w:pStyle w:val="Compact"/>
              <w:jc w:val="right"/>
            </w:pPr>
            <w:r>
              <w:t xml:space="preserve">0.40</w:t>
            </w:r>
          </w:p>
        </w:tc>
        <w:tc>
          <w:tcPr/>
          <w:p>
            <w:pPr>
              <w:pStyle w:val="Compact"/>
              <w:jc w:val="right"/>
            </w:pPr>
            <w:r>
              <w:t xml:space="preserve">0.40</w:t>
            </w:r>
          </w:p>
        </w:tc>
      </w:tr>
      <w:tr>
        <w:tc>
          <w:tcPr/>
          <w:p>
            <w:pPr>
              <w:pStyle w:val="Compact"/>
              <w:jc w:val="left"/>
            </w:pPr>
            <w:r>
              <w:rPr>
                <w:rFonts w:hint="eastAsia"/>
              </w:rPr>
              <w:t xml:space="preserve">恒瑞医药（600276.SH）</w:t>
            </w:r>
          </w:p>
        </w:tc>
        <w:tc>
          <w:tcPr/>
          <w:p>
            <w:pPr>
              <w:pStyle w:val="Compact"/>
              <w:jc w:val="right"/>
            </w:pPr>
            <w:r>
              <w:t xml:space="preserve">31.1%</w:t>
            </w:r>
          </w:p>
        </w:tc>
        <w:tc>
          <w:tcPr/>
          <w:p>
            <w:pPr>
              <w:pStyle w:val="Compact"/>
              <w:jc w:val="right"/>
            </w:pPr>
            <w:r>
              <w:t xml:space="preserve">14.5%</w:t>
            </w:r>
          </w:p>
        </w:tc>
        <w:tc>
          <w:tcPr/>
          <w:p>
            <w:pPr>
              <w:pStyle w:val="Compact"/>
              <w:jc w:val="right"/>
            </w:pPr>
            <w:r>
              <w:t xml:space="preserve">33.9%</w:t>
            </w:r>
          </w:p>
        </w:tc>
        <w:tc>
          <w:tcPr/>
          <w:p>
            <w:pPr>
              <w:pStyle w:val="Compact"/>
              <w:jc w:val="right"/>
            </w:pPr>
            <w:r>
              <w:t xml:space="preserve">-36.3%</w:t>
            </w:r>
          </w:p>
        </w:tc>
        <w:tc>
          <w:tcPr/>
          <w:p>
            <w:pPr>
              <w:pStyle w:val="Compact"/>
              <w:jc w:val="right"/>
            </w:pPr>
            <w:r>
              <w:t xml:space="preserve">0.37</w:t>
            </w:r>
          </w:p>
        </w:tc>
        <w:tc>
          <w:tcPr/>
          <w:p>
            <w:pPr>
              <w:pStyle w:val="Compact"/>
              <w:jc w:val="right"/>
            </w:pPr>
            <w:r>
              <w:t xml:space="preserve">0.40</w:t>
            </w:r>
          </w:p>
        </w:tc>
      </w:tr>
      <w:tr>
        <w:tc>
          <w:tcPr/>
          <w:p>
            <w:pPr>
              <w:pStyle w:val="Compact"/>
              <w:jc w:val="left"/>
            </w:pPr>
            <w:r>
              <w:rPr>
                <w:rFonts w:hint="eastAsia"/>
              </w:rPr>
              <w:t xml:space="preserve">达仁堂（600329.SH）</w:t>
            </w:r>
          </w:p>
        </w:tc>
        <w:tc>
          <w:tcPr/>
          <w:p>
            <w:pPr>
              <w:pStyle w:val="Compact"/>
              <w:jc w:val="right"/>
            </w:pPr>
            <w:r>
              <w:t xml:space="preserve">29.8%</w:t>
            </w:r>
          </w:p>
        </w:tc>
        <w:tc>
          <w:tcPr/>
          <w:p>
            <w:pPr>
              <w:pStyle w:val="Compact"/>
              <w:jc w:val="right"/>
            </w:pPr>
            <w:r>
              <w:t xml:space="preserve">13.9%</w:t>
            </w:r>
          </w:p>
        </w:tc>
        <w:tc>
          <w:tcPr/>
          <w:p>
            <w:pPr>
              <w:pStyle w:val="Compact"/>
              <w:jc w:val="right"/>
            </w:pPr>
            <w:r>
              <w:t xml:space="preserve">32.5%</w:t>
            </w:r>
          </w:p>
        </w:tc>
        <w:tc>
          <w:tcPr/>
          <w:p>
            <w:pPr>
              <w:pStyle w:val="Compact"/>
              <w:jc w:val="right"/>
            </w:pPr>
            <w:r>
              <w:t xml:space="preserve">-25.2%</w:t>
            </w:r>
          </w:p>
        </w:tc>
        <w:tc>
          <w:tcPr/>
          <w:p>
            <w:pPr>
              <w:pStyle w:val="Compact"/>
              <w:jc w:val="right"/>
            </w:pPr>
            <w:r>
              <w:t xml:space="preserve">0.37</w:t>
            </w:r>
          </w:p>
        </w:tc>
        <w:tc>
          <w:tcPr/>
          <w:p>
            <w:pPr>
              <w:pStyle w:val="Compact"/>
              <w:jc w:val="right"/>
            </w:pPr>
            <w:r>
              <w:t xml:space="preserve">0.55</w:t>
            </w:r>
          </w:p>
        </w:tc>
      </w:tr>
      <w:tr>
        <w:tc>
          <w:tcPr/>
          <w:p>
            <w:pPr>
              <w:pStyle w:val="Compact"/>
              <w:jc w:val="left"/>
            </w:pPr>
            <w:r>
              <w:rPr>
                <w:rFonts w:hint="eastAsia"/>
              </w:rPr>
              <w:t xml:space="preserve">奇正藏药（002287.SZ）</w:t>
            </w:r>
          </w:p>
        </w:tc>
        <w:tc>
          <w:tcPr/>
          <w:p>
            <w:pPr>
              <w:pStyle w:val="Compact"/>
              <w:jc w:val="right"/>
            </w:pPr>
            <w:r>
              <w:t xml:space="preserve">15.0%</w:t>
            </w:r>
          </w:p>
        </w:tc>
        <w:tc>
          <w:tcPr/>
          <w:p>
            <w:pPr>
              <w:pStyle w:val="Compact"/>
              <w:jc w:val="right"/>
            </w:pPr>
            <w:r>
              <w:t xml:space="preserve">7.2%</w:t>
            </w:r>
          </w:p>
        </w:tc>
        <w:tc>
          <w:tcPr/>
          <w:p>
            <w:pPr>
              <w:pStyle w:val="Compact"/>
              <w:jc w:val="right"/>
            </w:pPr>
            <w:r>
              <w:t xml:space="preserve">33.3%</w:t>
            </w:r>
          </w:p>
        </w:tc>
        <w:tc>
          <w:tcPr/>
          <w:p>
            <w:pPr>
              <w:pStyle w:val="Compact"/>
              <w:jc w:val="right"/>
            </w:pPr>
            <w:r>
              <w:t xml:space="preserve">-46.5%</w:t>
            </w:r>
          </w:p>
        </w:tc>
        <w:tc>
          <w:tcPr/>
          <w:p>
            <w:pPr>
              <w:pStyle w:val="Compact"/>
              <w:jc w:val="right"/>
            </w:pPr>
            <w:r>
              <w:t xml:space="preserve">0.16</w:t>
            </w:r>
          </w:p>
        </w:tc>
        <w:tc>
          <w:tcPr/>
          <w:p>
            <w:pPr>
              <w:pStyle w:val="Compact"/>
              <w:jc w:val="right"/>
            </w:pPr>
            <w:r>
              <w:t xml:space="preserve">0.16</w:t>
            </w:r>
          </w:p>
        </w:tc>
      </w:tr>
      <w:tr>
        <w:tc>
          <w:tcPr/>
          <w:p>
            <w:pPr>
              <w:pStyle w:val="Compact"/>
              <w:jc w:val="left"/>
            </w:pPr>
            <w:r>
              <w:rPr>
                <w:rFonts w:hint="eastAsia"/>
              </w:rPr>
              <w:t xml:space="preserve">红利ETF（515100.SH）</w:t>
            </w:r>
          </w:p>
        </w:tc>
        <w:tc>
          <w:tcPr/>
          <w:p>
            <w:pPr>
              <w:pStyle w:val="Compact"/>
              <w:jc w:val="right"/>
            </w:pPr>
            <w:r>
              <w:t xml:space="preserve">14.0%</w:t>
            </w:r>
          </w:p>
        </w:tc>
        <w:tc>
          <w:tcPr/>
          <w:p>
            <w:pPr>
              <w:pStyle w:val="Compact"/>
              <w:jc w:val="right"/>
            </w:pPr>
            <w:r>
              <w:t xml:space="preserve">6.7%</w:t>
            </w:r>
          </w:p>
        </w:tc>
        <w:tc>
          <w:tcPr/>
          <w:p>
            <w:pPr>
              <w:pStyle w:val="Compact"/>
              <w:jc w:val="right"/>
            </w:pPr>
            <w:r>
              <w:t xml:space="preserve">15.5%</w:t>
            </w:r>
          </w:p>
        </w:tc>
        <w:tc>
          <w:tcPr/>
          <w:p>
            <w:pPr>
              <w:pStyle w:val="Compact"/>
              <w:jc w:val="right"/>
            </w:pPr>
            <w:r>
              <w:t xml:space="preserve">-13.6%</w:t>
            </w:r>
          </w:p>
        </w:tc>
        <w:tc>
          <w:tcPr/>
          <w:p>
            <w:pPr>
              <w:pStyle w:val="Compact"/>
              <w:jc w:val="right"/>
            </w:pPr>
            <w:r>
              <w:t xml:space="preserve">0.31</w:t>
            </w:r>
          </w:p>
        </w:tc>
        <w:tc>
          <w:tcPr/>
          <w:p>
            <w:pPr>
              <w:pStyle w:val="Compact"/>
              <w:jc w:val="right"/>
            </w:pPr>
            <w:r>
              <w:t xml:space="preserve">0.49</w:t>
            </w:r>
          </w:p>
        </w:tc>
      </w:tr>
      <w:tr>
        <w:tc>
          <w:tcPr/>
          <w:p>
            <w:pPr>
              <w:pStyle w:val="Compact"/>
              <w:jc w:val="left"/>
            </w:pPr>
            <w:r>
              <w:rPr>
                <w:rFonts w:hint="eastAsia"/>
              </w:rPr>
              <w:t xml:space="preserve">伊利股份（600887.SH）</w:t>
            </w:r>
          </w:p>
        </w:tc>
        <w:tc>
          <w:tcPr/>
          <w:p>
            <w:pPr>
              <w:pStyle w:val="Compact"/>
              <w:jc w:val="right"/>
            </w:pPr>
            <w:r>
              <w:t xml:space="preserve">12.5%</w:t>
            </w:r>
          </w:p>
        </w:tc>
        <w:tc>
          <w:tcPr/>
          <w:p>
            <w:pPr>
              <w:pStyle w:val="Compact"/>
              <w:jc w:val="right"/>
            </w:pPr>
            <w:r>
              <w:t xml:space="preserve">6.0%</w:t>
            </w:r>
          </w:p>
        </w:tc>
        <w:tc>
          <w:tcPr/>
          <w:p>
            <w:pPr>
              <w:pStyle w:val="Compact"/>
              <w:jc w:val="right"/>
            </w:pPr>
            <w:r>
              <w:t xml:space="preserve">23.8%</w:t>
            </w:r>
          </w:p>
        </w:tc>
        <w:tc>
          <w:tcPr/>
          <w:p>
            <w:pPr>
              <w:pStyle w:val="Compact"/>
              <w:jc w:val="right"/>
            </w:pPr>
            <w:r>
              <w:t xml:space="preserve">-19.1%</w:t>
            </w:r>
          </w:p>
        </w:tc>
        <w:tc>
          <w:tcPr/>
          <w:p>
            <w:pPr>
              <w:pStyle w:val="Compact"/>
              <w:jc w:val="right"/>
            </w:pPr>
            <w:r>
              <w:t xml:space="preserve">0.17</w:t>
            </w:r>
          </w:p>
        </w:tc>
        <w:tc>
          <w:tcPr/>
          <w:p>
            <w:pPr>
              <w:pStyle w:val="Compact"/>
              <w:jc w:val="right"/>
            </w:pPr>
            <w:r>
              <w:t xml:space="preserve">0.32</w:t>
            </w:r>
          </w:p>
        </w:tc>
      </w:tr>
      <w:tr>
        <w:tc>
          <w:tcPr/>
          <w:p>
            <w:pPr>
              <w:pStyle w:val="Compact"/>
              <w:jc w:val="left"/>
            </w:pPr>
            <w:r>
              <w:rPr>
                <w:rFonts w:hint="eastAsia"/>
              </w:rPr>
              <w:t xml:space="preserve">云南白药（000538.SZ）</w:t>
            </w:r>
          </w:p>
        </w:tc>
        <w:tc>
          <w:tcPr/>
          <w:p>
            <w:pPr>
              <w:pStyle w:val="Compact"/>
              <w:jc w:val="right"/>
            </w:pPr>
            <w:r>
              <w:t xml:space="preserve">4.8%</w:t>
            </w:r>
          </w:p>
        </w:tc>
        <w:tc>
          <w:tcPr/>
          <w:p>
            <w:pPr>
              <w:pStyle w:val="Compact"/>
              <w:jc w:val="right"/>
            </w:pPr>
            <w:r>
              <w:t xml:space="preserve">2.4%</w:t>
            </w:r>
          </w:p>
        </w:tc>
        <w:tc>
          <w:tcPr/>
          <w:p>
            <w:pPr>
              <w:pStyle w:val="Compact"/>
              <w:jc w:val="right"/>
            </w:pPr>
            <w:r>
              <w:t xml:space="preserve">18.1%</w:t>
            </w:r>
          </w:p>
        </w:tc>
        <w:tc>
          <w:tcPr/>
          <w:p>
            <w:pPr>
              <w:pStyle w:val="Compact"/>
              <w:jc w:val="right"/>
            </w:pPr>
            <w:r>
              <w:t xml:space="preserve">-18.2%</w:t>
            </w:r>
          </w:p>
        </w:tc>
        <w:tc>
          <w:tcPr/>
          <w:p>
            <w:pPr>
              <w:pStyle w:val="Compact"/>
              <w:jc w:val="right"/>
            </w:pPr>
            <w:r>
              <w:t xml:space="preserve">0.02</w:t>
            </w:r>
          </w:p>
        </w:tc>
        <w:tc>
          <w:tcPr/>
          <w:p>
            <w:pPr>
              <w:pStyle w:val="Compact"/>
              <w:jc w:val="right"/>
            </w:pPr>
            <w:r>
              <w:t xml:space="preserve">0.13</w:t>
            </w:r>
          </w:p>
        </w:tc>
      </w:tr>
      <w:tr>
        <w:tc>
          <w:tcPr/>
          <w:p>
            <w:pPr>
              <w:pStyle w:val="Compact"/>
              <w:jc w:val="left"/>
            </w:pPr>
            <w:r>
              <w:rPr>
                <w:rFonts w:hint="eastAsia"/>
              </w:rPr>
              <w:t xml:space="preserve">贵州茅台（600519.SH）</w:t>
            </w:r>
          </w:p>
        </w:tc>
        <w:tc>
          <w:tcPr/>
          <w:p>
            <w:pPr>
              <w:pStyle w:val="Compact"/>
              <w:jc w:val="right"/>
            </w:pPr>
            <w:r>
              <w:t xml:space="preserve">-7.6%</w:t>
            </w:r>
          </w:p>
        </w:tc>
        <w:tc>
          <w:tcPr/>
          <w:p>
            <w:pPr>
              <w:pStyle w:val="Compact"/>
              <w:jc w:val="right"/>
            </w:pPr>
            <w:r>
              <w:t xml:space="preserve">-3.9%</w:t>
            </w:r>
          </w:p>
        </w:tc>
        <w:tc>
          <w:tcPr/>
          <w:p>
            <w:pPr>
              <w:pStyle w:val="Compact"/>
              <w:jc w:val="right"/>
            </w:pPr>
            <w:r>
              <w:t xml:space="preserve">24.7%</w:t>
            </w:r>
          </w:p>
        </w:tc>
        <w:tc>
          <w:tcPr/>
          <w:p>
            <w:pPr>
              <w:pStyle w:val="Compact"/>
              <w:jc w:val="right"/>
            </w:pPr>
            <w:r>
              <w:t xml:space="preserve">-27.9%</w:t>
            </w:r>
          </w:p>
        </w:tc>
        <w:tc>
          <w:tcPr/>
          <w:p>
            <w:pPr>
              <w:pStyle w:val="Compact"/>
              <w:jc w:val="right"/>
            </w:pPr>
            <w:r>
              <w:t xml:space="preserve">-0.24</w:t>
            </w:r>
          </w:p>
        </w:tc>
        <w:tc>
          <w:tcPr/>
          <w:p>
            <w:pPr>
              <w:pStyle w:val="Compact"/>
              <w:jc w:val="right"/>
            </w:pPr>
            <w:r>
              <w:t xml:space="preserve">-0.14</w:t>
            </w:r>
          </w:p>
        </w:tc>
      </w:tr>
      <w:tr>
        <w:tc>
          <w:tcPr/>
          <w:p>
            <w:pPr>
              <w:pStyle w:val="Compact"/>
              <w:jc w:val="left"/>
            </w:pPr>
            <w:r>
              <w:rPr>
                <w:rFonts w:hint="eastAsia"/>
              </w:rPr>
              <w:t xml:space="preserve">同仁堂（600085.SH）</w:t>
            </w:r>
          </w:p>
        </w:tc>
        <w:tc>
          <w:tcPr/>
          <w:p>
            <w:pPr>
              <w:pStyle w:val="Compact"/>
              <w:jc w:val="right"/>
            </w:pPr>
            <w:r>
              <w:t xml:space="preserve">-30.9%</w:t>
            </w:r>
          </w:p>
        </w:tc>
        <w:tc>
          <w:tcPr/>
          <w:p>
            <w:pPr>
              <w:pStyle w:val="Compact"/>
              <w:jc w:val="right"/>
            </w:pPr>
            <w:r>
              <w:t xml:space="preserve">-16.8%</w:t>
            </w:r>
          </w:p>
        </w:tc>
        <w:tc>
          <w:tcPr/>
          <w:p>
            <w:pPr>
              <w:pStyle w:val="Compact"/>
              <w:jc w:val="right"/>
            </w:pPr>
            <w:r>
              <w:t xml:space="preserve">25.0%</w:t>
            </w:r>
          </w:p>
        </w:tc>
        <w:tc>
          <w:tcPr/>
          <w:p>
            <w:pPr>
              <w:pStyle w:val="Compact"/>
              <w:jc w:val="right"/>
            </w:pPr>
            <w:r>
              <w:t xml:space="preserve">-47.1%</w:t>
            </w:r>
          </w:p>
        </w:tc>
        <w:tc>
          <w:tcPr/>
          <w:p>
            <w:pPr>
              <w:pStyle w:val="Compact"/>
              <w:jc w:val="right"/>
            </w:pPr>
            <w:r>
              <w:t xml:space="preserve">-0.75</w:t>
            </w:r>
          </w:p>
        </w:tc>
        <w:tc>
          <w:tcPr/>
          <w:p>
            <w:pPr>
              <w:pStyle w:val="Compact"/>
              <w:jc w:val="right"/>
            </w:pPr>
            <w:r>
              <w:t xml:space="preserve">-0.36</w:t>
            </w:r>
          </w:p>
        </w:tc>
      </w:tr>
      <w:tr>
        <w:tc>
          <w:tcPr/>
          <w:p>
            <w:pPr>
              <w:pStyle w:val="Compact"/>
              <w:jc w:val="left"/>
            </w:pPr>
            <w:r>
              <w:rPr>
                <w:rFonts w:hint="eastAsia"/>
              </w:rPr>
              <w:t xml:space="preserve">片仔癀（600436.SH）</w:t>
            </w:r>
          </w:p>
        </w:tc>
        <w:tc>
          <w:tcPr/>
          <w:p>
            <w:pPr>
              <w:pStyle w:val="Compact"/>
              <w:jc w:val="right"/>
            </w:pPr>
            <w:r>
              <w:t xml:space="preserve">-35.9%</w:t>
            </w:r>
          </w:p>
        </w:tc>
        <w:tc>
          <w:tcPr/>
          <w:p>
            <w:pPr>
              <w:pStyle w:val="Compact"/>
              <w:jc w:val="right"/>
            </w:pPr>
            <w:r>
              <w:t xml:space="preserve">-19.9%</w:t>
            </w:r>
          </w:p>
        </w:tc>
        <w:tc>
          <w:tcPr/>
          <w:p>
            <w:pPr>
              <w:pStyle w:val="Compact"/>
              <w:jc w:val="right"/>
            </w:pPr>
            <w:r>
              <w:t xml:space="preserve">27.3%</w:t>
            </w:r>
          </w:p>
        </w:tc>
        <w:tc>
          <w:tcPr/>
          <w:p>
            <w:pPr>
              <w:pStyle w:val="Compact"/>
              <w:jc w:val="right"/>
            </w:pPr>
            <w:r>
              <w:t xml:space="preserve">-59.6%</w:t>
            </w:r>
          </w:p>
        </w:tc>
        <w:tc>
          <w:tcPr/>
          <w:p>
            <w:pPr>
              <w:pStyle w:val="Compact"/>
              <w:jc w:val="right"/>
            </w:pPr>
            <w:r>
              <w:t xml:space="preserve">-0.80</w:t>
            </w:r>
          </w:p>
        </w:tc>
        <w:tc>
          <w:tcPr/>
          <w:p>
            <w:pPr>
              <w:pStyle w:val="Compact"/>
              <w:jc w:val="right"/>
            </w:pPr>
            <w:r>
              <w:t xml:space="preserve">-0.33</w:t>
            </w:r>
          </w:p>
        </w:tc>
      </w:tr>
    </w:tbl>
    <w:bookmarkEnd w:id="67"/>
    <w:bookmarkStart w:id="68" w:name="附录d计算代码notebook路径"/>
    <w:p>
      <w:pPr>
        <w:pStyle w:val="Heading2"/>
      </w:pPr>
      <w:r>
        <w:rPr>
          <w:rFonts w:hint="eastAsia"/>
        </w:rPr>
        <w:t xml:space="preserve">附录D：计算代码（Notebook路径）</w:t>
      </w:r>
    </w:p>
    <w:p>
      <w:pPr>
        <w:pStyle w:val="FirstParagraph"/>
      </w:pPr>
      <w:r>
        <w:rPr>
          <w:rFonts w:hint="eastAsia"/>
        </w:rPr>
        <w:t xml:space="preserve">完整计算代码见</w:t>
      </w:r>
      <w:r>
        <w:t xml:space="preserve"> </w:t>
      </w:r>
      <w:r>
        <w:rPr>
          <w:rStyle w:val="VerbatimChar"/>
        </w:rPr>
        <w:t xml:space="preserve">analysis.ipynb</w:t>
      </w:r>
      <w:r>
        <w:rPr>
          <w:rFonts w:hint="eastAsia"/>
        </w:rPr>
        <w:t xml:space="preserve">，包含以下七个步骤：</w:t>
      </w:r>
    </w:p>
    <w:p>
      <w:pPr>
        <w:pStyle w:val="Compact"/>
        <w:numPr>
          <w:ilvl w:val="0"/>
          <w:numId w:val="1021"/>
        </w:numPr>
      </w:pPr>
      <w:r>
        <w:rPr>
          <w:rFonts w:hint="eastAsia"/>
          <w:b/>
          <w:bCs/>
        </w:rPr>
        <w:t xml:space="preserve">第一步</w:t>
      </w:r>
      <w:r>
        <w:rPr>
          <w:rFonts w:hint="eastAsia"/>
        </w:rPr>
        <w:t xml:space="preserve">：获取前复权日线数据（17只A股本地CSV</w:t>
      </w:r>
      <w:r>
        <w:t xml:space="preserve"> + </w:t>
      </w:r>
      <w:r>
        <w:rPr>
          <w:rFonts w:hint="eastAsia"/>
        </w:rPr>
        <w:t xml:space="preserve">2只港股在线获取</w:t>
      </w:r>
      <w:r>
        <w:t xml:space="preserve"> + </w:t>
      </w:r>
      <w:r>
        <w:rPr>
          <w:rFonts w:hint="eastAsia"/>
        </w:rPr>
        <w:t xml:space="preserve">1只ETF手动前复权），合并导出</w:t>
      </w:r>
      <w:r>
        <w:t xml:space="preserve"> </w:t>
      </w:r>
      <w:r>
        <w:rPr>
          <w:rStyle w:val="VerbatimChar"/>
        </w:rPr>
        <w:t xml:space="preserve">price_qfq_20240719_20260721.csv</w:t>
      </w:r>
      <w:r>
        <w:t xml:space="preserve">。</w:t>
      </w:r>
    </w:p>
    <w:p>
      <w:pPr>
        <w:pStyle w:val="Compact"/>
        <w:numPr>
          <w:ilvl w:val="0"/>
          <w:numId w:val="1021"/>
        </w:numPr>
      </w:pPr>
      <w:r>
        <w:rPr>
          <w:rFonts w:hint="eastAsia"/>
          <w:b/>
          <w:bCs/>
        </w:rPr>
        <w:t xml:space="preserve">第二步</w:t>
      </w:r>
      <w:r>
        <w:rPr>
          <w:rFonts w:hint="eastAsia"/>
        </w:rPr>
        <w:t xml:space="preserve">：在线获取PE（百度估值接口）和ROE（财务分析指标接口），ETF设为NaN。</w:t>
      </w:r>
    </w:p>
    <w:p>
      <w:pPr>
        <w:pStyle w:val="Compact"/>
        <w:numPr>
          <w:ilvl w:val="0"/>
          <w:numId w:val="1021"/>
        </w:numPr>
      </w:pPr>
      <w:r>
        <w:rPr>
          <w:rFonts w:hint="eastAsia"/>
          <w:b/>
          <w:bCs/>
        </w:rPr>
        <w:t xml:space="preserve">第三步</w:t>
      </w:r>
      <w:r>
        <w:rPr>
          <w:rFonts w:hint="eastAsia"/>
        </w:rPr>
        <w:t xml:space="preserve">：多因子策略——60日动量、120日均线过滤、Z-score标准化、综合评分（0.4动量+0.3质量+0.3价值）、月度选股Top</w:t>
      </w:r>
      <w:r>
        <w:t xml:space="preserve"> </w:t>
      </w:r>
      <w:r>
        <w:rPr>
          <w:rFonts w:hint="eastAsia"/>
        </w:rPr>
        <w:t xml:space="preserve">5，导出</w:t>
      </w:r>
      <w:r>
        <w:t xml:space="preserve"> </w:t>
      </w:r>
      <w:r>
        <w:rPr>
          <w:rStyle w:val="VerbatimChar"/>
        </w:rPr>
        <w:t xml:space="preserve">monthly_selection.csv</w:t>
      </w:r>
      <w:r>
        <w:t xml:space="preserve">。</w:t>
      </w:r>
    </w:p>
    <w:p>
      <w:pPr>
        <w:pStyle w:val="Compact"/>
        <w:numPr>
          <w:ilvl w:val="0"/>
          <w:numId w:val="1021"/>
        </w:numPr>
      </w:pPr>
      <w:r>
        <w:rPr>
          <w:rFonts w:hint="eastAsia"/>
          <w:b/>
          <w:bCs/>
        </w:rPr>
        <w:t xml:space="preserve">第四步</w:t>
      </w:r>
      <w:r>
        <w:rPr>
          <w:rFonts w:hint="eastAsia"/>
        </w:rPr>
        <w:t xml:space="preserve">：回测与净值曲线——组合净值（含15%回撤控制）、沪深300基准、三面板组合图（净值+持仓状态+回撤）。</w:t>
      </w:r>
    </w:p>
    <w:p>
      <w:pPr>
        <w:pStyle w:val="Compact"/>
        <w:numPr>
          <w:ilvl w:val="0"/>
          <w:numId w:val="1021"/>
        </w:numPr>
      </w:pPr>
      <w:r>
        <w:rPr>
          <w:rFonts w:hint="eastAsia"/>
          <w:b/>
          <w:bCs/>
        </w:rPr>
        <w:t xml:space="preserve">第五步</w:t>
      </w:r>
      <w:r>
        <w:rPr>
          <w:rFonts w:hint="eastAsia"/>
        </w:rPr>
        <w:t xml:space="preserve">：月度收益热力图（半年×月，含2024</w:t>
      </w:r>
      <w:r>
        <w:t xml:space="preserve"> </w:t>
      </w:r>
      <w:r>
        <w:rPr>
          <w:rFonts w:hint="eastAsia"/>
        </w:rPr>
        <w:t xml:space="preserve">H2预热期）。</w:t>
      </w:r>
    </w:p>
    <w:p>
      <w:pPr>
        <w:pStyle w:val="Compact"/>
        <w:numPr>
          <w:ilvl w:val="0"/>
          <w:numId w:val="1021"/>
        </w:numPr>
      </w:pPr>
      <w:r>
        <w:rPr>
          <w:rFonts w:hint="eastAsia"/>
          <w:b/>
          <w:bCs/>
        </w:rPr>
        <w:t xml:space="preserve">第六步</w:t>
      </w:r>
      <w:r>
        <w:rPr>
          <w:rFonts w:hint="eastAsia"/>
        </w:rPr>
        <w:t xml:space="preserve">：聚焦10只个股风险-收益散点图。</w:t>
      </w:r>
    </w:p>
    <w:p>
      <w:pPr>
        <w:pStyle w:val="Compact"/>
        <w:numPr>
          <w:ilvl w:val="0"/>
          <w:numId w:val="1021"/>
        </w:numPr>
      </w:pPr>
      <w:r>
        <w:rPr>
          <w:rFonts w:hint="eastAsia"/>
          <w:b/>
          <w:bCs/>
        </w:rPr>
        <w:t xml:space="preserve">第七步</w:t>
      </w:r>
      <w:r>
        <w:rPr>
          <w:rFonts w:hint="eastAsia"/>
        </w:rPr>
        <w:t xml:space="preserve">：贡献度分析与攻防风格分析。</w:t>
      </w:r>
    </w:p>
    <w:bookmarkEnd w:id="68"/>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5" Target="media/rId35.png" /><Relationship Type="http://schemas.openxmlformats.org/officeDocument/2006/relationships/image" Id="rId45" Target="media/rId45.png" /><Relationship Type="http://schemas.openxmlformats.org/officeDocument/2006/relationships/image" Id="rId56" Target="media/rId56.png" /><Relationship Type="http://schemas.openxmlformats.org/officeDocument/2006/relationships/image" Id="rId41" Target="media/rId41.png"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delta0小组报告</dc:title>
  <dc:creator/>
  <cp:keywords/>
  <dcterms:created xsi:type="dcterms:W3CDTF">2026-07-21T21:37:45Z</dcterms:created>
  <dcterms:modified xsi:type="dcterms:W3CDTF">2026-07-21T21:37:45Z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ngines">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