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CCBD1AA">
      <w:pPr>
        <w:pStyle w:val="15"/>
      </w:pPr>
      <w:r>
        <w:rPr>
          <w:rFonts w:hint="eastAsia"/>
        </w:rPr>
        <w:t>delta0小组报告</w:t>
      </w:r>
    </w:p>
    <w:p w14:paraId="05DF3D60">
      <w:pPr>
        <w:pStyle w:val="23"/>
        <w:jc w:val="center"/>
      </w:pPr>
      <w:r>
        <w:rPr>
          <w:rFonts w:hint="eastAsia"/>
        </w:rPr>
        <w:t>基于</w:t>
      </w:r>
      <w:r>
        <w:t xml:space="preserve"> 20 </w:t>
      </w:r>
      <w:r>
        <w:rPr>
          <w:rFonts w:hint="eastAsia"/>
        </w:rPr>
        <w:t>只股票数据</w:t>
      </w:r>
      <w:r>
        <w:t xml:space="preserve"> · </w:t>
      </w:r>
      <w:r>
        <w:rPr>
          <w:rFonts w:hint="eastAsia"/>
        </w:rPr>
        <w:t>聚焦</w:t>
      </w:r>
      <w:r>
        <w:t xml:space="preserve"> 10 </w:t>
      </w:r>
      <w:r>
        <w:rPr>
          <w:rFonts w:hint="eastAsia"/>
        </w:rPr>
        <w:t>只核心分析</w:t>
      </w:r>
    </w:p>
    <w:p w14:paraId="6F44E7EB">
      <w:pPr>
        <w:pStyle w:val="23"/>
      </w:pPr>
    </w:p>
    <w:p w14:paraId="3C489E4C">
      <w:pPr>
        <w:pStyle w:val="23"/>
      </w:pPr>
    </w:p>
    <w:p w14:paraId="4D25C4A2">
      <w:pPr>
        <w:pStyle w:val="23"/>
      </w:pPr>
    </w:p>
    <w:p w14:paraId="5EDA7508">
      <w:pPr>
        <w:pStyle w:val="23"/>
        <w:jc w:val="center"/>
      </w:pPr>
      <w:r>
        <w:rPr>
          <w:rFonts w:hint="eastAsia"/>
        </w:rPr>
        <w:t>报告日期：2026年7月22日</w:t>
      </w:r>
    </w:p>
    <w:p w14:paraId="7DC6CE3D">
      <w:pPr>
        <w:pStyle w:val="23"/>
        <w:jc w:val="center"/>
      </w:pPr>
      <w:r>
        <w:rPr>
          <w:rFonts w:hint="eastAsia"/>
        </w:rPr>
        <w:t>版本：V2.0</w:t>
      </w:r>
    </w:p>
    <w:p w14:paraId="640A1445">
      <w:pPr>
        <w:pStyle w:val="23"/>
        <w:jc w:val="center"/>
      </w:pPr>
      <w:r>
        <w:rPr>
          <w:rFonts w:hint="eastAsia"/>
        </w:rPr>
        <w:t>队名：delta0</w:t>
      </w:r>
    </w:p>
    <w:p w14:paraId="3C4D00E0">
      <w:pPr>
        <w:pStyle w:val="23"/>
        <w:jc w:val="center"/>
      </w:pPr>
      <w:r>
        <w:rPr>
          <w:rFonts w:hint="eastAsia"/>
        </w:rPr>
        <w:t>口号：创造delta0的投资组合</w:t>
      </w:r>
    </w:p>
    <w:p w14:paraId="435576B4">
      <w:pPr>
        <w:pStyle w:val="23"/>
        <w:jc w:val="center"/>
      </w:pPr>
      <w:r>
        <w:rPr>
          <w:rFonts w:hint="eastAsia"/>
        </w:rPr>
        <w:t>队长：小喵因子</w:t>
      </w:r>
    </w:p>
    <w:p w14:paraId="121FBF00">
      <w:pPr>
        <w:pStyle w:val="23"/>
        <w:jc w:val="center"/>
      </w:pPr>
      <w:r>
        <w:rPr>
          <w:rFonts w:hint="eastAsia"/>
        </w:rPr>
        <w:t>队员：桃，标，风中闻笛，不知</w:t>
      </w:r>
      <w:r>
        <w:t xml:space="preserve"> Peter</w:t>
      </w:r>
    </w:p>
    <w:p w14:paraId="528F9701">
      <w:pPr>
        <w:pStyle w:val="23"/>
        <w:jc w:val="center"/>
      </w:pPr>
      <w:r>
        <w:rPr>
          <w:rFonts w:hint="eastAsia"/>
        </w:rPr>
        <w:t>参与方式：组队学习</w:t>
      </w:r>
    </w:p>
    <w:p w14:paraId="500EE318">
      <w:pPr>
        <w:pStyle w:val="23"/>
        <w:jc w:val="center"/>
      </w:pPr>
      <w:r>
        <w:rPr>
          <w:rFonts w:hint="eastAsia"/>
        </w:rPr>
        <w:t>下载链接：</w:t>
      </w:r>
      <w:r>
        <w:fldChar w:fldCharType="begin"/>
      </w:r>
      <w:r>
        <w:instrText xml:space="preserve"> HYPERLINK "../homework/downloads/策略报告.docx" \h </w:instrText>
      </w:r>
      <w:r>
        <w:fldChar w:fldCharType="separate"/>
      </w:r>
      <w:r>
        <w:rPr>
          <w:rStyle w:val="20"/>
          <w:rFonts w:hint="eastAsia"/>
        </w:rPr>
        <w:t>策略报告</w:t>
      </w:r>
      <w:r>
        <w:rPr>
          <w:rStyle w:val="20"/>
          <w:rFonts w:hint="eastAsia"/>
        </w:rPr>
        <w:fldChar w:fldCharType="end"/>
      </w:r>
      <w:r>
        <w:t xml:space="preserve"> | </w:t>
      </w:r>
      <w:r>
        <w:fldChar w:fldCharType="begin"/>
      </w:r>
      <w:r>
        <w:instrText xml:space="preserve"> HYPERLINK "../homework/downloads/策略海报.pdf" \h </w:instrText>
      </w:r>
      <w:r>
        <w:fldChar w:fldCharType="separate"/>
      </w:r>
      <w:r>
        <w:rPr>
          <w:rStyle w:val="20"/>
          <w:rFonts w:hint="eastAsia"/>
        </w:rPr>
        <w:t>策略海报</w:t>
      </w:r>
      <w:r>
        <w:rPr>
          <w:rStyle w:val="20"/>
          <w:rFonts w:hint="eastAsia"/>
        </w:rPr>
        <w:fldChar w:fldCharType="end"/>
      </w:r>
      <w:r>
        <w:t xml:space="preserve"> | </w:t>
      </w:r>
      <w:r>
        <w:fldChar w:fldCharType="begin"/>
      </w:r>
      <w:r>
        <w:instrText xml:space="preserve"> HYPERLINK "../homework/downloads/策略附件.zip" \h </w:instrText>
      </w:r>
      <w:r>
        <w:fldChar w:fldCharType="separate"/>
      </w:r>
      <w:r>
        <w:rPr>
          <w:rStyle w:val="20"/>
          <w:rFonts w:hint="eastAsia"/>
        </w:rPr>
        <w:t>策略附件</w:t>
      </w:r>
      <w:r>
        <w:rPr>
          <w:rStyle w:val="20"/>
          <w:rFonts w:hint="eastAsia"/>
        </w:rPr>
        <w:fldChar w:fldCharType="end"/>
      </w:r>
    </w:p>
    <w:p w14:paraId="51FC7DA3">
      <w:pPr>
        <w:pStyle w:val="2"/>
        <w:jc w:val="center"/>
      </w:pPr>
      <w:bookmarkStart w:id="0" w:name="目录"/>
      <w:r>
        <w:rPr>
          <w:rFonts w:hint="eastAsia"/>
        </w:rPr>
        <w:br w:type="page"/>
      </w:r>
      <w:r>
        <w:rPr>
          <w:rFonts w:hint="eastAsia"/>
        </w:rPr>
        <w:t>目录</w:t>
      </w:r>
    </w:p>
    <w:p w14:paraId="060B666D">
      <w:pPr>
        <w:pStyle w:val="24"/>
        <w:numPr>
          <w:ilvl w:val="0"/>
          <w:numId w:val="1"/>
        </w:numPr>
      </w:pPr>
      <w:r>
        <w:fldChar w:fldCharType="begin"/>
      </w:r>
      <w:r>
        <w:instrText xml:space="preserve"> HYPERLINK \l "第1章-研究问题与目标" \h </w:instrText>
      </w:r>
      <w:r>
        <w:fldChar w:fldCharType="separate"/>
      </w:r>
      <w:r>
        <w:rPr>
          <w:rStyle w:val="20"/>
          <w:rFonts w:hint="eastAsia"/>
        </w:rPr>
        <w:t>第1章</w:t>
      </w:r>
      <w:r>
        <w:rPr>
          <w:rStyle w:val="20"/>
        </w:rPr>
        <w:t xml:space="preserve"> </w:t>
      </w:r>
      <w:r>
        <w:rPr>
          <w:rStyle w:val="20"/>
          <w:rFonts w:hint="eastAsia"/>
        </w:rPr>
        <w:t>研究问题与目标</w:t>
      </w:r>
      <w:r>
        <w:rPr>
          <w:rStyle w:val="20"/>
          <w:rFonts w:hint="eastAsia"/>
        </w:rPr>
        <w:fldChar w:fldCharType="end"/>
      </w:r>
    </w:p>
    <w:p w14:paraId="5A772CC3">
      <w:pPr>
        <w:pStyle w:val="24"/>
        <w:numPr>
          <w:ilvl w:val="1"/>
          <w:numId w:val="1"/>
        </w:numPr>
      </w:pPr>
      <w:r>
        <w:fldChar w:fldCharType="begin"/>
      </w:r>
      <w:r>
        <w:instrText xml:space="preserve"> HYPERLINK \l "X55279c21189073007832dfd13636b852c6263b8" \h </w:instrText>
      </w:r>
      <w:r>
        <w:fldChar w:fldCharType="separate"/>
      </w:r>
      <w:r>
        <w:rPr>
          <w:rStyle w:val="20"/>
        </w:rPr>
        <w:t xml:space="preserve">1.1 </w:t>
      </w:r>
      <w:r>
        <w:rPr>
          <w:rStyle w:val="20"/>
          <w:rFonts w:hint="eastAsia"/>
        </w:rPr>
        <w:t>研究问题</w:t>
      </w:r>
      <w:r>
        <w:rPr>
          <w:rStyle w:val="20"/>
          <w:rFonts w:hint="eastAsia"/>
        </w:rPr>
        <w:fldChar w:fldCharType="end"/>
      </w:r>
    </w:p>
    <w:p w14:paraId="2AFDFAAC">
      <w:pPr>
        <w:pStyle w:val="24"/>
        <w:numPr>
          <w:ilvl w:val="1"/>
          <w:numId w:val="1"/>
        </w:numPr>
      </w:pPr>
      <w:r>
        <w:fldChar w:fldCharType="begin"/>
      </w:r>
      <w:r>
        <w:instrText xml:space="preserve"> HYPERLINK \l "X03a2ebc13193185631c03f0e8e6e9e31d1e154f" \h </w:instrText>
      </w:r>
      <w:r>
        <w:fldChar w:fldCharType="separate"/>
      </w:r>
      <w:r>
        <w:rPr>
          <w:rStyle w:val="20"/>
        </w:rPr>
        <w:t xml:space="preserve">1.2 </w:t>
      </w:r>
      <w:r>
        <w:rPr>
          <w:rStyle w:val="20"/>
          <w:rFonts w:hint="eastAsia"/>
        </w:rPr>
        <w:t>事先设定的成功标准</w:t>
      </w:r>
      <w:r>
        <w:rPr>
          <w:rStyle w:val="20"/>
          <w:rFonts w:hint="eastAsia"/>
        </w:rPr>
        <w:fldChar w:fldCharType="end"/>
      </w:r>
    </w:p>
    <w:p w14:paraId="337BBFD2">
      <w:pPr>
        <w:pStyle w:val="24"/>
        <w:numPr>
          <w:ilvl w:val="1"/>
          <w:numId w:val="1"/>
        </w:numPr>
      </w:pPr>
      <w:r>
        <w:fldChar w:fldCharType="begin"/>
      </w:r>
      <w:r>
        <w:instrText xml:space="preserve"> HYPERLINK \l "X8e9e9bceb1c33f3e592668d0f56a5e9f26acf0b" \h </w:instrText>
      </w:r>
      <w:r>
        <w:fldChar w:fldCharType="separate"/>
      </w:r>
      <w:r>
        <w:rPr>
          <w:rStyle w:val="20"/>
        </w:rPr>
        <w:t xml:space="preserve">1.3 </w:t>
      </w:r>
      <w:r>
        <w:rPr>
          <w:rStyle w:val="20"/>
          <w:rFonts w:hint="eastAsia"/>
        </w:rPr>
        <w:t>本次明确不做的事项</w:t>
      </w:r>
      <w:r>
        <w:rPr>
          <w:rStyle w:val="20"/>
          <w:rFonts w:hint="eastAsia"/>
        </w:rPr>
        <w:fldChar w:fldCharType="end"/>
      </w:r>
    </w:p>
    <w:p w14:paraId="7E6BB646">
      <w:pPr>
        <w:pStyle w:val="24"/>
        <w:numPr>
          <w:ilvl w:val="0"/>
          <w:numId w:val="1"/>
        </w:numPr>
      </w:pPr>
      <w:r>
        <w:fldChar w:fldCharType="begin"/>
      </w:r>
      <w:r>
        <w:instrText xml:space="preserve"> HYPERLINK \l "第2章-数据说明" \h </w:instrText>
      </w:r>
      <w:r>
        <w:fldChar w:fldCharType="separate"/>
      </w:r>
      <w:r>
        <w:rPr>
          <w:rStyle w:val="20"/>
          <w:rFonts w:hint="eastAsia"/>
        </w:rPr>
        <w:t>第2章</w:t>
      </w:r>
      <w:r>
        <w:rPr>
          <w:rStyle w:val="20"/>
        </w:rPr>
        <w:t xml:space="preserve"> </w:t>
      </w:r>
      <w:r>
        <w:rPr>
          <w:rStyle w:val="20"/>
          <w:rFonts w:hint="eastAsia"/>
        </w:rPr>
        <w:t>数据说明</w:t>
      </w:r>
      <w:r>
        <w:rPr>
          <w:rStyle w:val="20"/>
          <w:rFonts w:hint="eastAsia"/>
        </w:rPr>
        <w:fldChar w:fldCharType="end"/>
      </w:r>
    </w:p>
    <w:p w14:paraId="362A7BC7">
      <w:pPr>
        <w:pStyle w:val="24"/>
        <w:numPr>
          <w:ilvl w:val="1"/>
          <w:numId w:val="1"/>
        </w:numPr>
      </w:pPr>
      <w:r>
        <w:fldChar w:fldCharType="begin"/>
      </w:r>
      <w:r>
        <w:instrText xml:space="preserve"> HYPERLINK \l "Xcb00f1123e77bba4371ccd6a26f1966fe824c91" \h </w:instrText>
      </w:r>
      <w:r>
        <w:fldChar w:fldCharType="separate"/>
      </w:r>
      <w:r>
        <w:rPr>
          <w:rStyle w:val="20"/>
        </w:rPr>
        <w:t xml:space="preserve">2.1 </w:t>
      </w:r>
      <w:r>
        <w:rPr>
          <w:rStyle w:val="20"/>
          <w:rFonts w:hint="eastAsia"/>
        </w:rPr>
        <w:t>股票池（20只）与聚焦10只</w:t>
      </w:r>
      <w:r>
        <w:rPr>
          <w:rStyle w:val="20"/>
          <w:rFonts w:hint="eastAsia"/>
        </w:rPr>
        <w:fldChar w:fldCharType="end"/>
      </w:r>
    </w:p>
    <w:p w14:paraId="7F6DC97D">
      <w:pPr>
        <w:pStyle w:val="24"/>
        <w:numPr>
          <w:ilvl w:val="1"/>
          <w:numId w:val="1"/>
        </w:numPr>
      </w:pPr>
      <w:r>
        <w:fldChar w:fldCharType="begin"/>
      </w:r>
      <w:r>
        <w:instrText xml:space="preserve"> HYPERLINK \l "X9470a1d2ad4e3dbdb19d2a8612cb599a672259d" \h </w:instrText>
      </w:r>
      <w:r>
        <w:fldChar w:fldCharType="separate"/>
      </w:r>
      <w:r>
        <w:rPr>
          <w:rStyle w:val="20"/>
        </w:rPr>
        <w:t xml:space="preserve">2.2 </w:t>
      </w:r>
      <w:r>
        <w:rPr>
          <w:rStyle w:val="20"/>
          <w:rFonts w:hint="eastAsia"/>
        </w:rPr>
        <w:t>数据来源和字段字典</w:t>
      </w:r>
      <w:r>
        <w:rPr>
          <w:rStyle w:val="20"/>
          <w:rFonts w:hint="eastAsia"/>
        </w:rPr>
        <w:fldChar w:fldCharType="end"/>
      </w:r>
    </w:p>
    <w:p w14:paraId="42178F65">
      <w:pPr>
        <w:pStyle w:val="24"/>
        <w:numPr>
          <w:ilvl w:val="1"/>
          <w:numId w:val="1"/>
        </w:numPr>
      </w:pPr>
      <w:r>
        <w:fldChar w:fldCharType="begin"/>
      </w:r>
      <w:r>
        <w:instrText xml:space="preserve"> HYPERLINK \l "X18110d8894a8893d32d5aeb7b24c937512ec5a6" \h </w:instrText>
      </w:r>
      <w:r>
        <w:fldChar w:fldCharType="separate"/>
      </w:r>
      <w:r>
        <w:rPr>
          <w:rStyle w:val="20"/>
        </w:rPr>
        <w:t xml:space="preserve">2.3 </w:t>
      </w:r>
      <w:r>
        <w:rPr>
          <w:rStyle w:val="20"/>
          <w:rFonts w:hint="eastAsia"/>
        </w:rPr>
        <w:t>文件说明</w:t>
      </w:r>
      <w:r>
        <w:rPr>
          <w:rStyle w:val="20"/>
          <w:rFonts w:hint="eastAsia"/>
        </w:rPr>
        <w:fldChar w:fldCharType="end"/>
      </w:r>
    </w:p>
    <w:p w14:paraId="7B9E83A7">
      <w:pPr>
        <w:pStyle w:val="24"/>
        <w:numPr>
          <w:ilvl w:val="1"/>
          <w:numId w:val="1"/>
        </w:numPr>
      </w:pPr>
      <w:r>
        <w:fldChar w:fldCharType="begin"/>
      </w:r>
      <w:r>
        <w:instrText xml:space="preserve"> HYPERLINK \l "X3b765f4115d94d4cd3c93deedacba495d6a6515" \h </w:instrText>
      </w:r>
      <w:r>
        <w:fldChar w:fldCharType="separate"/>
      </w:r>
      <w:r>
        <w:rPr>
          <w:rStyle w:val="20"/>
        </w:rPr>
        <w:t xml:space="preserve">2.4 </w:t>
      </w:r>
      <w:r>
        <w:rPr>
          <w:rStyle w:val="20"/>
          <w:rFonts w:hint="eastAsia"/>
        </w:rPr>
        <w:t>质量处理</w:t>
      </w:r>
      <w:r>
        <w:rPr>
          <w:rStyle w:val="20"/>
          <w:rFonts w:hint="eastAsia"/>
        </w:rPr>
        <w:fldChar w:fldCharType="end"/>
      </w:r>
    </w:p>
    <w:p w14:paraId="66845B50">
      <w:pPr>
        <w:pStyle w:val="24"/>
        <w:numPr>
          <w:ilvl w:val="1"/>
          <w:numId w:val="1"/>
        </w:numPr>
      </w:pPr>
      <w:r>
        <w:fldChar w:fldCharType="begin"/>
      </w:r>
      <w:r>
        <w:instrText xml:space="preserve"> HYPERLINK \l "Xe34c4836b07996a9e72634f800c9562ebe4fbe1" \h </w:instrText>
      </w:r>
      <w:r>
        <w:fldChar w:fldCharType="separate"/>
      </w:r>
      <w:r>
        <w:rPr>
          <w:rStyle w:val="20"/>
        </w:rPr>
        <w:t xml:space="preserve">2.5 </w:t>
      </w:r>
      <w:r>
        <w:rPr>
          <w:rStyle w:val="20"/>
          <w:rFonts w:hint="eastAsia"/>
        </w:rPr>
        <w:t>回测区间</w:t>
      </w:r>
      <w:r>
        <w:rPr>
          <w:rStyle w:val="20"/>
          <w:rFonts w:hint="eastAsia"/>
        </w:rPr>
        <w:fldChar w:fldCharType="end"/>
      </w:r>
    </w:p>
    <w:p w14:paraId="2F18C8B7">
      <w:pPr>
        <w:pStyle w:val="24"/>
        <w:numPr>
          <w:ilvl w:val="0"/>
          <w:numId w:val="1"/>
        </w:numPr>
      </w:pPr>
      <w:r>
        <w:fldChar w:fldCharType="begin"/>
      </w:r>
      <w:r>
        <w:instrText xml:space="preserve"> HYPERLINK \l "第3章-策略设计" \h </w:instrText>
      </w:r>
      <w:r>
        <w:fldChar w:fldCharType="separate"/>
      </w:r>
      <w:r>
        <w:rPr>
          <w:rStyle w:val="20"/>
          <w:rFonts w:hint="eastAsia"/>
        </w:rPr>
        <w:t>第3章</w:t>
      </w:r>
      <w:r>
        <w:rPr>
          <w:rStyle w:val="20"/>
        </w:rPr>
        <w:t xml:space="preserve"> </w:t>
      </w:r>
      <w:r>
        <w:rPr>
          <w:rStyle w:val="20"/>
          <w:rFonts w:hint="eastAsia"/>
        </w:rPr>
        <w:t>策略设计</w:t>
      </w:r>
      <w:r>
        <w:rPr>
          <w:rStyle w:val="20"/>
          <w:rFonts w:hint="eastAsia"/>
        </w:rPr>
        <w:fldChar w:fldCharType="end"/>
      </w:r>
    </w:p>
    <w:p w14:paraId="25FF41A6">
      <w:pPr>
        <w:pStyle w:val="24"/>
        <w:numPr>
          <w:ilvl w:val="1"/>
          <w:numId w:val="1"/>
        </w:numPr>
      </w:pPr>
      <w:r>
        <w:fldChar w:fldCharType="begin"/>
      </w:r>
      <w:r>
        <w:instrText xml:space="preserve"> HYPERLINK \l "Xa752c89b169e71c539992c4d9fe92eaea5aec9c" \h </w:instrText>
      </w:r>
      <w:r>
        <w:fldChar w:fldCharType="separate"/>
      </w:r>
      <w:r>
        <w:rPr>
          <w:rStyle w:val="20"/>
        </w:rPr>
        <w:t xml:space="preserve">3.1 </w:t>
      </w:r>
      <w:r>
        <w:rPr>
          <w:rStyle w:val="20"/>
          <w:rFonts w:hint="eastAsia"/>
        </w:rPr>
        <w:t>关键设定</w:t>
      </w:r>
      <w:r>
        <w:rPr>
          <w:rStyle w:val="20"/>
          <w:rFonts w:hint="eastAsia"/>
        </w:rPr>
        <w:fldChar w:fldCharType="end"/>
      </w:r>
    </w:p>
    <w:p w14:paraId="15E08557">
      <w:pPr>
        <w:pStyle w:val="24"/>
        <w:numPr>
          <w:ilvl w:val="1"/>
          <w:numId w:val="1"/>
        </w:numPr>
      </w:pPr>
      <w:r>
        <w:fldChar w:fldCharType="begin"/>
      </w:r>
      <w:r>
        <w:instrText xml:space="preserve"> HYPERLINK \l "X272c82879acd9a7448d038782b7ee9061250ad8" \h </w:instrText>
      </w:r>
      <w:r>
        <w:fldChar w:fldCharType="separate"/>
      </w:r>
      <w:r>
        <w:rPr>
          <w:rStyle w:val="20"/>
        </w:rPr>
        <w:t xml:space="preserve">3.2 </w:t>
      </w:r>
      <w:r>
        <w:rPr>
          <w:rStyle w:val="20"/>
          <w:rFonts w:hint="eastAsia"/>
        </w:rPr>
        <w:t>可复现步骤</w:t>
      </w:r>
      <w:r>
        <w:rPr>
          <w:rStyle w:val="20"/>
          <w:rFonts w:hint="eastAsia"/>
        </w:rPr>
        <w:fldChar w:fldCharType="end"/>
      </w:r>
    </w:p>
    <w:p w14:paraId="38821A52">
      <w:pPr>
        <w:pStyle w:val="24"/>
        <w:numPr>
          <w:ilvl w:val="0"/>
          <w:numId w:val="1"/>
        </w:numPr>
      </w:pPr>
      <w:r>
        <w:fldChar w:fldCharType="begin"/>
      </w:r>
      <w:r>
        <w:instrText xml:space="preserve"> HYPERLINK \l "第4章-核心结果10只股票组合" \h </w:instrText>
      </w:r>
      <w:r>
        <w:fldChar w:fldCharType="separate"/>
      </w:r>
      <w:r>
        <w:rPr>
          <w:rStyle w:val="20"/>
          <w:rFonts w:hint="eastAsia"/>
        </w:rPr>
        <w:t>第4章</w:t>
      </w:r>
      <w:r>
        <w:rPr>
          <w:rStyle w:val="20"/>
        </w:rPr>
        <w:t xml:space="preserve"> </w:t>
      </w:r>
      <w:r>
        <w:rPr>
          <w:rStyle w:val="20"/>
          <w:rFonts w:hint="eastAsia"/>
        </w:rPr>
        <w:t>核心结果（10只股票组合）</w:t>
      </w:r>
      <w:r>
        <w:rPr>
          <w:rStyle w:val="20"/>
          <w:rFonts w:hint="eastAsia"/>
        </w:rPr>
        <w:fldChar w:fldCharType="end"/>
      </w:r>
    </w:p>
    <w:p w14:paraId="69652932">
      <w:pPr>
        <w:pStyle w:val="24"/>
        <w:numPr>
          <w:ilvl w:val="1"/>
          <w:numId w:val="1"/>
        </w:numPr>
      </w:pPr>
      <w:r>
        <w:fldChar w:fldCharType="begin"/>
      </w:r>
      <w:r>
        <w:instrText xml:space="preserve"> HYPERLINK \l "X13202fe5cd3c5964954126a8dc6f11ec75972b5" \h </w:instrText>
      </w:r>
      <w:r>
        <w:fldChar w:fldCharType="separate"/>
      </w:r>
      <w:r>
        <w:rPr>
          <w:rStyle w:val="20"/>
        </w:rPr>
        <w:t xml:space="preserve">4.1 </w:t>
      </w:r>
      <w:r>
        <w:rPr>
          <w:rStyle w:val="20"/>
          <w:rFonts w:hint="eastAsia"/>
        </w:rPr>
        <w:t>执行摘要</w:t>
      </w:r>
      <w:r>
        <w:rPr>
          <w:rStyle w:val="20"/>
          <w:rFonts w:hint="eastAsia"/>
        </w:rPr>
        <w:fldChar w:fldCharType="end"/>
      </w:r>
    </w:p>
    <w:p w14:paraId="608A0B9C">
      <w:pPr>
        <w:pStyle w:val="24"/>
        <w:numPr>
          <w:ilvl w:val="1"/>
          <w:numId w:val="1"/>
        </w:numPr>
      </w:pPr>
      <w:r>
        <w:fldChar w:fldCharType="begin"/>
      </w:r>
      <w:r>
        <w:instrText xml:space="preserve"> HYPERLINK \l "Xd1d951ebaf11aa3f7103c7d6f35a54395b950c8" \h </w:instrText>
      </w:r>
      <w:r>
        <w:fldChar w:fldCharType="separate"/>
      </w:r>
      <w:r>
        <w:rPr>
          <w:rStyle w:val="20"/>
        </w:rPr>
        <w:t xml:space="preserve">4.2 </w:t>
      </w:r>
      <w:r>
        <w:rPr>
          <w:rStyle w:val="20"/>
          <w:rFonts w:hint="eastAsia"/>
        </w:rPr>
        <w:t>绩效总表</w:t>
      </w:r>
      <w:r>
        <w:rPr>
          <w:rStyle w:val="20"/>
          <w:rFonts w:hint="eastAsia"/>
        </w:rPr>
        <w:fldChar w:fldCharType="end"/>
      </w:r>
    </w:p>
    <w:p w14:paraId="4872A11E">
      <w:pPr>
        <w:pStyle w:val="24"/>
        <w:numPr>
          <w:ilvl w:val="1"/>
          <w:numId w:val="1"/>
        </w:numPr>
      </w:pPr>
      <w:r>
        <w:fldChar w:fldCharType="begin"/>
      </w:r>
      <w:r>
        <w:instrText xml:space="preserve"> HYPERLINK \l "Xec04511041e4b8efd21eae3e2161794ff523647" \h </w:instrText>
      </w:r>
      <w:r>
        <w:fldChar w:fldCharType="separate"/>
      </w:r>
      <w:r>
        <w:rPr>
          <w:rStyle w:val="20"/>
        </w:rPr>
        <w:t xml:space="preserve">4.3 </w:t>
      </w:r>
      <w:r>
        <w:rPr>
          <w:rStyle w:val="20"/>
          <w:rFonts w:hint="eastAsia"/>
        </w:rPr>
        <w:t>必做三图</w:t>
      </w:r>
      <w:r>
        <w:rPr>
          <w:rStyle w:val="20"/>
          <w:rFonts w:hint="eastAsia"/>
        </w:rPr>
        <w:fldChar w:fldCharType="end"/>
      </w:r>
    </w:p>
    <w:p w14:paraId="79F969CB">
      <w:pPr>
        <w:pStyle w:val="24"/>
        <w:numPr>
          <w:ilvl w:val="0"/>
          <w:numId w:val="1"/>
        </w:numPr>
      </w:pPr>
      <w:r>
        <w:fldChar w:fldCharType="begin"/>
      </w:r>
      <w:r>
        <w:instrText xml:space="preserve"> HYPERLINK \l "第5章-细分分析" \h </w:instrText>
      </w:r>
      <w:r>
        <w:fldChar w:fldCharType="separate"/>
      </w:r>
      <w:r>
        <w:rPr>
          <w:rStyle w:val="20"/>
          <w:rFonts w:hint="eastAsia"/>
        </w:rPr>
        <w:t>第5章</w:t>
      </w:r>
      <w:r>
        <w:rPr>
          <w:rStyle w:val="20"/>
        </w:rPr>
        <w:t xml:space="preserve"> </w:t>
      </w:r>
      <w:r>
        <w:rPr>
          <w:rStyle w:val="20"/>
          <w:rFonts w:hint="eastAsia"/>
        </w:rPr>
        <w:t>细分分析</w:t>
      </w:r>
      <w:r>
        <w:rPr>
          <w:rStyle w:val="20"/>
          <w:rFonts w:hint="eastAsia"/>
        </w:rPr>
        <w:fldChar w:fldCharType="end"/>
      </w:r>
    </w:p>
    <w:p w14:paraId="1C52F48D">
      <w:pPr>
        <w:pStyle w:val="24"/>
        <w:numPr>
          <w:ilvl w:val="1"/>
          <w:numId w:val="1"/>
        </w:numPr>
      </w:pPr>
      <w:r>
        <w:fldChar w:fldCharType="begin"/>
      </w:r>
      <w:r>
        <w:instrText xml:space="preserve"> HYPERLINK \l "Xad48af04896ffe67fb6ddcb8023de51d74919bc" \h </w:instrText>
      </w:r>
      <w:r>
        <w:fldChar w:fldCharType="separate"/>
      </w:r>
      <w:r>
        <w:rPr>
          <w:rStyle w:val="20"/>
        </w:rPr>
        <w:t xml:space="preserve">5.1 </w:t>
      </w:r>
      <w:r>
        <w:rPr>
          <w:rStyle w:val="20"/>
          <w:rFonts w:hint="eastAsia"/>
        </w:rPr>
        <w:t>聚焦10只个股表现表</w:t>
      </w:r>
      <w:r>
        <w:rPr>
          <w:rStyle w:val="20"/>
          <w:rFonts w:hint="eastAsia"/>
        </w:rPr>
        <w:fldChar w:fldCharType="end"/>
      </w:r>
    </w:p>
    <w:p w14:paraId="277DF557">
      <w:pPr>
        <w:pStyle w:val="24"/>
        <w:numPr>
          <w:ilvl w:val="1"/>
          <w:numId w:val="1"/>
        </w:numPr>
      </w:pPr>
      <w:r>
        <w:fldChar w:fldCharType="begin"/>
      </w:r>
      <w:r>
        <w:instrText xml:space="preserve"> HYPERLINK \l "X6f0e701446331a453b481dfc9dd7b27b3f34248" \h </w:instrText>
      </w:r>
      <w:r>
        <w:fldChar w:fldCharType="separate"/>
      </w:r>
      <w:r>
        <w:rPr>
          <w:rStyle w:val="20"/>
        </w:rPr>
        <w:t xml:space="preserve">5.2 </w:t>
      </w:r>
      <w:r>
        <w:rPr>
          <w:rStyle w:val="20"/>
          <w:rFonts w:hint="eastAsia"/>
        </w:rPr>
        <w:t>贡献说明</w:t>
      </w:r>
      <w:r>
        <w:rPr>
          <w:rStyle w:val="20"/>
          <w:rFonts w:hint="eastAsia"/>
        </w:rPr>
        <w:fldChar w:fldCharType="end"/>
      </w:r>
    </w:p>
    <w:p w14:paraId="04562BB4">
      <w:pPr>
        <w:pStyle w:val="24"/>
        <w:numPr>
          <w:ilvl w:val="1"/>
          <w:numId w:val="1"/>
        </w:numPr>
      </w:pPr>
      <w:r>
        <w:fldChar w:fldCharType="begin"/>
      </w:r>
      <w:r>
        <w:instrText xml:space="preserve"> HYPERLINK \l "Xa589a8223a7d73e3b32fb382bc0d386ad812004" \h </w:instrText>
      </w:r>
      <w:r>
        <w:fldChar w:fldCharType="separate"/>
      </w:r>
      <w:r>
        <w:rPr>
          <w:rStyle w:val="20"/>
        </w:rPr>
        <w:t xml:space="preserve">5.3 </w:t>
      </w:r>
      <w:r>
        <w:rPr>
          <w:rStyle w:val="20"/>
          <w:rFonts w:hint="eastAsia"/>
        </w:rPr>
        <w:t>市场环境表现</w:t>
      </w:r>
      <w:r>
        <w:rPr>
          <w:rStyle w:val="20"/>
          <w:rFonts w:hint="eastAsia"/>
        </w:rPr>
        <w:fldChar w:fldCharType="end"/>
      </w:r>
    </w:p>
    <w:p w14:paraId="18D80AB7">
      <w:pPr>
        <w:pStyle w:val="24"/>
        <w:numPr>
          <w:ilvl w:val="1"/>
          <w:numId w:val="1"/>
        </w:numPr>
      </w:pPr>
      <w:r>
        <w:fldChar w:fldCharType="begin"/>
      </w:r>
      <w:r>
        <w:instrText xml:space="preserve"> HYPERLINK \l "Xede7b352d3f9e474bb9a85dd643482797a4f056" \h </w:instrText>
      </w:r>
      <w:r>
        <w:fldChar w:fldCharType="separate"/>
      </w:r>
      <w:r>
        <w:rPr>
          <w:rStyle w:val="20"/>
        </w:rPr>
        <w:t xml:space="preserve">5.4 </w:t>
      </w:r>
      <w:r>
        <w:rPr>
          <w:rStyle w:val="20"/>
          <w:rFonts w:hint="eastAsia"/>
        </w:rPr>
        <w:t>攻防风格分析</w:t>
      </w:r>
      <w:r>
        <w:rPr>
          <w:rStyle w:val="20"/>
          <w:rFonts w:hint="eastAsia"/>
        </w:rPr>
        <w:fldChar w:fldCharType="end"/>
      </w:r>
    </w:p>
    <w:p w14:paraId="0BBA1DA5">
      <w:pPr>
        <w:pStyle w:val="24"/>
        <w:numPr>
          <w:ilvl w:val="0"/>
          <w:numId w:val="1"/>
        </w:numPr>
      </w:pPr>
      <w:r>
        <w:fldChar w:fldCharType="begin"/>
      </w:r>
      <w:r>
        <w:instrText xml:space="preserve"> HYPERLINK \l "第6章-结论局限与下一步" \h </w:instrText>
      </w:r>
      <w:r>
        <w:fldChar w:fldCharType="separate"/>
      </w:r>
      <w:r>
        <w:rPr>
          <w:rStyle w:val="20"/>
          <w:rFonts w:hint="eastAsia"/>
        </w:rPr>
        <w:t>第6章</w:t>
      </w:r>
      <w:r>
        <w:rPr>
          <w:rStyle w:val="20"/>
        </w:rPr>
        <w:t xml:space="preserve"> </w:t>
      </w:r>
      <w:r>
        <w:rPr>
          <w:rStyle w:val="20"/>
          <w:rFonts w:hint="eastAsia"/>
        </w:rPr>
        <w:t>结论、局限与下一步</w:t>
      </w:r>
      <w:r>
        <w:rPr>
          <w:rStyle w:val="20"/>
          <w:rFonts w:hint="eastAsia"/>
        </w:rPr>
        <w:fldChar w:fldCharType="end"/>
      </w:r>
    </w:p>
    <w:p w14:paraId="30C60F75">
      <w:pPr>
        <w:pStyle w:val="24"/>
        <w:numPr>
          <w:ilvl w:val="1"/>
          <w:numId w:val="1"/>
        </w:numPr>
      </w:pPr>
      <w:r>
        <w:fldChar w:fldCharType="begin"/>
      </w:r>
      <w:r>
        <w:instrText xml:space="preserve"> HYPERLINK \l "Xd2a283907c2137648f1c85ab6bd88fd2045008a" \h </w:instrText>
      </w:r>
      <w:r>
        <w:fldChar w:fldCharType="separate"/>
      </w:r>
      <w:r>
        <w:rPr>
          <w:rStyle w:val="20"/>
        </w:rPr>
        <w:t xml:space="preserve">6.1 </w:t>
      </w:r>
      <w:r>
        <w:rPr>
          <w:rStyle w:val="20"/>
          <w:rFonts w:hint="eastAsia"/>
        </w:rPr>
        <w:t>结论</w:t>
      </w:r>
      <w:r>
        <w:rPr>
          <w:rStyle w:val="20"/>
          <w:rFonts w:hint="eastAsia"/>
        </w:rPr>
        <w:fldChar w:fldCharType="end"/>
      </w:r>
    </w:p>
    <w:p w14:paraId="139E6A23">
      <w:pPr>
        <w:pStyle w:val="24"/>
        <w:numPr>
          <w:ilvl w:val="1"/>
          <w:numId w:val="1"/>
        </w:numPr>
      </w:pPr>
      <w:r>
        <w:fldChar w:fldCharType="begin"/>
      </w:r>
      <w:r>
        <w:instrText xml:space="preserve"> HYPERLINK \l "Xe938ed5fdd4a91b114a70aef4d96553652aa127" \h </w:instrText>
      </w:r>
      <w:r>
        <w:fldChar w:fldCharType="separate"/>
      </w:r>
      <w:r>
        <w:rPr>
          <w:rStyle w:val="20"/>
        </w:rPr>
        <w:t xml:space="preserve">6.2 </w:t>
      </w:r>
      <w:r>
        <w:rPr>
          <w:rStyle w:val="20"/>
          <w:rFonts w:hint="eastAsia"/>
        </w:rPr>
        <w:t>局限</w:t>
      </w:r>
      <w:r>
        <w:rPr>
          <w:rStyle w:val="20"/>
          <w:rFonts w:hint="eastAsia"/>
        </w:rPr>
        <w:fldChar w:fldCharType="end"/>
      </w:r>
    </w:p>
    <w:p w14:paraId="43627C20">
      <w:pPr>
        <w:pStyle w:val="24"/>
        <w:numPr>
          <w:ilvl w:val="1"/>
          <w:numId w:val="1"/>
        </w:numPr>
      </w:pPr>
      <w:r>
        <w:fldChar w:fldCharType="begin"/>
      </w:r>
      <w:r>
        <w:instrText xml:space="preserve"> HYPERLINK \l "Xc236f2b88af695dbf9ed58b4aeacff8c5a0665a" \h </w:instrText>
      </w:r>
      <w:r>
        <w:fldChar w:fldCharType="separate"/>
      </w:r>
      <w:r>
        <w:rPr>
          <w:rStyle w:val="20"/>
        </w:rPr>
        <w:t xml:space="preserve">6.3 </w:t>
      </w:r>
      <w:r>
        <w:rPr>
          <w:rStyle w:val="20"/>
          <w:rFonts w:hint="eastAsia"/>
        </w:rPr>
        <w:t>下一步</w:t>
      </w:r>
      <w:r>
        <w:rPr>
          <w:rStyle w:val="20"/>
          <w:rFonts w:hint="eastAsia"/>
        </w:rPr>
        <w:fldChar w:fldCharType="end"/>
      </w:r>
    </w:p>
    <w:p w14:paraId="3098506E">
      <w:pPr>
        <w:pStyle w:val="24"/>
        <w:numPr>
          <w:ilvl w:val="0"/>
          <w:numId w:val="1"/>
        </w:numPr>
      </w:pPr>
      <w:r>
        <w:fldChar w:fldCharType="begin"/>
      </w:r>
      <w:r>
        <w:instrText xml:space="preserve"> HYPERLINK \l "参考文献" \h </w:instrText>
      </w:r>
      <w:r>
        <w:fldChar w:fldCharType="separate"/>
      </w:r>
      <w:r>
        <w:rPr>
          <w:rStyle w:val="20"/>
          <w:rFonts w:hint="eastAsia"/>
        </w:rPr>
        <w:t>参考文献</w:t>
      </w:r>
      <w:r>
        <w:rPr>
          <w:rStyle w:val="20"/>
          <w:rFonts w:hint="eastAsia"/>
        </w:rPr>
        <w:fldChar w:fldCharType="end"/>
      </w:r>
    </w:p>
    <w:p w14:paraId="71C96CBD">
      <w:pPr>
        <w:pStyle w:val="24"/>
        <w:numPr>
          <w:ilvl w:val="0"/>
          <w:numId w:val="1"/>
        </w:numPr>
      </w:pPr>
      <w:r>
        <w:fldChar w:fldCharType="begin"/>
      </w:r>
      <w:r>
        <w:instrText xml:space="preserve"> HYPERLINK \l "附录" \h </w:instrText>
      </w:r>
      <w:r>
        <w:fldChar w:fldCharType="separate"/>
      </w:r>
      <w:r>
        <w:rPr>
          <w:rStyle w:val="20"/>
          <w:rFonts w:hint="eastAsia"/>
        </w:rPr>
        <w:t>附录</w:t>
      </w:r>
      <w:r>
        <w:rPr>
          <w:rStyle w:val="20"/>
          <w:rFonts w:hint="eastAsia"/>
        </w:rPr>
        <w:fldChar w:fldCharType="end"/>
      </w:r>
    </w:p>
    <w:p w14:paraId="1413F429">
      <w:pPr>
        <w:pStyle w:val="24"/>
        <w:numPr>
          <w:ilvl w:val="1"/>
          <w:numId w:val="1"/>
        </w:numPr>
      </w:pPr>
      <w:r>
        <w:fldChar w:fldCharType="begin"/>
      </w:r>
      <w:r>
        <w:instrText xml:space="preserve"> HYPERLINK \l "附录a20只股票完整列表与数据文件" \h </w:instrText>
      </w:r>
      <w:r>
        <w:fldChar w:fldCharType="separate"/>
      </w:r>
      <w:r>
        <w:rPr>
          <w:rStyle w:val="20"/>
          <w:rFonts w:hint="eastAsia"/>
        </w:rPr>
        <w:t>附录A：20只股票完整列表与数据文件</w:t>
      </w:r>
      <w:r>
        <w:rPr>
          <w:rStyle w:val="20"/>
          <w:rFonts w:hint="eastAsia"/>
        </w:rPr>
        <w:fldChar w:fldCharType="end"/>
      </w:r>
    </w:p>
    <w:p w14:paraId="03F8381E">
      <w:pPr>
        <w:pStyle w:val="24"/>
        <w:numPr>
          <w:ilvl w:val="1"/>
          <w:numId w:val="1"/>
        </w:numPr>
      </w:pPr>
      <w:r>
        <w:fldChar w:fldCharType="begin"/>
      </w:r>
      <w:r>
        <w:instrText xml:space="preserve"> HYPERLINK \l "附录bcsv字段与文件路径见22和23" \h </w:instrText>
      </w:r>
      <w:r>
        <w:fldChar w:fldCharType="separate"/>
      </w:r>
      <w:r>
        <w:rPr>
          <w:rStyle w:val="20"/>
          <w:rFonts w:hint="eastAsia"/>
        </w:rPr>
        <w:t>附录B：CSV字段与文件路径</w:t>
      </w:r>
      <w:r>
        <w:rPr>
          <w:rStyle w:val="20"/>
          <w:rFonts w:hint="eastAsia"/>
        </w:rPr>
        <w:fldChar w:fldCharType="end"/>
      </w:r>
    </w:p>
    <w:p w14:paraId="106288F0">
      <w:pPr>
        <w:pStyle w:val="24"/>
        <w:numPr>
          <w:ilvl w:val="1"/>
          <w:numId w:val="1"/>
        </w:numPr>
      </w:pPr>
      <w:r>
        <w:fldChar w:fldCharType="begin"/>
      </w:r>
      <w:r>
        <w:instrText xml:space="preserve"> HYPERLINK \l "附录c完整指标表补充" \h </w:instrText>
      </w:r>
      <w:r>
        <w:fldChar w:fldCharType="separate"/>
      </w:r>
      <w:r>
        <w:rPr>
          <w:rStyle w:val="20"/>
          <w:rFonts w:hint="eastAsia"/>
        </w:rPr>
        <w:t>附录C：完整指标表</w:t>
      </w:r>
      <w:r>
        <w:rPr>
          <w:rStyle w:val="20"/>
          <w:rFonts w:hint="eastAsia"/>
        </w:rPr>
        <w:fldChar w:fldCharType="end"/>
      </w:r>
    </w:p>
    <w:p w14:paraId="40BD7544">
      <w:pPr>
        <w:pStyle w:val="24"/>
        <w:numPr>
          <w:ilvl w:val="1"/>
          <w:numId w:val="1"/>
        </w:numPr>
      </w:pPr>
      <w:r>
        <w:fldChar w:fldCharType="begin"/>
      </w:r>
      <w:r>
        <w:instrText xml:space="preserve"> HYPERLINK \l "附录d计算代码notebook路径" \h </w:instrText>
      </w:r>
      <w:r>
        <w:fldChar w:fldCharType="separate"/>
      </w:r>
      <w:r>
        <w:rPr>
          <w:rStyle w:val="20"/>
          <w:rFonts w:hint="eastAsia"/>
        </w:rPr>
        <w:t>附录D：计算代码</w:t>
      </w:r>
      <w:r>
        <w:rPr>
          <w:rStyle w:val="20"/>
          <w:rFonts w:hint="eastAsia"/>
        </w:rPr>
        <w:fldChar w:fldCharType="end"/>
      </w:r>
    </w:p>
    <w:p w14:paraId="70226943">
      <w:r>
        <w:pict>
          <v:rect id="_x0000_i1026" o:spt="1" style="height:1.5pt;width:0pt;" coordsize="21600,21600" o:hr="t" o:hrstd="t" o:hralign="center">
            <v:path/>
            <v:fill focussize="0,0"/>
            <v:stroke/>
            <v:imagedata o:title=""/>
            <o:lock v:ext="edit"/>
            <w10:wrap type="none"/>
            <w10:anchorlock/>
          </v:rect>
        </w:pict>
      </w:r>
    </w:p>
    <w:bookmarkEnd w:id="0"/>
    <w:p w14:paraId="1939439C">
      <w:pPr>
        <w:pStyle w:val="2"/>
        <w:rPr>
          <w:sz w:val="24"/>
          <w:szCs w:val="24"/>
        </w:rPr>
      </w:pPr>
      <w:bookmarkStart w:id="1" w:name="第1章-研究问题与目标"/>
      <w:r>
        <w:rPr>
          <w:rFonts w:hint="eastAsia"/>
          <w:sz w:val="24"/>
          <w:szCs w:val="24"/>
        </w:rPr>
        <w:t>第1章</w:t>
      </w:r>
      <w:r>
        <w:rPr>
          <w:sz w:val="24"/>
          <w:szCs w:val="24"/>
        </w:rPr>
        <w:t xml:space="preserve"> </w:t>
      </w:r>
      <w:r>
        <w:rPr>
          <w:rFonts w:hint="eastAsia"/>
          <w:sz w:val="24"/>
          <w:szCs w:val="24"/>
        </w:rPr>
        <w:t>研究问题与目标</w:t>
      </w:r>
    </w:p>
    <w:p w14:paraId="0AAB79C9">
      <w:pPr>
        <w:pStyle w:val="4"/>
        <w:rPr>
          <w:sz w:val="24"/>
          <w:szCs w:val="24"/>
        </w:rPr>
      </w:pPr>
      <w:bookmarkStart w:id="2" w:name="研究问题"/>
      <w:r>
        <w:rPr>
          <w:sz w:val="24"/>
          <w:szCs w:val="24"/>
        </w:rPr>
        <w:t xml:space="preserve">1.1 </w:t>
      </w:r>
      <w:r>
        <w:rPr>
          <w:rFonts w:hint="eastAsia"/>
          <w:sz w:val="24"/>
          <w:szCs w:val="24"/>
        </w:rPr>
        <w:t>研究问题</w:t>
      </w:r>
    </w:p>
    <w:p w14:paraId="3057C309">
      <w:pPr>
        <w:pStyle w:val="23"/>
        <w:rPr>
          <w:sz w:val="24"/>
          <w:szCs w:val="24"/>
        </w:rPr>
      </w:pPr>
      <w:r>
        <w:rPr>
          <w:rFonts w:hint="eastAsia"/>
          <w:b/>
          <w:bCs/>
          <w:sz w:val="24"/>
          <w:szCs w:val="24"/>
        </w:rPr>
        <w:t>在</w:t>
      </w:r>
      <w:r>
        <w:rPr>
          <w:b/>
          <w:bCs/>
          <w:sz w:val="24"/>
          <w:szCs w:val="24"/>
        </w:rPr>
        <w:t xml:space="preserve"> 2024-07-19 </w:t>
      </w:r>
      <w:r>
        <w:rPr>
          <w:rFonts w:hint="eastAsia"/>
          <w:b/>
          <w:bCs/>
          <w:sz w:val="24"/>
          <w:szCs w:val="24"/>
        </w:rPr>
        <w:t>至</w:t>
      </w:r>
      <w:r>
        <w:rPr>
          <w:b/>
          <w:bCs/>
          <w:sz w:val="24"/>
          <w:szCs w:val="24"/>
        </w:rPr>
        <w:t xml:space="preserve"> 2026-07-21 </w:t>
      </w:r>
      <w:r>
        <w:rPr>
          <w:rFonts w:hint="eastAsia"/>
          <w:b/>
          <w:bCs/>
          <w:sz w:val="24"/>
          <w:szCs w:val="24"/>
        </w:rPr>
        <w:t>期间，基于</w:t>
      </w:r>
      <w:r>
        <w:rPr>
          <w:b/>
          <w:bCs/>
          <w:sz w:val="24"/>
          <w:szCs w:val="24"/>
        </w:rPr>
        <w:t xml:space="preserve"> Value + Quality + Momentum </w:t>
      </w:r>
      <w:r>
        <w:rPr>
          <w:rFonts w:hint="eastAsia"/>
          <w:b/>
          <w:bCs/>
          <w:sz w:val="24"/>
          <w:szCs w:val="24"/>
        </w:rPr>
        <w:t>三因子模型</w:t>
      </w:r>
      <w:r>
        <w:rPr>
          <w:b/>
          <w:bCs/>
          <w:sz w:val="24"/>
          <w:szCs w:val="24"/>
        </w:rPr>
        <w:t xml:space="preserve"> (Fama &amp; French, 1993; Carhart, 1997) </w:t>
      </w:r>
      <w:r>
        <w:rPr>
          <w:rFonts w:hint="eastAsia"/>
          <w:b/>
          <w:bCs/>
          <w:sz w:val="24"/>
          <w:szCs w:val="24"/>
        </w:rPr>
        <w:t>从</w:t>
      </w:r>
      <w:r>
        <w:rPr>
          <w:b/>
          <w:bCs/>
          <w:sz w:val="24"/>
          <w:szCs w:val="24"/>
        </w:rPr>
        <w:t xml:space="preserve"> 20 </w:t>
      </w:r>
      <w:r>
        <w:rPr>
          <w:rFonts w:hint="eastAsia"/>
          <w:b/>
          <w:bCs/>
          <w:sz w:val="24"/>
          <w:szCs w:val="24"/>
        </w:rPr>
        <w:t>只股票中月度选股构建的组合，其风险收益特征如何？是否跑赢同期沪深</w:t>
      </w:r>
      <w:r>
        <w:rPr>
          <w:b/>
          <w:bCs/>
          <w:sz w:val="24"/>
          <w:szCs w:val="24"/>
        </w:rPr>
        <w:t xml:space="preserve"> 300 </w:t>
      </w:r>
      <w:r>
        <w:rPr>
          <w:rFonts w:hint="eastAsia"/>
          <w:b/>
          <w:bCs/>
          <w:sz w:val="24"/>
          <w:szCs w:val="24"/>
        </w:rPr>
        <w:t>指数？</w:t>
      </w:r>
    </w:p>
    <w:bookmarkEnd w:id="2"/>
    <w:p w14:paraId="7AE77D5E">
      <w:pPr>
        <w:pStyle w:val="4"/>
        <w:rPr>
          <w:sz w:val="24"/>
          <w:szCs w:val="24"/>
        </w:rPr>
      </w:pPr>
      <w:bookmarkStart w:id="3" w:name="事先设定的成功标准"/>
      <w:r>
        <w:rPr>
          <w:sz w:val="24"/>
          <w:szCs w:val="24"/>
        </w:rPr>
        <w:t xml:space="preserve">1.2 </w:t>
      </w:r>
      <w:r>
        <w:rPr>
          <w:rFonts w:hint="eastAsia"/>
          <w:sz w:val="24"/>
          <w:szCs w:val="24"/>
        </w:rPr>
        <w:t>事先设定的成功标准</w:t>
      </w:r>
    </w:p>
    <w:p w14:paraId="7483119B">
      <w:pPr>
        <w:pStyle w:val="24"/>
        <w:numPr>
          <w:ilvl w:val="0"/>
          <w:numId w:val="1"/>
        </w:numPr>
        <w:rPr>
          <w:sz w:val="24"/>
          <w:szCs w:val="24"/>
        </w:rPr>
      </w:pPr>
      <w:r>
        <w:rPr>
          <w:rFonts w:hint="eastAsia"/>
          <w:sz w:val="24"/>
          <w:szCs w:val="24"/>
        </w:rPr>
        <w:t>区间累计收益率</w:t>
      </w:r>
      <w:r>
        <w:rPr>
          <w:sz w:val="24"/>
          <w:szCs w:val="24"/>
        </w:rPr>
        <w:t xml:space="preserve"> </w:t>
      </w:r>
      <w:r>
        <w:rPr>
          <w:b/>
          <w:bCs/>
          <w:sz w:val="24"/>
          <w:szCs w:val="24"/>
        </w:rPr>
        <w:t>≥ 0</w:t>
      </w:r>
      <w:r>
        <w:rPr>
          <w:rFonts w:hint="eastAsia"/>
          <w:sz w:val="24"/>
          <w:szCs w:val="24"/>
        </w:rPr>
        <w:t>（绝对收益）</w:t>
      </w:r>
    </w:p>
    <w:p w14:paraId="7537E58E">
      <w:pPr>
        <w:pStyle w:val="24"/>
        <w:numPr>
          <w:ilvl w:val="0"/>
          <w:numId w:val="1"/>
        </w:numPr>
        <w:rPr>
          <w:sz w:val="24"/>
          <w:szCs w:val="24"/>
        </w:rPr>
      </w:pPr>
      <w:r>
        <w:rPr>
          <w:rFonts w:hint="eastAsia"/>
          <w:sz w:val="24"/>
          <w:szCs w:val="24"/>
        </w:rPr>
        <w:t>区间超额收益率（组合</w:t>
      </w:r>
      <w:r>
        <w:rPr>
          <w:sz w:val="24"/>
          <w:szCs w:val="24"/>
        </w:rPr>
        <w:t xml:space="preserve"> vs </w:t>
      </w:r>
      <w:r>
        <w:rPr>
          <w:rFonts w:hint="eastAsia"/>
          <w:sz w:val="24"/>
          <w:szCs w:val="24"/>
        </w:rPr>
        <w:t>沪深300）</w:t>
      </w:r>
      <w:r>
        <w:rPr>
          <w:b/>
          <w:bCs/>
          <w:sz w:val="24"/>
          <w:szCs w:val="24"/>
        </w:rPr>
        <w:t>≥ 0</w:t>
      </w:r>
    </w:p>
    <w:p w14:paraId="07A2DF49">
      <w:pPr>
        <w:pStyle w:val="24"/>
        <w:numPr>
          <w:ilvl w:val="0"/>
          <w:numId w:val="1"/>
        </w:numPr>
        <w:rPr>
          <w:sz w:val="24"/>
          <w:szCs w:val="24"/>
        </w:rPr>
      </w:pPr>
      <w:r>
        <w:rPr>
          <w:rFonts w:hint="eastAsia"/>
          <w:sz w:val="24"/>
          <w:szCs w:val="24"/>
        </w:rPr>
        <w:t>最大回撤</w:t>
      </w:r>
      <w:r>
        <w:rPr>
          <w:sz w:val="24"/>
          <w:szCs w:val="24"/>
        </w:rPr>
        <w:t xml:space="preserve"> </w:t>
      </w:r>
      <w:r>
        <w:rPr>
          <w:b/>
          <w:bCs/>
          <w:sz w:val="24"/>
          <w:szCs w:val="24"/>
        </w:rPr>
        <w:t>≤ 15%</w:t>
      </w:r>
      <w:r>
        <w:rPr>
          <w:rFonts w:hint="eastAsia"/>
          <w:sz w:val="24"/>
          <w:szCs w:val="24"/>
        </w:rPr>
        <w:t>（风险控制目标）</w:t>
      </w:r>
    </w:p>
    <w:bookmarkEnd w:id="3"/>
    <w:p w14:paraId="48223BD0">
      <w:pPr>
        <w:pStyle w:val="4"/>
        <w:rPr>
          <w:sz w:val="24"/>
          <w:szCs w:val="24"/>
        </w:rPr>
      </w:pPr>
      <w:bookmarkStart w:id="4" w:name="本次明确不做的事项"/>
      <w:r>
        <w:rPr>
          <w:sz w:val="24"/>
          <w:szCs w:val="24"/>
        </w:rPr>
        <w:t xml:space="preserve">1.3 </w:t>
      </w:r>
      <w:r>
        <w:rPr>
          <w:rFonts w:hint="eastAsia"/>
          <w:sz w:val="24"/>
          <w:szCs w:val="24"/>
        </w:rPr>
        <w:t>本次明确不做的事项</w:t>
      </w:r>
    </w:p>
    <w:p w14:paraId="72E4B631">
      <w:pPr>
        <w:pStyle w:val="24"/>
        <w:numPr>
          <w:ilvl w:val="0"/>
          <w:numId w:val="1"/>
        </w:numPr>
        <w:rPr>
          <w:sz w:val="24"/>
          <w:szCs w:val="24"/>
        </w:rPr>
      </w:pPr>
      <w:r>
        <w:rPr>
          <w:rFonts w:hint="eastAsia"/>
          <w:sz w:val="24"/>
          <w:szCs w:val="24"/>
        </w:rPr>
        <w:t>不进行实盘交易</w:t>
      </w:r>
    </w:p>
    <w:p w14:paraId="71E19C3B">
      <w:pPr>
        <w:pStyle w:val="24"/>
        <w:numPr>
          <w:ilvl w:val="0"/>
          <w:numId w:val="1"/>
        </w:numPr>
        <w:rPr>
          <w:sz w:val="24"/>
          <w:szCs w:val="24"/>
        </w:rPr>
      </w:pPr>
      <w:r>
        <w:rPr>
          <w:rFonts w:hint="eastAsia"/>
          <w:sz w:val="24"/>
          <w:szCs w:val="24"/>
        </w:rPr>
        <w:t>不考虑冲击成本、滑点、税费</w:t>
      </w:r>
    </w:p>
    <w:p w14:paraId="5FD9DDEE">
      <w:pPr>
        <w:pStyle w:val="24"/>
        <w:numPr>
          <w:ilvl w:val="0"/>
          <w:numId w:val="1"/>
        </w:numPr>
        <w:rPr>
          <w:sz w:val="24"/>
          <w:szCs w:val="24"/>
        </w:rPr>
      </w:pPr>
      <w:r>
        <w:rPr>
          <w:rFonts w:hint="eastAsia"/>
          <w:sz w:val="24"/>
          <w:szCs w:val="24"/>
        </w:rPr>
        <w:t>不做高频交易，仅月度调仓</w:t>
      </w:r>
    </w:p>
    <w:bookmarkEnd w:id="1"/>
    <w:bookmarkEnd w:id="4"/>
    <w:p w14:paraId="52EA8F77">
      <w:pPr>
        <w:pStyle w:val="2"/>
        <w:rPr>
          <w:sz w:val="24"/>
          <w:szCs w:val="24"/>
        </w:rPr>
      </w:pPr>
      <w:bookmarkStart w:id="5" w:name="第2章-数据说明"/>
      <w:r>
        <w:rPr>
          <w:rFonts w:hint="eastAsia"/>
          <w:sz w:val="24"/>
          <w:szCs w:val="24"/>
        </w:rPr>
        <w:t>第2章</w:t>
      </w:r>
      <w:r>
        <w:rPr>
          <w:sz w:val="24"/>
          <w:szCs w:val="24"/>
        </w:rPr>
        <w:t xml:space="preserve"> </w:t>
      </w:r>
      <w:r>
        <w:rPr>
          <w:rFonts w:hint="eastAsia"/>
          <w:sz w:val="24"/>
          <w:szCs w:val="24"/>
        </w:rPr>
        <w:t>数据说明</w:t>
      </w:r>
    </w:p>
    <w:p w14:paraId="5F08107F">
      <w:pPr>
        <w:pStyle w:val="4"/>
        <w:rPr>
          <w:sz w:val="24"/>
          <w:szCs w:val="24"/>
        </w:rPr>
      </w:pPr>
      <w:bookmarkStart w:id="6" w:name="股票池20只与聚焦10只"/>
      <w:r>
        <w:rPr>
          <w:sz w:val="24"/>
          <w:szCs w:val="24"/>
        </w:rPr>
        <w:t xml:space="preserve">2.1 </w:t>
      </w:r>
      <w:r>
        <w:rPr>
          <w:rFonts w:hint="eastAsia"/>
          <w:sz w:val="24"/>
          <w:szCs w:val="24"/>
        </w:rPr>
        <w:t>股票池（20只）与聚焦10只</w:t>
      </w:r>
    </w:p>
    <w:p w14:paraId="2A337939">
      <w:pPr>
        <w:pStyle w:val="23"/>
        <w:rPr>
          <w:sz w:val="24"/>
          <w:szCs w:val="24"/>
        </w:rPr>
      </w:pPr>
      <w:r>
        <w:rPr>
          <w:rFonts w:hint="eastAsia"/>
          <w:sz w:val="24"/>
          <w:szCs w:val="24"/>
        </w:rPr>
        <w:t>本报告按“科技进攻+传统行业防守+etf保底”的原则筛选出</w:t>
      </w:r>
      <w:r>
        <w:rPr>
          <w:sz w:val="24"/>
          <w:szCs w:val="24"/>
        </w:rPr>
        <w:t xml:space="preserve"> 20 </w:t>
      </w:r>
      <w:r>
        <w:rPr>
          <w:rFonts w:hint="eastAsia"/>
          <w:sz w:val="24"/>
          <w:szCs w:val="24"/>
        </w:rPr>
        <w:t>只作为初始股票池。下表列出全部</w:t>
      </w:r>
      <w:r>
        <w:rPr>
          <w:sz w:val="24"/>
          <w:szCs w:val="24"/>
        </w:rPr>
        <w:t xml:space="preserve"> 20 </w:t>
      </w:r>
      <w:r>
        <w:rPr>
          <w:rFonts w:hint="eastAsia"/>
          <w:sz w:val="24"/>
          <w:szCs w:val="24"/>
        </w:rPr>
        <w:t>只股票的基本面入选理由，以及</w:t>
      </w:r>
      <w:r>
        <w:rPr>
          <w:sz w:val="24"/>
          <w:szCs w:val="24"/>
        </w:rPr>
        <w:t xml:space="preserve"> VQM </w:t>
      </w:r>
      <w:r>
        <w:rPr>
          <w:rFonts w:hint="eastAsia"/>
          <w:sz w:val="24"/>
          <w:szCs w:val="24"/>
        </w:rPr>
        <w:t>三因子策略在</w:t>
      </w:r>
      <w:r>
        <w:rPr>
          <w:sz w:val="24"/>
          <w:szCs w:val="24"/>
        </w:rPr>
        <w:t xml:space="preserve"> 19 </w:t>
      </w:r>
      <w:r>
        <w:rPr>
          <w:rFonts w:hint="eastAsia"/>
          <w:sz w:val="24"/>
          <w:szCs w:val="24"/>
        </w:rPr>
        <w:t>个调仓月（2025-01</w:t>
      </w:r>
      <w:r>
        <w:rPr>
          <w:sz w:val="24"/>
          <w:szCs w:val="24"/>
        </w:rPr>
        <w:t xml:space="preserve"> ~ </w:t>
      </w:r>
      <w:r>
        <w:rPr>
          <w:rFonts w:hint="eastAsia"/>
          <w:sz w:val="24"/>
          <w:szCs w:val="24"/>
        </w:rPr>
        <w:t>2026-07）中的实际动态入选次数。“是否进入10只”一列标注的是策略运行前人工预设的聚焦名单，“VQM入选次数”则反映策略实际动态选股的结果——两者对比可以直观看到模型选股与主观判断的差异。</w:t>
      </w:r>
    </w:p>
    <w:tbl>
      <w:tblPr>
        <w:tblStyle w:val="41"/>
        <w:tblW w:w="0" w:type="auto"/>
        <w:tblInd w:w="0" w:type="dxa"/>
        <w:tblLayout w:type="autofit"/>
        <w:tblCellMar>
          <w:top w:w="0" w:type="dxa"/>
          <w:left w:w="108" w:type="dxa"/>
          <w:bottom w:w="0" w:type="dxa"/>
          <w:right w:w="108" w:type="dxa"/>
        </w:tblCellMar>
      </w:tblPr>
      <w:tblGrid>
        <w:gridCol w:w="513"/>
        <w:gridCol w:w="1017"/>
        <w:gridCol w:w="1005"/>
        <w:gridCol w:w="2067"/>
        <w:gridCol w:w="2552"/>
        <w:gridCol w:w="898"/>
        <w:gridCol w:w="804"/>
      </w:tblGrid>
      <w:tr w14:paraId="68227102">
        <w:trPr>
          <w:tblHeader/>
        </w:trPr>
        <w:tc>
          <w:tcPr>
            <w:tcBorders>
              <w:top w:val="single" w:color="000000" w:sz="12" w:space="0"/>
              <w:left w:val="nil"/>
              <w:bottom w:val="single" w:color="000000" w:sz="4" w:space="0"/>
              <w:right w:val="nil"/>
              <w:tl2br w:val="nil"/>
            </w:tcBorders>
            <w:shd w:val="clear" w:color="auto" w:fill="FFFFFF"/>
          </w:tcPr>
          <w:p w14:paraId="3A7FC640">
            <w:pPr>
              <w:pStyle w:val="24"/>
              <w:rPr>
                <w:b w:val="0"/>
                <w:color w:val="000000"/>
                <w:sz w:val="24"/>
                <w:szCs w:val="24"/>
              </w:rPr>
            </w:pPr>
            <w:r>
              <w:rPr>
                <w:rFonts w:hint="eastAsia"/>
                <w:b w:val="0"/>
                <w:color w:val="000000"/>
                <w:sz w:val="24"/>
                <w:szCs w:val="24"/>
              </w:rPr>
              <w:t>序号</w:t>
            </w:r>
          </w:p>
        </w:tc>
        <w:tc>
          <w:tcPr>
            <w:tcBorders>
              <w:top w:val="single" w:color="000000" w:sz="12" w:space="0"/>
              <w:left w:val="nil"/>
              <w:bottom w:val="single" w:color="000000" w:sz="4" w:space="0"/>
              <w:right w:val="nil"/>
            </w:tcBorders>
            <w:shd w:val="clear" w:color="auto" w:fill="FFFFFF"/>
          </w:tcPr>
          <w:p w14:paraId="090CA95B">
            <w:pPr>
              <w:pStyle w:val="24"/>
              <w:rPr>
                <w:b w:val="0"/>
                <w:color w:val="000000"/>
                <w:sz w:val="24"/>
                <w:szCs w:val="24"/>
              </w:rPr>
            </w:pPr>
            <w:r>
              <w:rPr>
                <w:rFonts w:hint="eastAsia"/>
                <w:b w:val="0"/>
                <w:color w:val="000000"/>
                <w:sz w:val="24"/>
                <w:szCs w:val="24"/>
              </w:rPr>
              <w:t>代码</w:t>
            </w:r>
          </w:p>
        </w:tc>
        <w:tc>
          <w:tcPr>
            <w:tcBorders>
              <w:top w:val="single" w:color="000000" w:sz="12" w:space="0"/>
              <w:left w:val="nil"/>
              <w:bottom w:val="single" w:color="000000" w:sz="4" w:space="0"/>
              <w:right w:val="nil"/>
            </w:tcBorders>
            <w:shd w:val="clear" w:color="auto" w:fill="FFFFFF"/>
          </w:tcPr>
          <w:p w14:paraId="42AF18A3">
            <w:pPr>
              <w:pStyle w:val="24"/>
              <w:rPr>
                <w:b w:val="0"/>
                <w:color w:val="000000"/>
                <w:sz w:val="24"/>
                <w:szCs w:val="24"/>
              </w:rPr>
            </w:pPr>
            <w:r>
              <w:rPr>
                <w:rFonts w:hint="eastAsia"/>
                <w:b w:val="0"/>
                <w:color w:val="000000"/>
                <w:sz w:val="24"/>
                <w:szCs w:val="24"/>
              </w:rPr>
              <w:t>名称</w:t>
            </w:r>
          </w:p>
        </w:tc>
        <w:tc>
          <w:tcPr>
            <w:tcBorders>
              <w:top w:val="single" w:color="000000" w:sz="12" w:space="0"/>
              <w:left w:val="nil"/>
              <w:bottom w:val="single" w:color="000000" w:sz="4" w:space="0"/>
              <w:right w:val="nil"/>
            </w:tcBorders>
            <w:shd w:val="clear" w:color="auto" w:fill="FFFFFF"/>
          </w:tcPr>
          <w:p w14:paraId="52F9499D">
            <w:pPr>
              <w:pStyle w:val="24"/>
              <w:rPr>
                <w:b w:val="0"/>
                <w:color w:val="000000"/>
                <w:sz w:val="24"/>
                <w:szCs w:val="24"/>
              </w:rPr>
            </w:pPr>
            <w:r>
              <w:rPr>
                <w:rFonts w:hint="eastAsia"/>
                <w:b w:val="0"/>
                <w:color w:val="000000"/>
                <w:sz w:val="24"/>
                <w:szCs w:val="24"/>
              </w:rPr>
              <w:t>行业</w:t>
            </w:r>
          </w:p>
        </w:tc>
        <w:tc>
          <w:tcPr>
            <w:tcBorders>
              <w:top w:val="single" w:color="000000" w:sz="12" w:space="0"/>
              <w:left w:val="nil"/>
              <w:bottom w:val="single" w:color="000000" w:sz="4" w:space="0"/>
              <w:right w:val="nil"/>
            </w:tcBorders>
            <w:shd w:val="clear" w:color="auto" w:fill="FFFFFF"/>
          </w:tcPr>
          <w:p w14:paraId="77D1C134">
            <w:pPr>
              <w:pStyle w:val="24"/>
              <w:rPr>
                <w:b w:val="0"/>
                <w:color w:val="000000"/>
                <w:sz w:val="24"/>
                <w:szCs w:val="24"/>
              </w:rPr>
            </w:pPr>
            <w:r>
              <w:rPr>
                <w:rFonts w:hint="eastAsia"/>
                <w:b w:val="0"/>
                <w:color w:val="000000"/>
                <w:sz w:val="24"/>
                <w:szCs w:val="24"/>
              </w:rPr>
              <w:t>入选理由</w:t>
            </w:r>
          </w:p>
        </w:tc>
        <w:tc>
          <w:tcPr>
            <w:tcBorders>
              <w:top w:val="single" w:color="000000" w:sz="12" w:space="0"/>
              <w:left w:val="nil"/>
              <w:bottom w:val="single" w:color="000000" w:sz="4" w:space="0"/>
              <w:right w:val="nil"/>
            </w:tcBorders>
            <w:shd w:val="clear" w:color="auto" w:fill="FFFFFF"/>
          </w:tcPr>
          <w:p w14:paraId="349EE629">
            <w:pPr>
              <w:pStyle w:val="24"/>
              <w:rPr>
                <w:b w:val="0"/>
                <w:color w:val="000000"/>
                <w:sz w:val="24"/>
                <w:szCs w:val="24"/>
              </w:rPr>
            </w:pPr>
            <w:r>
              <w:rPr>
                <w:rFonts w:hint="eastAsia"/>
                <w:b w:val="0"/>
                <w:color w:val="000000"/>
                <w:sz w:val="24"/>
                <w:szCs w:val="24"/>
              </w:rPr>
              <w:t>VQM入选次数</w:t>
            </w:r>
          </w:p>
        </w:tc>
        <w:tc>
          <w:tcPr>
            <w:tcBorders>
              <w:top w:val="single" w:color="000000" w:sz="12" w:space="0"/>
              <w:left w:val="nil"/>
              <w:bottom w:val="single" w:color="000000" w:sz="4" w:space="0"/>
              <w:right w:val="nil"/>
            </w:tcBorders>
            <w:shd w:val="clear" w:color="auto" w:fill="FFFFFF"/>
          </w:tcPr>
          <w:p w14:paraId="352F28E8">
            <w:pPr>
              <w:pStyle w:val="24"/>
              <w:rPr>
                <w:b w:val="0"/>
                <w:color w:val="000000"/>
                <w:sz w:val="24"/>
                <w:szCs w:val="24"/>
              </w:rPr>
            </w:pPr>
            <w:r>
              <w:rPr>
                <w:rFonts w:hint="eastAsia"/>
                <w:b w:val="0"/>
                <w:color w:val="000000"/>
                <w:sz w:val="24"/>
                <w:szCs w:val="24"/>
              </w:rPr>
              <w:t>主观选择是否进入10只</w:t>
            </w:r>
          </w:p>
        </w:tc>
      </w:tr>
      <w:tr w14:paraId="31302768">
        <w:tc>
          <w:tcPr>
            <w:tcBorders>
              <w:top w:val="single" w:color="000000" w:sz="4" w:space="0"/>
              <w:left w:val="nil"/>
              <w:bottom w:val="nil"/>
              <w:right w:val="nil"/>
            </w:tcBorders>
            <w:shd w:val="clear" w:color="auto" w:fill="FFFFFF"/>
          </w:tcPr>
          <w:p w14:paraId="7CDA20EA">
            <w:pPr>
              <w:pStyle w:val="24"/>
              <w:rPr>
                <w:b w:val="0"/>
                <w:color w:val="000000"/>
                <w:sz w:val="24"/>
                <w:szCs w:val="24"/>
              </w:rPr>
            </w:pPr>
            <w:r>
              <w:rPr>
                <w:b w:val="0"/>
                <w:color w:val="000000"/>
                <w:sz w:val="24"/>
                <w:szCs w:val="24"/>
              </w:rPr>
              <w:t>1</w:t>
            </w:r>
          </w:p>
        </w:tc>
        <w:tc>
          <w:tcPr>
            <w:tcBorders>
              <w:top w:val="single" w:color="000000" w:sz="4" w:space="0"/>
              <w:left w:val="nil"/>
              <w:bottom w:val="nil"/>
              <w:right w:val="nil"/>
            </w:tcBorders>
            <w:shd w:val="clear" w:color="auto" w:fill="FFFFFF"/>
          </w:tcPr>
          <w:p w14:paraId="095F2CA8">
            <w:pPr>
              <w:pStyle w:val="24"/>
              <w:rPr>
                <w:b w:val="0"/>
                <w:color w:val="000000"/>
                <w:sz w:val="24"/>
                <w:szCs w:val="24"/>
              </w:rPr>
            </w:pPr>
            <w:r>
              <w:rPr>
                <w:b w:val="0"/>
                <w:color w:val="000000"/>
                <w:sz w:val="24"/>
                <w:szCs w:val="24"/>
              </w:rPr>
              <w:t>600085</w:t>
            </w:r>
          </w:p>
        </w:tc>
        <w:tc>
          <w:tcPr>
            <w:tcBorders>
              <w:top w:val="single" w:color="000000" w:sz="4" w:space="0"/>
              <w:left w:val="nil"/>
              <w:bottom w:val="nil"/>
              <w:right w:val="nil"/>
            </w:tcBorders>
            <w:shd w:val="clear" w:color="auto" w:fill="FFFFFF"/>
          </w:tcPr>
          <w:p w14:paraId="43E5FD9E">
            <w:pPr>
              <w:pStyle w:val="24"/>
              <w:rPr>
                <w:b w:val="0"/>
                <w:color w:val="000000"/>
                <w:sz w:val="24"/>
                <w:szCs w:val="24"/>
              </w:rPr>
            </w:pPr>
            <w:r>
              <w:rPr>
                <w:rFonts w:hint="eastAsia"/>
                <w:b w:val="0"/>
                <w:color w:val="000000"/>
                <w:sz w:val="24"/>
                <w:szCs w:val="24"/>
              </w:rPr>
              <w:t>同仁堂</w:t>
            </w:r>
          </w:p>
        </w:tc>
        <w:tc>
          <w:tcPr>
            <w:tcBorders>
              <w:top w:val="single" w:color="000000" w:sz="4" w:space="0"/>
              <w:left w:val="nil"/>
              <w:bottom w:val="nil"/>
              <w:right w:val="nil"/>
            </w:tcBorders>
            <w:shd w:val="clear" w:color="auto" w:fill="FFFFFF"/>
          </w:tcPr>
          <w:p w14:paraId="1961ABBE">
            <w:pPr>
              <w:pStyle w:val="24"/>
              <w:rPr>
                <w:b w:val="0"/>
                <w:color w:val="000000"/>
                <w:sz w:val="24"/>
                <w:szCs w:val="24"/>
              </w:rPr>
            </w:pPr>
            <w:r>
              <w:rPr>
                <w:rFonts w:hint="eastAsia"/>
                <w:b w:val="0"/>
                <w:color w:val="000000"/>
                <w:sz w:val="24"/>
                <w:szCs w:val="24"/>
              </w:rPr>
              <w:t>医药/中药</w:t>
            </w:r>
          </w:p>
        </w:tc>
        <w:tc>
          <w:tcPr>
            <w:tcBorders>
              <w:top w:val="single" w:color="000000" w:sz="4" w:space="0"/>
              <w:left w:val="nil"/>
              <w:bottom w:val="nil"/>
              <w:right w:val="nil"/>
            </w:tcBorders>
            <w:shd w:val="clear" w:color="auto" w:fill="FFFFFF"/>
          </w:tcPr>
          <w:p w14:paraId="7124B6A4">
            <w:pPr>
              <w:pStyle w:val="24"/>
              <w:rPr>
                <w:b w:val="0"/>
                <w:color w:val="000000"/>
                <w:sz w:val="24"/>
                <w:szCs w:val="24"/>
              </w:rPr>
            </w:pPr>
            <w:r>
              <w:rPr>
                <w:rFonts w:hint="eastAsia"/>
                <w:b w:val="0"/>
                <w:color w:val="000000"/>
                <w:sz w:val="24"/>
                <w:szCs w:val="24"/>
              </w:rPr>
              <w:t>中成药全产业链，品牌壁垒深厚</w:t>
            </w:r>
          </w:p>
        </w:tc>
        <w:tc>
          <w:tcPr>
            <w:tcBorders>
              <w:top w:val="single" w:color="000000" w:sz="4" w:space="0"/>
              <w:left w:val="nil"/>
              <w:bottom w:val="nil"/>
              <w:right w:val="nil"/>
            </w:tcBorders>
            <w:shd w:val="clear" w:color="auto" w:fill="FFFFFF"/>
          </w:tcPr>
          <w:p w14:paraId="29077810">
            <w:pPr>
              <w:pStyle w:val="24"/>
              <w:rPr>
                <w:b w:val="0"/>
                <w:color w:val="000000"/>
                <w:sz w:val="24"/>
                <w:szCs w:val="24"/>
              </w:rPr>
            </w:pPr>
            <w:r>
              <w:rPr>
                <w:b w:val="0"/>
                <w:color w:val="000000"/>
                <w:sz w:val="24"/>
                <w:szCs w:val="24"/>
              </w:rPr>
              <w:t>0</w:t>
            </w:r>
          </w:p>
        </w:tc>
        <w:tc>
          <w:tcPr>
            <w:tcBorders>
              <w:top w:val="single" w:color="000000" w:sz="4" w:space="0"/>
              <w:left w:val="nil"/>
              <w:bottom w:val="nil"/>
              <w:right w:val="nil"/>
            </w:tcBorders>
            <w:shd w:val="clear" w:color="auto" w:fill="FFFFFF"/>
          </w:tcPr>
          <w:p w14:paraId="32946542">
            <w:pPr>
              <w:pStyle w:val="24"/>
              <w:rPr>
                <w:b w:val="0"/>
                <w:color w:val="000000"/>
                <w:sz w:val="24"/>
                <w:szCs w:val="24"/>
              </w:rPr>
            </w:pPr>
            <w:r>
              <w:rPr>
                <w:rFonts w:hint="eastAsia"/>
                <w:b w:val="0"/>
                <w:color w:val="000000"/>
                <w:sz w:val="24"/>
                <w:szCs w:val="24"/>
              </w:rPr>
              <w:t>是</w:t>
            </w:r>
          </w:p>
        </w:tc>
      </w:tr>
      <w:tr w14:paraId="27C7BD6F">
        <w:tc>
          <w:tcPr>
            <w:tcBorders>
              <w:top w:val="nil"/>
              <w:left w:val="nil"/>
              <w:bottom w:val="nil"/>
              <w:right w:val="nil"/>
            </w:tcBorders>
            <w:shd w:val="clear" w:color="auto" w:fill="FFFFFF"/>
          </w:tcPr>
          <w:p w14:paraId="0F59E5FA">
            <w:pPr>
              <w:pStyle w:val="24"/>
              <w:rPr>
                <w:b w:val="0"/>
                <w:color w:val="000000"/>
                <w:sz w:val="24"/>
                <w:szCs w:val="24"/>
              </w:rPr>
            </w:pPr>
            <w:r>
              <w:rPr>
                <w:b w:val="0"/>
                <w:color w:val="000000"/>
                <w:sz w:val="24"/>
                <w:szCs w:val="24"/>
              </w:rPr>
              <w:t>2</w:t>
            </w:r>
          </w:p>
        </w:tc>
        <w:tc>
          <w:tcPr>
            <w:tcBorders>
              <w:top w:val="nil"/>
              <w:left w:val="nil"/>
              <w:bottom w:val="nil"/>
              <w:right w:val="nil"/>
            </w:tcBorders>
            <w:shd w:val="clear" w:color="auto" w:fill="FFFFFF"/>
          </w:tcPr>
          <w:p w14:paraId="3E80C81B">
            <w:pPr>
              <w:pStyle w:val="24"/>
              <w:rPr>
                <w:b w:val="0"/>
                <w:color w:val="000000"/>
                <w:sz w:val="24"/>
                <w:szCs w:val="24"/>
              </w:rPr>
            </w:pPr>
            <w:r>
              <w:rPr>
                <w:b w:val="0"/>
                <w:color w:val="000000"/>
                <w:sz w:val="24"/>
                <w:szCs w:val="24"/>
              </w:rPr>
              <w:t>600436</w:t>
            </w:r>
          </w:p>
        </w:tc>
        <w:tc>
          <w:tcPr>
            <w:tcBorders>
              <w:top w:val="nil"/>
              <w:left w:val="nil"/>
              <w:bottom w:val="nil"/>
              <w:right w:val="nil"/>
            </w:tcBorders>
            <w:shd w:val="clear" w:color="auto" w:fill="FFFFFF"/>
          </w:tcPr>
          <w:p w14:paraId="37AD70C7">
            <w:pPr>
              <w:pStyle w:val="24"/>
              <w:rPr>
                <w:b w:val="0"/>
                <w:color w:val="000000"/>
                <w:sz w:val="24"/>
                <w:szCs w:val="24"/>
              </w:rPr>
            </w:pPr>
            <w:r>
              <w:rPr>
                <w:rFonts w:hint="eastAsia"/>
                <w:b w:val="0"/>
                <w:color w:val="000000"/>
                <w:sz w:val="24"/>
                <w:szCs w:val="24"/>
              </w:rPr>
              <w:t>片仔癀</w:t>
            </w:r>
          </w:p>
        </w:tc>
        <w:tc>
          <w:tcPr>
            <w:tcBorders>
              <w:top w:val="nil"/>
              <w:left w:val="nil"/>
              <w:bottom w:val="nil"/>
              <w:right w:val="nil"/>
            </w:tcBorders>
            <w:shd w:val="clear" w:color="auto" w:fill="FFFFFF"/>
          </w:tcPr>
          <w:p w14:paraId="47B93255">
            <w:pPr>
              <w:pStyle w:val="24"/>
              <w:rPr>
                <w:b w:val="0"/>
                <w:color w:val="000000"/>
                <w:sz w:val="24"/>
                <w:szCs w:val="24"/>
              </w:rPr>
            </w:pPr>
            <w:r>
              <w:rPr>
                <w:rFonts w:hint="eastAsia"/>
                <w:b w:val="0"/>
                <w:color w:val="000000"/>
                <w:sz w:val="24"/>
                <w:szCs w:val="24"/>
              </w:rPr>
              <w:t>医药/中药</w:t>
            </w:r>
          </w:p>
        </w:tc>
        <w:tc>
          <w:tcPr>
            <w:tcBorders>
              <w:top w:val="nil"/>
              <w:left w:val="nil"/>
              <w:bottom w:val="nil"/>
              <w:right w:val="nil"/>
            </w:tcBorders>
            <w:shd w:val="clear" w:color="auto" w:fill="FFFFFF"/>
          </w:tcPr>
          <w:p w14:paraId="6BB87227">
            <w:pPr>
              <w:pStyle w:val="24"/>
              <w:rPr>
                <w:b w:val="0"/>
                <w:color w:val="000000"/>
                <w:sz w:val="24"/>
                <w:szCs w:val="24"/>
              </w:rPr>
            </w:pPr>
            <w:r>
              <w:rPr>
                <w:rFonts w:hint="eastAsia"/>
                <w:b w:val="0"/>
                <w:color w:val="000000"/>
                <w:sz w:val="24"/>
                <w:szCs w:val="24"/>
              </w:rPr>
              <w:t>绝密配方，高单价高现金流</w:t>
            </w:r>
          </w:p>
        </w:tc>
        <w:tc>
          <w:tcPr>
            <w:tcBorders>
              <w:top w:val="nil"/>
              <w:left w:val="nil"/>
              <w:bottom w:val="nil"/>
              <w:right w:val="nil"/>
            </w:tcBorders>
            <w:shd w:val="clear" w:color="auto" w:fill="FFFFFF"/>
          </w:tcPr>
          <w:p w14:paraId="751ACE68">
            <w:pPr>
              <w:pStyle w:val="24"/>
              <w:rPr>
                <w:b w:val="0"/>
                <w:color w:val="000000"/>
                <w:sz w:val="24"/>
                <w:szCs w:val="24"/>
              </w:rPr>
            </w:pPr>
            <w:r>
              <w:rPr>
                <w:b w:val="0"/>
                <w:color w:val="000000"/>
                <w:sz w:val="24"/>
                <w:szCs w:val="24"/>
              </w:rPr>
              <w:t>0</w:t>
            </w:r>
          </w:p>
        </w:tc>
        <w:tc>
          <w:tcPr>
            <w:tcBorders>
              <w:top w:val="nil"/>
              <w:left w:val="nil"/>
              <w:bottom w:val="nil"/>
              <w:right w:val="nil"/>
            </w:tcBorders>
            <w:shd w:val="clear" w:color="auto" w:fill="FFFFFF"/>
          </w:tcPr>
          <w:p w14:paraId="223723CA">
            <w:pPr>
              <w:pStyle w:val="24"/>
              <w:rPr>
                <w:b w:val="0"/>
                <w:color w:val="000000"/>
                <w:sz w:val="24"/>
                <w:szCs w:val="24"/>
              </w:rPr>
            </w:pPr>
            <w:r>
              <w:rPr>
                <w:rFonts w:hint="eastAsia"/>
                <w:b w:val="0"/>
                <w:color w:val="000000"/>
                <w:sz w:val="24"/>
                <w:szCs w:val="24"/>
              </w:rPr>
              <w:t>否</w:t>
            </w:r>
          </w:p>
        </w:tc>
      </w:tr>
      <w:tr w14:paraId="35E34E0E">
        <w:tc>
          <w:tcPr>
            <w:tcBorders>
              <w:top w:val="nil"/>
              <w:left w:val="nil"/>
              <w:bottom w:val="nil"/>
              <w:right w:val="nil"/>
            </w:tcBorders>
            <w:shd w:val="clear" w:color="auto" w:fill="FFFFFF"/>
          </w:tcPr>
          <w:p w14:paraId="451DE45F">
            <w:pPr>
              <w:pStyle w:val="24"/>
              <w:rPr>
                <w:b w:val="0"/>
                <w:color w:val="000000"/>
                <w:sz w:val="24"/>
                <w:szCs w:val="24"/>
              </w:rPr>
            </w:pPr>
            <w:r>
              <w:rPr>
                <w:b w:val="0"/>
                <w:color w:val="000000"/>
                <w:sz w:val="24"/>
                <w:szCs w:val="24"/>
              </w:rPr>
              <w:t>3</w:t>
            </w:r>
          </w:p>
        </w:tc>
        <w:tc>
          <w:tcPr>
            <w:tcBorders>
              <w:top w:val="nil"/>
              <w:left w:val="nil"/>
              <w:bottom w:val="nil"/>
              <w:right w:val="nil"/>
            </w:tcBorders>
            <w:shd w:val="clear" w:color="auto" w:fill="FFFFFF"/>
          </w:tcPr>
          <w:p w14:paraId="627290D6">
            <w:pPr>
              <w:pStyle w:val="24"/>
              <w:rPr>
                <w:b w:val="0"/>
                <w:color w:val="000000"/>
                <w:sz w:val="24"/>
                <w:szCs w:val="24"/>
              </w:rPr>
            </w:pPr>
            <w:r>
              <w:rPr>
                <w:b w:val="0"/>
                <w:color w:val="000000"/>
                <w:sz w:val="24"/>
                <w:szCs w:val="24"/>
              </w:rPr>
              <w:t>600329</w:t>
            </w:r>
          </w:p>
        </w:tc>
        <w:tc>
          <w:tcPr>
            <w:tcBorders>
              <w:top w:val="nil"/>
              <w:left w:val="nil"/>
              <w:bottom w:val="nil"/>
              <w:right w:val="nil"/>
            </w:tcBorders>
            <w:shd w:val="clear" w:color="auto" w:fill="FFFFFF"/>
          </w:tcPr>
          <w:p w14:paraId="7F661465">
            <w:pPr>
              <w:pStyle w:val="24"/>
              <w:rPr>
                <w:b w:val="0"/>
                <w:color w:val="000000"/>
                <w:sz w:val="24"/>
                <w:szCs w:val="24"/>
              </w:rPr>
            </w:pPr>
            <w:r>
              <w:rPr>
                <w:rFonts w:hint="eastAsia"/>
                <w:b w:val="0"/>
                <w:color w:val="000000"/>
                <w:sz w:val="24"/>
                <w:szCs w:val="24"/>
              </w:rPr>
              <w:t>达仁堂</w:t>
            </w:r>
          </w:p>
        </w:tc>
        <w:tc>
          <w:tcPr>
            <w:tcBorders>
              <w:top w:val="nil"/>
              <w:left w:val="nil"/>
              <w:bottom w:val="nil"/>
              <w:right w:val="nil"/>
            </w:tcBorders>
            <w:shd w:val="clear" w:color="auto" w:fill="FFFFFF"/>
          </w:tcPr>
          <w:p w14:paraId="67122EBB">
            <w:pPr>
              <w:pStyle w:val="24"/>
              <w:rPr>
                <w:b w:val="0"/>
                <w:color w:val="000000"/>
                <w:sz w:val="24"/>
                <w:szCs w:val="24"/>
              </w:rPr>
            </w:pPr>
            <w:r>
              <w:rPr>
                <w:rFonts w:hint="eastAsia"/>
                <w:b w:val="0"/>
                <w:color w:val="000000"/>
                <w:sz w:val="24"/>
                <w:szCs w:val="24"/>
              </w:rPr>
              <w:t>医药/中药</w:t>
            </w:r>
          </w:p>
        </w:tc>
        <w:tc>
          <w:tcPr>
            <w:tcBorders>
              <w:top w:val="nil"/>
              <w:left w:val="nil"/>
              <w:bottom w:val="nil"/>
              <w:right w:val="nil"/>
            </w:tcBorders>
            <w:shd w:val="clear" w:color="auto" w:fill="FFFFFF"/>
          </w:tcPr>
          <w:p w14:paraId="5FE6333F">
            <w:pPr>
              <w:pStyle w:val="24"/>
              <w:rPr>
                <w:b w:val="0"/>
                <w:color w:val="000000"/>
                <w:sz w:val="24"/>
                <w:szCs w:val="24"/>
              </w:rPr>
            </w:pPr>
            <w:r>
              <w:rPr>
                <w:rFonts w:hint="eastAsia"/>
                <w:b w:val="0"/>
                <w:color w:val="000000"/>
                <w:sz w:val="24"/>
                <w:szCs w:val="24"/>
              </w:rPr>
              <w:t>独家品种丰富，速效救心丸</w:t>
            </w:r>
          </w:p>
        </w:tc>
        <w:tc>
          <w:tcPr>
            <w:tcBorders>
              <w:top w:val="nil"/>
              <w:left w:val="nil"/>
              <w:bottom w:val="nil"/>
              <w:right w:val="nil"/>
            </w:tcBorders>
            <w:shd w:val="clear" w:color="auto" w:fill="FFFFFF"/>
          </w:tcPr>
          <w:p w14:paraId="444928B5">
            <w:pPr>
              <w:pStyle w:val="24"/>
              <w:rPr>
                <w:b w:val="0"/>
                <w:color w:val="000000"/>
                <w:sz w:val="24"/>
                <w:szCs w:val="24"/>
              </w:rPr>
            </w:pPr>
            <w:r>
              <w:rPr>
                <w:b w:val="0"/>
                <w:color w:val="000000"/>
                <w:sz w:val="24"/>
                <w:szCs w:val="24"/>
              </w:rPr>
              <w:t>6</w:t>
            </w:r>
          </w:p>
        </w:tc>
        <w:tc>
          <w:tcPr>
            <w:tcBorders>
              <w:top w:val="nil"/>
              <w:left w:val="nil"/>
              <w:bottom w:val="nil"/>
              <w:right w:val="nil"/>
            </w:tcBorders>
            <w:shd w:val="clear" w:color="auto" w:fill="FFFFFF"/>
          </w:tcPr>
          <w:p w14:paraId="0422B316">
            <w:pPr>
              <w:pStyle w:val="24"/>
              <w:rPr>
                <w:b w:val="0"/>
                <w:color w:val="000000"/>
                <w:sz w:val="24"/>
                <w:szCs w:val="24"/>
              </w:rPr>
            </w:pPr>
            <w:r>
              <w:rPr>
                <w:rFonts w:hint="eastAsia"/>
                <w:b w:val="0"/>
                <w:color w:val="000000"/>
                <w:sz w:val="24"/>
                <w:szCs w:val="24"/>
              </w:rPr>
              <w:t>否</w:t>
            </w:r>
          </w:p>
        </w:tc>
      </w:tr>
      <w:tr w14:paraId="5535D082">
        <w:tc>
          <w:tcPr>
            <w:tcBorders>
              <w:top w:val="nil"/>
              <w:left w:val="nil"/>
              <w:bottom w:val="nil"/>
              <w:right w:val="nil"/>
            </w:tcBorders>
            <w:shd w:val="clear" w:color="auto" w:fill="FFFFFF"/>
          </w:tcPr>
          <w:p w14:paraId="00C1D39B">
            <w:pPr>
              <w:pStyle w:val="24"/>
              <w:rPr>
                <w:b w:val="0"/>
                <w:color w:val="000000"/>
                <w:sz w:val="24"/>
                <w:szCs w:val="24"/>
              </w:rPr>
            </w:pPr>
            <w:r>
              <w:rPr>
                <w:b w:val="0"/>
                <w:color w:val="000000"/>
                <w:sz w:val="24"/>
                <w:szCs w:val="24"/>
              </w:rPr>
              <w:t>4</w:t>
            </w:r>
          </w:p>
        </w:tc>
        <w:tc>
          <w:tcPr>
            <w:tcBorders>
              <w:top w:val="nil"/>
              <w:left w:val="nil"/>
              <w:bottom w:val="nil"/>
              <w:right w:val="nil"/>
            </w:tcBorders>
            <w:shd w:val="clear" w:color="auto" w:fill="FFFFFF"/>
          </w:tcPr>
          <w:p w14:paraId="7059307E">
            <w:pPr>
              <w:pStyle w:val="24"/>
              <w:rPr>
                <w:b w:val="0"/>
                <w:color w:val="000000"/>
                <w:sz w:val="24"/>
                <w:szCs w:val="24"/>
              </w:rPr>
            </w:pPr>
            <w:r>
              <w:rPr>
                <w:b w:val="0"/>
                <w:color w:val="000000"/>
                <w:sz w:val="24"/>
                <w:szCs w:val="24"/>
              </w:rPr>
              <w:t>002287</w:t>
            </w:r>
          </w:p>
        </w:tc>
        <w:tc>
          <w:tcPr>
            <w:tcBorders>
              <w:top w:val="nil"/>
              <w:left w:val="nil"/>
              <w:bottom w:val="nil"/>
              <w:right w:val="nil"/>
            </w:tcBorders>
            <w:shd w:val="clear" w:color="auto" w:fill="FFFFFF"/>
          </w:tcPr>
          <w:p w14:paraId="3D2042D4">
            <w:pPr>
              <w:pStyle w:val="24"/>
              <w:rPr>
                <w:b w:val="0"/>
                <w:color w:val="000000"/>
                <w:sz w:val="24"/>
                <w:szCs w:val="24"/>
              </w:rPr>
            </w:pPr>
            <w:r>
              <w:rPr>
                <w:rFonts w:hint="eastAsia"/>
                <w:b w:val="0"/>
                <w:color w:val="000000"/>
                <w:sz w:val="24"/>
                <w:szCs w:val="24"/>
              </w:rPr>
              <w:t>奇正藏药</w:t>
            </w:r>
          </w:p>
        </w:tc>
        <w:tc>
          <w:tcPr>
            <w:tcBorders>
              <w:top w:val="nil"/>
              <w:left w:val="nil"/>
              <w:bottom w:val="nil"/>
              <w:right w:val="nil"/>
            </w:tcBorders>
            <w:shd w:val="clear" w:color="auto" w:fill="FFFFFF"/>
          </w:tcPr>
          <w:p w14:paraId="78146199">
            <w:pPr>
              <w:pStyle w:val="24"/>
              <w:rPr>
                <w:b w:val="0"/>
                <w:color w:val="000000"/>
                <w:sz w:val="24"/>
                <w:szCs w:val="24"/>
              </w:rPr>
            </w:pPr>
            <w:r>
              <w:rPr>
                <w:rFonts w:hint="eastAsia"/>
                <w:b w:val="0"/>
                <w:color w:val="000000"/>
                <w:sz w:val="24"/>
                <w:szCs w:val="24"/>
              </w:rPr>
              <w:t>医药/中药</w:t>
            </w:r>
          </w:p>
        </w:tc>
        <w:tc>
          <w:tcPr>
            <w:tcBorders>
              <w:top w:val="nil"/>
              <w:left w:val="nil"/>
              <w:bottom w:val="nil"/>
              <w:right w:val="nil"/>
            </w:tcBorders>
            <w:shd w:val="clear" w:color="auto" w:fill="FFFFFF"/>
          </w:tcPr>
          <w:p w14:paraId="467CD9B1">
            <w:pPr>
              <w:pStyle w:val="24"/>
              <w:rPr>
                <w:b w:val="0"/>
                <w:color w:val="000000"/>
                <w:sz w:val="24"/>
                <w:szCs w:val="24"/>
              </w:rPr>
            </w:pPr>
            <w:r>
              <w:rPr>
                <w:rFonts w:hint="eastAsia"/>
                <w:b w:val="0"/>
                <w:color w:val="000000"/>
                <w:sz w:val="24"/>
                <w:szCs w:val="24"/>
              </w:rPr>
              <w:t>藏药龙头，独家品种</w:t>
            </w:r>
          </w:p>
        </w:tc>
        <w:tc>
          <w:tcPr>
            <w:tcBorders>
              <w:top w:val="nil"/>
              <w:left w:val="nil"/>
              <w:bottom w:val="nil"/>
              <w:right w:val="nil"/>
            </w:tcBorders>
            <w:shd w:val="clear" w:color="auto" w:fill="FFFFFF"/>
          </w:tcPr>
          <w:p w14:paraId="3FC57FFA">
            <w:pPr>
              <w:pStyle w:val="24"/>
              <w:rPr>
                <w:b w:val="0"/>
                <w:color w:val="000000"/>
                <w:sz w:val="24"/>
                <w:szCs w:val="24"/>
              </w:rPr>
            </w:pPr>
            <w:r>
              <w:rPr>
                <w:b w:val="0"/>
                <w:color w:val="000000"/>
                <w:sz w:val="24"/>
                <w:szCs w:val="24"/>
              </w:rPr>
              <w:t>1</w:t>
            </w:r>
          </w:p>
        </w:tc>
        <w:tc>
          <w:tcPr>
            <w:tcBorders>
              <w:top w:val="nil"/>
              <w:left w:val="nil"/>
              <w:bottom w:val="nil"/>
              <w:right w:val="nil"/>
            </w:tcBorders>
            <w:shd w:val="clear" w:color="auto" w:fill="FFFFFF"/>
          </w:tcPr>
          <w:p w14:paraId="204FC173">
            <w:pPr>
              <w:pStyle w:val="24"/>
              <w:rPr>
                <w:b w:val="0"/>
                <w:color w:val="000000"/>
                <w:sz w:val="24"/>
                <w:szCs w:val="24"/>
              </w:rPr>
            </w:pPr>
            <w:r>
              <w:rPr>
                <w:rFonts w:hint="eastAsia"/>
                <w:b w:val="0"/>
                <w:color w:val="000000"/>
                <w:sz w:val="24"/>
                <w:szCs w:val="24"/>
              </w:rPr>
              <w:t>是</w:t>
            </w:r>
          </w:p>
        </w:tc>
      </w:tr>
      <w:tr w14:paraId="26631DF2">
        <w:tc>
          <w:tcPr>
            <w:tcBorders>
              <w:top w:val="nil"/>
              <w:left w:val="nil"/>
              <w:bottom w:val="nil"/>
              <w:right w:val="nil"/>
            </w:tcBorders>
            <w:shd w:val="clear" w:color="auto" w:fill="FFFFFF"/>
          </w:tcPr>
          <w:p w14:paraId="7898681C">
            <w:pPr>
              <w:pStyle w:val="24"/>
              <w:rPr>
                <w:b w:val="0"/>
                <w:color w:val="000000"/>
                <w:sz w:val="24"/>
                <w:szCs w:val="24"/>
              </w:rPr>
            </w:pPr>
            <w:r>
              <w:rPr>
                <w:b w:val="0"/>
                <w:color w:val="000000"/>
                <w:sz w:val="24"/>
                <w:szCs w:val="24"/>
              </w:rPr>
              <w:t>5</w:t>
            </w:r>
          </w:p>
        </w:tc>
        <w:tc>
          <w:tcPr>
            <w:tcBorders>
              <w:top w:val="nil"/>
              <w:left w:val="nil"/>
              <w:bottom w:val="nil"/>
              <w:right w:val="nil"/>
            </w:tcBorders>
            <w:shd w:val="clear" w:color="auto" w:fill="FFFFFF"/>
          </w:tcPr>
          <w:p w14:paraId="2BC37897">
            <w:pPr>
              <w:pStyle w:val="24"/>
              <w:rPr>
                <w:b w:val="0"/>
                <w:color w:val="000000"/>
                <w:sz w:val="24"/>
                <w:szCs w:val="24"/>
              </w:rPr>
            </w:pPr>
            <w:r>
              <w:rPr>
                <w:b w:val="0"/>
                <w:color w:val="000000"/>
                <w:sz w:val="24"/>
                <w:szCs w:val="24"/>
              </w:rPr>
              <w:t>603986</w:t>
            </w:r>
          </w:p>
        </w:tc>
        <w:tc>
          <w:tcPr>
            <w:tcBorders>
              <w:top w:val="nil"/>
              <w:left w:val="nil"/>
              <w:bottom w:val="nil"/>
              <w:right w:val="nil"/>
            </w:tcBorders>
            <w:shd w:val="clear" w:color="auto" w:fill="FFFFFF"/>
          </w:tcPr>
          <w:p w14:paraId="1BC620A5">
            <w:pPr>
              <w:pStyle w:val="24"/>
              <w:rPr>
                <w:b w:val="0"/>
                <w:color w:val="000000"/>
                <w:sz w:val="24"/>
                <w:szCs w:val="24"/>
              </w:rPr>
            </w:pPr>
            <w:r>
              <w:rPr>
                <w:rFonts w:hint="eastAsia"/>
                <w:b w:val="0"/>
                <w:color w:val="000000"/>
                <w:sz w:val="24"/>
                <w:szCs w:val="24"/>
              </w:rPr>
              <w:t>兆易创新</w:t>
            </w:r>
          </w:p>
        </w:tc>
        <w:tc>
          <w:tcPr>
            <w:tcBorders>
              <w:top w:val="nil"/>
              <w:left w:val="nil"/>
              <w:bottom w:val="nil"/>
              <w:right w:val="nil"/>
            </w:tcBorders>
            <w:shd w:val="clear" w:color="auto" w:fill="FFFFFF"/>
          </w:tcPr>
          <w:p w14:paraId="2E8017B0">
            <w:pPr>
              <w:pStyle w:val="24"/>
              <w:rPr>
                <w:b w:val="0"/>
                <w:color w:val="000000"/>
                <w:sz w:val="24"/>
                <w:szCs w:val="24"/>
              </w:rPr>
            </w:pPr>
            <w:r>
              <w:rPr>
                <w:rFonts w:hint="eastAsia"/>
                <w:b w:val="0"/>
                <w:color w:val="000000"/>
                <w:sz w:val="24"/>
                <w:szCs w:val="24"/>
              </w:rPr>
              <w:t>半导体/存储芯片设计</w:t>
            </w:r>
          </w:p>
        </w:tc>
        <w:tc>
          <w:tcPr>
            <w:tcBorders>
              <w:top w:val="nil"/>
              <w:left w:val="nil"/>
              <w:bottom w:val="nil"/>
              <w:right w:val="nil"/>
            </w:tcBorders>
            <w:shd w:val="clear" w:color="auto" w:fill="FFFFFF"/>
          </w:tcPr>
          <w:p w14:paraId="43244295">
            <w:pPr>
              <w:pStyle w:val="24"/>
              <w:rPr>
                <w:b w:val="0"/>
                <w:color w:val="000000"/>
                <w:sz w:val="24"/>
                <w:szCs w:val="24"/>
              </w:rPr>
            </w:pPr>
            <w:r>
              <w:rPr>
                <w:rFonts w:hint="eastAsia"/>
                <w:b w:val="0"/>
                <w:color w:val="000000"/>
                <w:sz w:val="24"/>
                <w:szCs w:val="24"/>
              </w:rPr>
              <w:t>国产存储设计龙头，NOR</w:t>
            </w:r>
            <w:r>
              <w:rPr>
                <w:b w:val="0"/>
                <w:color w:val="000000"/>
                <w:sz w:val="24"/>
                <w:szCs w:val="24"/>
              </w:rPr>
              <w:t xml:space="preserve"> </w:t>
            </w:r>
            <w:r>
              <w:rPr>
                <w:rFonts w:hint="eastAsia"/>
                <w:b w:val="0"/>
                <w:color w:val="000000"/>
                <w:sz w:val="24"/>
                <w:szCs w:val="24"/>
              </w:rPr>
              <w:t>Flash全球第二</w:t>
            </w:r>
          </w:p>
        </w:tc>
        <w:tc>
          <w:tcPr>
            <w:tcBorders>
              <w:top w:val="nil"/>
              <w:left w:val="nil"/>
              <w:bottom w:val="nil"/>
              <w:right w:val="nil"/>
            </w:tcBorders>
            <w:shd w:val="clear" w:color="auto" w:fill="FFFFFF"/>
          </w:tcPr>
          <w:p w14:paraId="4997D7C8">
            <w:pPr>
              <w:pStyle w:val="24"/>
              <w:rPr>
                <w:b w:val="0"/>
                <w:color w:val="000000"/>
                <w:sz w:val="24"/>
                <w:szCs w:val="24"/>
              </w:rPr>
            </w:pPr>
            <w:r>
              <w:rPr>
                <w:b w:val="0"/>
                <w:color w:val="000000"/>
                <w:sz w:val="24"/>
                <w:szCs w:val="24"/>
              </w:rPr>
              <w:t>5</w:t>
            </w:r>
          </w:p>
        </w:tc>
        <w:tc>
          <w:tcPr>
            <w:tcBorders>
              <w:top w:val="nil"/>
              <w:left w:val="nil"/>
              <w:bottom w:val="nil"/>
              <w:right w:val="nil"/>
            </w:tcBorders>
            <w:shd w:val="clear" w:color="auto" w:fill="FFFFFF"/>
          </w:tcPr>
          <w:p w14:paraId="3252C725">
            <w:pPr>
              <w:pStyle w:val="24"/>
              <w:rPr>
                <w:b w:val="0"/>
                <w:color w:val="000000"/>
                <w:sz w:val="24"/>
                <w:szCs w:val="24"/>
              </w:rPr>
            </w:pPr>
            <w:r>
              <w:rPr>
                <w:rFonts w:hint="eastAsia"/>
                <w:b w:val="0"/>
                <w:color w:val="000000"/>
                <w:sz w:val="24"/>
                <w:szCs w:val="24"/>
              </w:rPr>
              <w:t>是</w:t>
            </w:r>
          </w:p>
        </w:tc>
      </w:tr>
      <w:tr w14:paraId="1AB6FA1E">
        <w:tc>
          <w:tcPr>
            <w:tcBorders>
              <w:top w:val="nil"/>
              <w:left w:val="nil"/>
              <w:bottom w:val="nil"/>
              <w:right w:val="nil"/>
            </w:tcBorders>
            <w:shd w:val="clear" w:color="auto" w:fill="FFFFFF"/>
          </w:tcPr>
          <w:p w14:paraId="39858E05">
            <w:pPr>
              <w:pStyle w:val="24"/>
              <w:rPr>
                <w:b w:val="0"/>
                <w:color w:val="000000"/>
                <w:sz w:val="24"/>
                <w:szCs w:val="24"/>
              </w:rPr>
            </w:pPr>
            <w:r>
              <w:rPr>
                <w:b w:val="0"/>
                <w:color w:val="000000"/>
                <w:sz w:val="24"/>
                <w:szCs w:val="24"/>
              </w:rPr>
              <w:t>6</w:t>
            </w:r>
          </w:p>
        </w:tc>
        <w:tc>
          <w:tcPr>
            <w:tcBorders>
              <w:top w:val="nil"/>
              <w:left w:val="nil"/>
              <w:bottom w:val="nil"/>
              <w:right w:val="nil"/>
            </w:tcBorders>
            <w:shd w:val="clear" w:color="auto" w:fill="FFFFFF"/>
          </w:tcPr>
          <w:p w14:paraId="28F52C68">
            <w:pPr>
              <w:pStyle w:val="24"/>
              <w:rPr>
                <w:b w:val="0"/>
                <w:color w:val="000000"/>
                <w:sz w:val="24"/>
                <w:szCs w:val="24"/>
              </w:rPr>
            </w:pPr>
            <w:r>
              <w:rPr>
                <w:b w:val="0"/>
                <w:color w:val="000000"/>
                <w:sz w:val="24"/>
                <w:szCs w:val="24"/>
              </w:rPr>
              <w:t>301308</w:t>
            </w:r>
          </w:p>
        </w:tc>
        <w:tc>
          <w:tcPr>
            <w:tcBorders>
              <w:top w:val="nil"/>
              <w:left w:val="nil"/>
              <w:bottom w:val="nil"/>
              <w:right w:val="nil"/>
            </w:tcBorders>
            <w:shd w:val="clear" w:color="auto" w:fill="FFFFFF"/>
          </w:tcPr>
          <w:p w14:paraId="5E535F9E">
            <w:pPr>
              <w:pStyle w:val="24"/>
              <w:rPr>
                <w:b w:val="0"/>
                <w:color w:val="000000"/>
                <w:sz w:val="24"/>
                <w:szCs w:val="24"/>
              </w:rPr>
            </w:pPr>
            <w:r>
              <w:rPr>
                <w:rFonts w:hint="eastAsia"/>
                <w:b w:val="0"/>
                <w:color w:val="000000"/>
                <w:sz w:val="24"/>
                <w:szCs w:val="24"/>
              </w:rPr>
              <w:t>江波龙</w:t>
            </w:r>
          </w:p>
        </w:tc>
        <w:tc>
          <w:tcPr>
            <w:tcBorders>
              <w:top w:val="nil"/>
              <w:left w:val="nil"/>
              <w:bottom w:val="nil"/>
              <w:right w:val="nil"/>
            </w:tcBorders>
            <w:shd w:val="clear" w:color="auto" w:fill="FFFFFF"/>
          </w:tcPr>
          <w:p w14:paraId="043FFF56">
            <w:pPr>
              <w:pStyle w:val="24"/>
              <w:rPr>
                <w:b w:val="0"/>
                <w:color w:val="000000"/>
                <w:sz w:val="24"/>
                <w:szCs w:val="24"/>
              </w:rPr>
            </w:pPr>
            <w:r>
              <w:rPr>
                <w:rFonts w:hint="eastAsia"/>
                <w:b w:val="0"/>
                <w:color w:val="000000"/>
                <w:sz w:val="24"/>
                <w:szCs w:val="24"/>
              </w:rPr>
              <w:t>半导体/存储模组</w:t>
            </w:r>
          </w:p>
        </w:tc>
        <w:tc>
          <w:tcPr>
            <w:tcBorders>
              <w:top w:val="nil"/>
              <w:left w:val="nil"/>
              <w:bottom w:val="nil"/>
              <w:right w:val="nil"/>
            </w:tcBorders>
            <w:shd w:val="clear" w:color="auto" w:fill="FFFFFF"/>
          </w:tcPr>
          <w:p w14:paraId="570F1C20">
            <w:pPr>
              <w:pStyle w:val="24"/>
              <w:rPr>
                <w:b w:val="0"/>
                <w:color w:val="000000"/>
                <w:sz w:val="24"/>
                <w:szCs w:val="24"/>
              </w:rPr>
            </w:pPr>
            <w:r>
              <w:rPr>
                <w:rFonts w:hint="eastAsia"/>
                <w:b w:val="0"/>
                <w:color w:val="000000"/>
                <w:sz w:val="24"/>
                <w:szCs w:val="24"/>
              </w:rPr>
              <w:t>国内存储模组龙头，Lexar品牌高端化</w:t>
            </w:r>
          </w:p>
        </w:tc>
        <w:tc>
          <w:tcPr>
            <w:tcBorders>
              <w:top w:val="nil"/>
              <w:left w:val="nil"/>
              <w:bottom w:val="nil"/>
              <w:right w:val="nil"/>
            </w:tcBorders>
            <w:shd w:val="clear" w:color="auto" w:fill="FFFFFF"/>
          </w:tcPr>
          <w:p w14:paraId="59E6F70E">
            <w:pPr>
              <w:pStyle w:val="24"/>
              <w:rPr>
                <w:b w:val="0"/>
                <w:color w:val="000000"/>
                <w:sz w:val="24"/>
                <w:szCs w:val="24"/>
              </w:rPr>
            </w:pPr>
            <w:r>
              <w:rPr>
                <w:b w:val="0"/>
                <w:color w:val="000000"/>
                <w:sz w:val="24"/>
                <w:szCs w:val="24"/>
              </w:rPr>
              <w:t>16</w:t>
            </w:r>
          </w:p>
        </w:tc>
        <w:tc>
          <w:tcPr>
            <w:tcBorders>
              <w:top w:val="nil"/>
              <w:left w:val="nil"/>
              <w:bottom w:val="nil"/>
              <w:right w:val="nil"/>
            </w:tcBorders>
            <w:shd w:val="clear" w:color="auto" w:fill="FFFFFF"/>
          </w:tcPr>
          <w:p w14:paraId="5CD17F99">
            <w:pPr>
              <w:pStyle w:val="24"/>
              <w:rPr>
                <w:b w:val="0"/>
                <w:color w:val="000000"/>
                <w:sz w:val="24"/>
                <w:szCs w:val="24"/>
              </w:rPr>
            </w:pPr>
            <w:r>
              <w:rPr>
                <w:rFonts w:hint="eastAsia"/>
                <w:b w:val="0"/>
                <w:color w:val="000000"/>
                <w:sz w:val="24"/>
                <w:szCs w:val="24"/>
              </w:rPr>
              <w:t>否</w:t>
            </w:r>
          </w:p>
        </w:tc>
      </w:tr>
      <w:tr w14:paraId="5A805B2A">
        <w:tc>
          <w:tcPr>
            <w:tcBorders>
              <w:top w:val="nil"/>
              <w:left w:val="nil"/>
              <w:bottom w:val="nil"/>
              <w:right w:val="nil"/>
            </w:tcBorders>
            <w:shd w:val="clear" w:color="auto" w:fill="FFFFFF"/>
          </w:tcPr>
          <w:p w14:paraId="6A663BB7">
            <w:pPr>
              <w:pStyle w:val="24"/>
              <w:rPr>
                <w:b w:val="0"/>
                <w:color w:val="000000"/>
                <w:sz w:val="24"/>
                <w:szCs w:val="24"/>
              </w:rPr>
            </w:pPr>
            <w:r>
              <w:rPr>
                <w:b w:val="0"/>
                <w:color w:val="000000"/>
                <w:sz w:val="24"/>
                <w:szCs w:val="24"/>
              </w:rPr>
              <w:t>7</w:t>
            </w:r>
          </w:p>
        </w:tc>
        <w:tc>
          <w:tcPr>
            <w:tcBorders>
              <w:top w:val="nil"/>
              <w:left w:val="nil"/>
              <w:bottom w:val="nil"/>
              <w:right w:val="nil"/>
            </w:tcBorders>
            <w:shd w:val="clear" w:color="auto" w:fill="FFFFFF"/>
          </w:tcPr>
          <w:p w14:paraId="1777CF08">
            <w:pPr>
              <w:pStyle w:val="24"/>
              <w:rPr>
                <w:b w:val="0"/>
                <w:color w:val="000000"/>
                <w:sz w:val="24"/>
                <w:szCs w:val="24"/>
              </w:rPr>
            </w:pPr>
            <w:r>
              <w:rPr>
                <w:b w:val="0"/>
                <w:color w:val="000000"/>
                <w:sz w:val="24"/>
                <w:szCs w:val="24"/>
              </w:rPr>
              <w:t>688525</w:t>
            </w:r>
          </w:p>
        </w:tc>
        <w:tc>
          <w:tcPr>
            <w:tcBorders>
              <w:top w:val="nil"/>
              <w:left w:val="nil"/>
              <w:bottom w:val="nil"/>
              <w:right w:val="nil"/>
            </w:tcBorders>
            <w:shd w:val="clear" w:color="auto" w:fill="FFFFFF"/>
          </w:tcPr>
          <w:p w14:paraId="1C8BD427">
            <w:pPr>
              <w:pStyle w:val="24"/>
              <w:rPr>
                <w:b w:val="0"/>
                <w:color w:val="000000"/>
                <w:sz w:val="24"/>
                <w:szCs w:val="24"/>
              </w:rPr>
            </w:pPr>
            <w:r>
              <w:rPr>
                <w:rFonts w:hint="eastAsia"/>
                <w:b w:val="0"/>
                <w:color w:val="000000"/>
                <w:sz w:val="24"/>
                <w:szCs w:val="24"/>
              </w:rPr>
              <w:t>佰维存储</w:t>
            </w:r>
          </w:p>
        </w:tc>
        <w:tc>
          <w:tcPr>
            <w:tcBorders>
              <w:top w:val="nil"/>
              <w:left w:val="nil"/>
              <w:bottom w:val="nil"/>
              <w:right w:val="nil"/>
            </w:tcBorders>
            <w:shd w:val="clear" w:color="auto" w:fill="FFFFFF"/>
          </w:tcPr>
          <w:p w14:paraId="37C2DA01">
            <w:pPr>
              <w:pStyle w:val="24"/>
              <w:rPr>
                <w:b w:val="0"/>
                <w:color w:val="000000"/>
                <w:sz w:val="24"/>
                <w:szCs w:val="24"/>
              </w:rPr>
            </w:pPr>
            <w:r>
              <w:rPr>
                <w:rFonts w:hint="eastAsia"/>
                <w:b w:val="0"/>
                <w:color w:val="000000"/>
                <w:sz w:val="24"/>
                <w:szCs w:val="24"/>
              </w:rPr>
              <w:t>半导体/存储+封测</w:t>
            </w:r>
          </w:p>
        </w:tc>
        <w:tc>
          <w:tcPr>
            <w:tcBorders>
              <w:top w:val="nil"/>
              <w:left w:val="nil"/>
              <w:bottom w:val="nil"/>
              <w:right w:val="nil"/>
            </w:tcBorders>
            <w:shd w:val="clear" w:color="auto" w:fill="FFFFFF"/>
          </w:tcPr>
          <w:p w14:paraId="1AC85E99">
            <w:pPr>
              <w:pStyle w:val="24"/>
              <w:rPr>
                <w:b w:val="0"/>
                <w:color w:val="000000"/>
                <w:sz w:val="24"/>
                <w:szCs w:val="24"/>
              </w:rPr>
            </w:pPr>
            <w:r>
              <w:rPr>
                <w:rFonts w:hint="eastAsia"/>
                <w:b w:val="0"/>
                <w:color w:val="000000"/>
                <w:sz w:val="24"/>
                <w:szCs w:val="24"/>
              </w:rPr>
              <w:t>存储芯片+先进封测综合服务商</w:t>
            </w:r>
          </w:p>
        </w:tc>
        <w:tc>
          <w:tcPr>
            <w:tcBorders>
              <w:top w:val="nil"/>
              <w:left w:val="nil"/>
              <w:bottom w:val="nil"/>
              <w:right w:val="nil"/>
            </w:tcBorders>
            <w:shd w:val="clear" w:color="auto" w:fill="FFFFFF"/>
          </w:tcPr>
          <w:p w14:paraId="27E20425">
            <w:pPr>
              <w:pStyle w:val="24"/>
              <w:rPr>
                <w:b w:val="0"/>
                <w:color w:val="000000"/>
                <w:sz w:val="24"/>
                <w:szCs w:val="24"/>
              </w:rPr>
            </w:pPr>
            <w:r>
              <w:rPr>
                <w:b w:val="0"/>
                <w:color w:val="000000"/>
                <w:sz w:val="24"/>
                <w:szCs w:val="24"/>
              </w:rPr>
              <w:t>15</w:t>
            </w:r>
          </w:p>
        </w:tc>
        <w:tc>
          <w:tcPr>
            <w:tcBorders>
              <w:top w:val="nil"/>
              <w:left w:val="nil"/>
              <w:bottom w:val="nil"/>
              <w:right w:val="nil"/>
            </w:tcBorders>
            <w:shd w:val="clear" w:color="auto" w:fill="FFFFFF"/>
          </w:tcPr>
          <w:p w14:paraId="46812476">
            <w:pPr>
              <w:pStyle w:val="24"/>
              <w:rPr>
                <w:b w:val="0"/>
                <w:color w:val="000000"/>
                <w:sz w:val="24"/>
                <w:szCs w:val="24"/>
              </w:rPr>
            </w:pPr>
            <w:r>
              <w:rPr>
                <w:rFonts w:hint="eastAsia"/>
                <w:b w:val="0"/>
                <w:color w:val="000000"/>
                <w:sz w:val="24"/>
                <w:szCs w:val="24"/>
              </w:rPr>
              <w:t>否</w:t>
            </w:r>
          </w:p>
        </w:tc>
      </w:tr>
      <w:tr w14:paraId="0CEA1D02">
        <w:tc>
          <w:tcPr>
            <w:tcBorders>
              <w:top w:val="nil"/>
              <w:left w:val="nil"/>
              <w:bottom w:val="nil"/>
              <w:right w:val="nil"/>
            </w:tcBorders>
            <w:shd w:val="clear" w:color="auto" w:fill="FFFFFF"/>
          </w:tcPr>
          <w:p w14:paraId="23837783">
            <w:pPr>
              <w:pStyle w:val="24"/>
              <w:rPr>
                <w:b w:val="0"/>
                <w:color w:val="000000"/>
                <w:sz w:val="24"/>
                <w:szCs w:val="24"/>
              </w:rPr>
            </w:pPr>
            <w:r>
              <w:rPr>
                <w:b w:val="0"/>
                <w:color w:val="000000"/>
                <w:sz w:val="24"/>
                <w:szCs w:val="24"/>
              </w:rPr>
              <w:t>8</w:t>
            </w:r>
          </w:p>
        </w:tc>
        <w:tc>
          <w:tcPr>
            <w:tcBorders>
              <w:top w:val="nil"/>
              <w:left w:val="nil"/>
              <w:bottom w:val="nil"/>
              <w:right w:val="nil"/>
            </w:tcBorders>
            <w:shd w:val="clear" w:color="auto" w:fill="FFFFFF"/>
          </w:tcPr>
          <w:p w14:paraId="6BC402D3">
            <w:pPr>
              <w:pStyle w:val="24"/>
              <w:rPr>
                <w:b w:val="0"/>
                <w:color w:val="000000"/>
                <w:sz w:val="24"/>
                <w:szCs w:val="24"/>
              </w:rPr>
            </w:pPr>
            <w:r>
              <w:rPr>
                <w:b w:val="0"/>
                <w:color w:val="000000"/>
                <w:sz w:val="24"/>
                <w:szCs w:val="24"/>
              </w:rPr>
              <w:t>688008</w:t>
            </w:r>
          </w:p>
        </w:tc>
        <w:tc>
          <w:tcPr>
            <w:tcBorders>
              <w:top w:val="nil"/>
              <w:left w:val="nil"/>
              <w:bottom w:val="nil"/>
              <w:right w:val="nil"/>
            </w:tcBorders>
            <w:shd w:val="clear" w:color="auto" w:fill="FFFFFF"/>
          </w:tcPr>
          <w:p w14:paraId="5E3D7467">
            <w:pPr>
              <w:pStyle w:val="24"/>
              <w:rPr>
                <w:b w:val="0"/>
                <w:color w:val="000000"/>
                <w:sz w:val="24"/>
                <w:szCs w:val="24"/>
              </w:rPr>
            </w:pPr>
            <w:r>
              <w:rPr>
                <w:rFonts w:hint="eastAsia"/>
                <w:b w:val="0"/>
                <w:color w:val="000000"/>
                <w:sz w:val="24"/>
                <w:szCs w:val="24"/>
              </w:rPr>
              <w:t>澜起科技</w:t>
            </w:r>
          </w:p>
        </w:tc>
        <w:tc>
          <w:tcPr>
            <w:tcBorders>
              <w:top w:val="nil"/>
              <w:left w:val="nil"/>
              <w:bottom w:val="nil"/>
              <w:right w:val="nil"/>
            </w:tcBorders>
            <w:shd w:val="clear" w:color="auto" w:fill="FFFFFF"/>
          </w:tcPr>
          <w:p w14:paraId="23507B87">
            <w:pPr>
              <w:pStyle w:val="24"/>
              <w:rPr>
                <w:b w:val="0"/>
                <w:color w:val="000000"/>
                <w:sz w:val="24"/>
                <w:szCs w:val="24"/>
              </w:rPr>
            </w:pPr>
            <w:r>
              <w:rPr>
                <w:rFonts w:hint="eastAsia"/>
                <w:b w:val="0"/>
                <w:color w:val="000000"/>
                <w:sz w:val="24"/>
                <w:szCs w:val="24"/>
              </w:rPr>
              <w:t>半导体/内存接口</w:t>
            </w:r>
          </w:p>
        </w:tc>
        <w:tc>
          <w:tcPr>
            <w:tcBorders>
              <w:top w:val="nil"/>
              <w:left w:val="nil"/>
              <w:bottom w:val="nil"/>
              <w:right w:val="nil"/>
            </w:tcBorders>
            <w:shd w:val="clear" w:color="auto" w:fill="FFFFFF"/>
          </w:tcPr>
          <w:p w14:paraId="7EFA0938">
            <w:pPr>
              <w:pStyle w:val="24"/>
              <w:rPr>
                <w:b w:val="0"/>
                <w:color w:val="000000"/>
                <w:sz w:val="24"/>
                <w:szCs w:val="24"/>
              </w:rPr>
            </w:pPr>
            <w:r>
              <w:rPr>
                <w:rFonts w:hint="eastAsia"/>
                <w:b w:val="0"/>
                <w:color w:val="000000"/>
                <w:sz w:val="24"/>
                <w:szCs w:val="24"/>
              </w:rPr>
              <w:t>全球内存接口龙头，主导DDR5标准</w:t>
            </w:r>
          </w:p>
        </w:tc>
        <w:tc>
          <w:tcPr>
            <w:tcBorders>
              <w:top w:val="nil"/>
              <w:left w:val="nil"/>
              <w:bottom w:val="nil"/>
              <w:right w:val="nil"/>
            </w:tcBorders>
            <w:shd w:val="clear" w:color="auto" w:fill="FFFFFF"/>
          </w:tcPr>
          <w:p w14:paraId="4A96BBE2">
            <w:pPr>
              <w:pStyle w:val="24"/>
              <w:rPr>
                <w:b w:val="0"/>
                <w:color w:val="000000"/>
                <w:sz w:val="24"/>
                <w:szCs w:val="24"/>
              </w:rPr>
            </w:pPr>
            <w:r>
              <w:rPr>
                <w:b w:val="0"/>
                <w:color w:val="000000"/>
                <w:sz w:val="24"/>
                <w:szCs w:val="24"/>
              </w:rPr>
              <w:t>1</w:t>
            </w:r>
          </w:p>
        </w:tc>
        <w:tc>
          <w:tcPr>
            <w:tcBorders>
              <w:top w:val="nil"/>
              <w:left w:val="nil"/>
              <w:bottom w:val="nil"/>
              <w:right w:val="nil"/>
            </w:tcBorders>
            <w:shd w:val="clear" w:color="auto" w:fill="FFFFFF"/>
          </w:tcPr>
          <w:p w14:paraId="47293751">
            <w:pPr>
              <w:pStyle w:val="24"/>
              <w:rPr>
                <w:b w:val="0"/>
                <w:color w:val="000000"/>
                <w:sz w:val="24"/>
                <w:szCs w:val="24"/>
              </w:rPr>
            </w:pPr>
            <w:r>
              <w:rPr>
                <w:rFonts w:hint="eastAsia"/>
                <w:b w:val="0"/>
                <w:color w:val="000000"/>
                <w:sz w:val="24"/>
                <w:szCs w:val="24"/>
              </w:rPr>
              <w:t>否</w:t>
            </w:r>
          </w:p>
        </w:tc>
      </w:tr>
      <w:tr w14:paraId="44ADCD01">
        <w:tc>
          <w:tcPr>
            <w:tcBorders>
              <w:top w:val="nil"/>
              <w:left w:val="nil"/>
              <w:bottom w:val="nil"/>
              <w:right w:val="nil"/>
            </w:tcBorders>
            <w:shd w:val="clear" w:color="auto" w:fill="FFFFFF"/>
          </w:tcPr>
          <w:p w14:paraId="0BD6AD49">
            <w:pPr>
              <w:pStyle w:val="24"/>
              <w:rPr>
                <w:b w:val="0"/>
                <w:color w:val="000000"/>
                <w:sz w:val="24"/>
                <w:szCs w:val="24"/>
              </w:rPr>
            </w:pPr>
            <w:r>
              <w:rPr>
                <w:b w:val="0"/>
                <w:color w:val="000000"/>
                <w:sz w:val="24"/>
                <w:szCs w:val="24"/>
              </w:rPr>
              <w:t>9</w:t>
            </w:r>
          </w:p>
        </w:tc>
        <w:tc>
          <w:tcPr>
            <w:tcBorders>
              <w:top w:val="nil"/>
              <w:left w:val="nil"/>
              <w:bottom w:val="nil"/>
              <w:right w:val="nil"/>
            </w:tcBorders>
            <w:shd w:val="clear" w:color="auto" w:fill="FFFFFF"/>
          </w:tcPr>
          <w:p w14:paraId="08616769">
            <w:pPr>
              <w:pStyle w:val="24"/>
              <w:rPr>
                <w:b w:val="0"/>
                <w:color w:val="000000"/>
                <w:sz w:val="24"/>
                <w:szCs w:val="24"/>
              </w:rPr>
            </w:pPr>
            <w:r>
              <w:rPr>
                <w:b w:val="0"/>
                <w:color w:val="000000"/>
                <w:sz w:val="24"/>
                <w:szCs w:val="24"/>
              </w:rPr>
              <w:t>001309</w:t>
            </w:r>
          </w:p>
        </w:tc>
        <w:tc>
          <w:tcPr>
            <w:tcBorders>
              <w:top w:val="nil"/>
              <w:left w:val="nil"/>
              <w:bottom w:val="nil"/>
              <w:right w:val="nil"/>
            </w:tcBorders>
            <w:shd w:val="clear" w:color="auto" w:fill="FFFFFF"/>
          </w:tcPr>
          <w:p w14:paraId="00E5BB21">
            <w:pPr>
              <w:pStyle w:val="24"/>
              <w:rPr>
                <w:b w:val="0"/>
                <w:color w:val="000000"/>
                <w:sz w:val="24"/>
                <w:szCs w:val="24"/>
              </w:rPr>
            </w:pPr>
            <w:r>
              <w:rPr>
                <w:rFonts w:hint="eastAsia"/>
                <w:b w:val="0"/>
                <w:color w:val="000000"/>
                <w:sz w:val="24"/>
                <w:szCs w:val="24"/>
              </w:rPr>
              <w:t>德明利</w:t>
            </w:r>
          </w:p>
        </w:tc>
        <w:tc>
          <w:tcPr>
            <w:tcBorders>
              <w:top w:val="nil"/>
              <w:left w:val="nil"/>
              <w:bottom w:val="nil"/>
              <w:right w:val="nil"/>
            </w:tcBorders>
            <w:shd w:val="clear" w:color="auto" w:fill="FFFFFF"/>
          </w:tcPr>
          <w:p w14:paraId="51D2609C">
            <w:pPr>
              <w:pStyle w:val="24"/>
              <w:rPr>
                <w:b w:val="0"/>
                <w:color w:val="000000"/>
                <w:sz w:val="24"/>
                <w:szCs w:val="24"/>
              </w:rPr>
            </w:pPr>
            <w:r>
              <w:rPr>
                <w:rFonts w:hint="eastAsia"/>
                <w:b w:val="0"/>
                <w:color w:val="000000"/>
                <w:sz w:val="24"/>
                <w:szCs w:val="24"/>
              </w:rPr>
              <w:t>半导体/存储主控+模组</w:t>
            </w:r>
          </w:p>
        </w:tc>
        <w:tc>
          <w:tcPr>
            <w:tcBorders>
              <w:top w:val="nil"/>
              <w:left w:val="nil"/>
              <w:bottom w:val="nil"/>
              <w:right w:val="nil"/>
            </w:tcBorders>
            <w:shd w:val="clear" w:color="auto" w:fill="FFFFFF"/>
          </w:tcPr>
          <w:p w14:paraId="6E6481C6">
            <w:pPr>
              <w:pStyle w:val="24"/>
              <w:rPr>
                <w:b w:val="0"/>
                <w:color w:val="000000"/>
                <w:sz w:val="24"/>
                <w:szCs w:val="24"/>
              </w:rPr>
            </w:pPr>
            <w:r>
              <w:rPr>
                <w:rFonts w:hint="eastAsia"/>
                <w:b w:val="0"/>
                <w:color w:val="000000"/>
                <w:sz w:val="24"/>
                <w:szCs w:val="24"/>
              </w:rPr>
              <w:t>企业级存储领军，自研SSD主控国内前三</w:t>
            </w:r>
          </w:p>
        </w:tc>
        <w:tc>
          <w:tcPr>
            <w:tcBorders>
              <w:top w:val="nil"/>
              <w:left w:val="nil"/>
              <w:bottom w:val="nil"/>
              <w:right w:val="nil"/>
            </w:tcBorders>
            <w:shd w:val="clear" w:color="auto" w:fill="FFFFFF"/>
          </w:tcPr>
          <w:p w14:paraId="171ABFDF">
            <w:pPr>
              <w:pStyle w:val="24"/>
              <w:rPr>
                <w:b w:val="0"/>
                <w:color w:val="000000"/>
                <w:sz w:val="24"/>
                <w:szCs w:val="24"/>
              </w:rPr>
            </w:pPr>
            <w:r>
              <w:rPr>
                <w:b w:val="0"/>
                <w:color w:val="000000"/>
                <w:sz w:val="24"/>
                <w:szCs w:val="24"/>
              </w:rPr>
              <w:t>15</w:t>
            </w:r>
          </w:p>
        </w:tc>
        <w:tc>
          <w:tcPr>
            <w:tcBorders>
              <w:top w:val="nil"/>
              <w:left w:val="nil"/>
              <w:bottom w:val="nil"/>
              <w:right w:val="nil"/>
            </w:tcBorders>
            <w:shd w:val="clear" w:color="auto" w:fill="FFFFFF"/>
          </w:tcPr>
          <w:p w14:paraId="085C19C8">
            <w:pPr>
              <w:pStyle w:val="24"/>
              <w:rPr>
                <w:b w:val="0"/>
                <w:color w:val="000000"/>
                <w:sz w:val="24"/>
                <w:szCs w:val="24"/>
              </w:rPr>
            </w:pPr>
            <w:r>
              <w:rPr>
                <w:rFonts w:hint="eastAsia"/>
                <w:b w:val="0"/>
                <w:color w:val="000000"/>
                <w:sz w:val="24"/>
                <w:szCs w:val="24"/>
              </w:rPr>
              <w:t>是</w:t>
            </w:r>
          </w:p>
        </w:tc>
      </w:tr>
      <w:tr w14:paraId="160F3DA1">
        <w:tc>
          <w:tcPr>
            <w:tcBorders>
              <w:top w:val="nil"/>
              <w:left w:val="nil"/>
              <w:bottom w:val="nil"/>
              <w:right w:val="nil"/>
            </w:tcBorders>
            <w:shd w:val="clear" w:color="auto" w:fill="FFFFFF"/>
          </w:tcPr>
          <w:p w14:paraId="7F370079">
            <w:pPr>
              <w:pStyle w:val="24"/>
              <w:rPr>
                <w:b w:val="0"/>
                <w:color w:val="000000"/>
                <w:sz w:val="24"/>
                <w:szCs w:val="24"/>
              </w:rPr>
            </w:pPr>
            <w:r>
              <w:rPr>
                <w:b w:val="0"/>
                <w:color w:val="000000"/>
                <w:sz w:val="24"/>
                <w:szCs w:val="24"/>
              </w:rPr>
              <w:t>10</w:t>
            </w:r>
          </w:p>
        </w:tc>
        <w:tc>
          <w:tcPr>
            <w:tcBorders>
              <w:top w:val="nil"/>
              <w:left w:val="nil"/>
              <w:bottom w:val="nil"/>
              <w:right w:val="nil"/>
            </w:tcBorders>
            <w:shd w:val="clear" w:color="auto" w:fill="FFFFFF"/>
          </w:tcPr>
          <w:p w14:paraId="544DF136">
            <w:pPr>
              <w:pStyle w:val="24"/>
              <w:rPr>
                <w:b w:val="0"/>
                <w:color w:val="000000"/>
                <w:sz w:val="24"/>
                <w:szCs w:val="24"/>
              </w:rPr>
            </w:pPr>
            <w:r>
              <w:rPr>
                <w:b w:val="0"/>
                <w:color w:val="000000"/>
                <w:sz w:val="24"/>
                <w:szCs w:val="24"/>
              </w:rPr>
              <w:t>688766</w:t>
            </w:r>
          </w:p>
        </w:tc>
        <w:tc>
          <w:tcPr>
            <w:tcBorders>
              <w:top w:val="nil"/>
              <w:left w:val="nil"/>
              <w:bottom w:val="nil"/>
              <w:right w:val="nil"/>
            </w:tcBorders>
            <w:shd w:val="clear" w:color="auto" w:fill="FFFFFF"/>
          </w:tcPr>
          <w:p w14:paraId="5F3F03B1">
            <w:pPr>
              <w:pStyle w:val="24"/>
              <w:rPr>
                <w:b w:val="0"/>
                <w:color w:val="000000"/>
                <w:sz w:val="24"/>
                <w:szCs w:val="24"/>
              </w:rPr>
            </w:pPr>
            <w:r>
              <w:rPr>
                <w:rFonts w:hint="eastAsia"/>
                <w:b w:val="0"/>
                <w:color w:val="000000"/>
                <w:sz w:val="24"/>
                <w:szCs w:val="24"/>
              </w:rPr>
              <w:t>普冉股份</w:t>
            </w:r>
          </w:p>
        </w:tc>
        <w:tc>
          <w:tcPr>
            <w:tcBorders>
              <w:top w:val="nil"/>
              <w:left w:val="nil"/>
              <w:bottom w:val="nil"/>
              <w:right w:val="nil"/>
            </w:tcBorders>
            <w:shd w:val="clear" w:color="auto" w:fill="FFFFFF"/>
          </w:tcPr>
          <w:p w14:paraId="28E96DEC">
            <w:pPr>
              <w:pStyle w:val="24"/>
              <w:rPr>
                <w:b w:val="0"/>
                <w:color w:val="000000"/>
                <w:sz w:val="24"/>
                <w:szCs w:val="24"/>
              </w:rPr>
            </w:pPr>
            <w:r>
              <w:rPr>
                <w:rFonts w:hint="eastAsia"/>
                <w:b w:val="0"/>
                <w:color w:val="000000"/>
                <w:sz w:val="24"/>
                <w:szCs w:val="24"/>
              </w:rPr>
              <w:t>半导体/NOR+EEPROM</w:t>
            </w:r>
          </w:p>
        </w:tc>
        <w:tc>
          <w:tcPr>
            <w:tcBorders>
              <w:top w:val="nil"/>
              <w:left w:val="nil"/>
              <w:bottom w:val="nil"/>
              <w:right w:val="nil"/>
            </w:tcBorders>
            <w:shd w:val="clear" w:color="auto" w:fill="FFFFFF"/>
          </w:tcPr>
          <w:p w14:paraId="5724D46B">
            <w:pPr>
              <w:pStyle w:val="24"/>
              <w:rPr>
                <w:b w:val="0"/>
                <w:color w:val="000000"/>
                <w:sz w:val="24"/>
                <w:szCs w:val="24"/>
              </w:rPr>
            </w:pPr>
            <w:r>
              <w:rPr>
                <w:rFonts w:hint="eastAsia"/>
                <w:b w:val="0"/>
                <w:color w:val="000000"/>
                <w:sz w:val="24"/>
                <w:szCs w:val="24"/>
              </w:rPr>
              <w:t>低功耗NOR</w:t>
            </w:r>
            <w:r>
              <w:rPr>
                <w:b w:val="0"/>
                <w:color w:val="000000"/>
                <w:sz w:val="24"/>
                <w:szCs w:val="24"/>
              </w:rPr>
              <w:t xml:space="preserve"> </w:t>
            </w:r>
            <w:r>
              <w:rPr>
                <w:rFonts w:hint="eastAsia"/>
                <w:b w:val="0"/>
                <w:color w:val="000000"/>
                <w:sz w:val="24"/>
                <w:szCs w:val="24"/>
              </w:rPr>
              <w:t>Flash+EEPROM，布局AI端侧</w:t>
            </w:r>
          </w:p>
        </w:tc>
        <w:tc>
          <w:tcPr>
            <w:tcBorders>
              <w:top w:val="nil"/>
              <w:left w:val="nil"/>
              <w:bottom w:val="nil"/>
              <w:right w:val="nil"/>
            </w:tcBorders>
            <w:shd w:val="clear" w:color="auto" w:fill="FFFFFF"/>
          </w:tcPr>
          <w:p w14:paraId="77AFA8A1">
            <w:pPr>
              <w:pStyle w:val="24"/>
              <w:rPr>
                <w:b w:val="0"/>
                <w:color w:val="000000"/>
                <w:sz w:val="24"/>
                <w:szCs w:val="24"/>
              </w:rPr>
            </w:pPr>
            <w:r>
              <w:rPr>
                <w:b w:val="0"/>
                <w:color w:val="000000"/>
                <w:sz w:val="24"/>
                <w:szCs w:val="24"/>
              </w:rPr>
              <w:t>5</w:t>
            </w:r>
          </w:p>
        </w:tc>
        <w:tc>
          <w:tcPr>
            <w:tcBorders>
              <w:top w:val="nil"/>
              <w:left w:val="nil"/>
              <w:bottom w:val="nil"/>
              <w:right w:val="nil"/>
            </w:tcBorders>
            <w:shd w:val="clear" w:color="auto" w:fill="FFFFFF"/>
          </w:tcPr>
          <w:p w14:paraId="3C38AEE8">
            <w:pPr>
              <w:pStyle w:val="24"/>
              <w:rPr>
                <w:b w:val="0"/>
                <w:color w:val="000000"/>
                <w:sz w:val="24"/>
                <w:szCs w:val="24"/>
              </w:rPr>
            </w:pPr>
            <w:r>
              <w:rPr>
                <w:rFonts w:hint="eastAsia"/>
                <w:b w:val="0"/>
                <w:color w:val="000000"/>
                <w:sz w:val="24"/>
                <w:szCs w:val="24"/>
              </w:rPr>
              <w:t>否</w:t>
            </w:r>
          </w:p>
        </w:tc>
      </w:tr>
      <w:tr w14:paraId="2DEAF342">
        <w:tc>
          <w:tcPr>
            <w:tcBorders>
              <w:top w:val="nil"/>
              <w:left w:val="nil"/>
              <w:bottom w:val="nil"/>
              <w:right w:val="nil"/>
            </w:tcBorders>
            <w:shd w:val="clear" w:color="auto" w:fill="FFFFFF"/>
          </w:tcPr>
          <w:p w14:paraId="46AE9DD6">
            <w:pPr>
              <w:pStyle w:val="24"/>
              <w:rPr>
                <w:b w:val="0"/>
                <w:color w:val="000000"/>
                <w:sz w:val="24"/>
                <w:szCs w:val="24"/>
              </w:rPr>
            </w:pPr>
            <w:r>
              <w:rPr>
                <w:b w:val="0"/>
                <w:color w:val="000000"/>
                <w:sz w:val="24"/>
                <w:szCs w:val="24"/>
              </w:rPr>
              <w:t>11</w:t>
            </w:r>
          </w:p>
        </w:tc>
        <w:tc>
          <w:tcPr>
            <w:tcBorders>
              <w:top w:val="nil"/>
              <w:left w:val="nil"/>
              <w:bottom w:val="nil"/>
              <w:right w:val="nil"/>
            </w:tcBorders>
            <w:shd w:val="clear" w:color="auto" w:fill="FFFFFF"/>
          </w:tcPr>
          <w:p w14:paraId="0757D434">
            <w:pPr>
              <w:pStyle w:val="24"/>
              <w:rPr>
                <w:b w:val="0"/>
                <w:color w:val="000000"/>
                <w:sz w:val="24"/>
                <w:szCs w:val="24"/>
              </w:rPr>
            </w:pPr>
            <w:r>
              <w:rPr>
                <w:b w:val="0"/>
                <w:color w:val="000000"/>
                <w:sz w:val="24"/>
                <w:szCs w:val="24"/>
              </w:rPr>
              <w:t>000538</w:t>
            </w:r>
          </w:p>
        </w:tc>
        <w:tc>
          <w:tcPr>
            <w:tcBorders>
              <w:top w:val="nil"/>
              <w:left w:val="nil"/>
              <w:bottom w:val="nil"/>
              <w:right w:val="nil"/>
            </w:tcBorders>
            <w:shd w:val="clear" w:color="auto" w:fill="FFFFFF"/>
          </w:tcPr>
          <w:p w14:paraId="55B6596E">
            <w:pPr>
              <w:pStyle w:val="24"/>
              <w:rPr>
                <w:b w:val="0"/>
                <w:color w:val="000000"/>
                <w:sz w:val="24"/>
                <w:szCs w:val="24"/>
              </w:rPr>
            </w:pPr>
            <w:r>
              <w:rPr>
                <w:rFonts w:hint="eastAsia"/>
                <w:b w:val="0"/>
                <w:color w:val="000000"/>
                <w:sz w:val="24"/>
                <w:szCs w:val="24"/>
              </w:rPr>
              <w:t>云南白药</w:t>
            </w:r>
          </w:p>
        </w:tc>
        <w:tc>
          <w:tcPr>
            <w:tcBorders>
              <w:top w:val="nil"/>
              <w:left w:val="nil"/>
              <w:bottom w:val="nil"/>
              <w:right w:val="nil"/>
            </w:tcBorders>
            <w:shd w:val="clear" w:color="auto" w:fill="FFFFFF"/>
          </w:tcPr>
          <w:p w14:paraId="72B3FB1D">
            <w:pPr>
              <w:pStyle w:val="24"/>
              <w:rPr>
                <w:b w:val="0"/>
                <w:color w:val="000000"/>
                <w:sz w:val="24"/>
                <w:szCs w:val="24"/>
              </w:rPr>
            </w:pPr>
            <w:r>
              <w:rPr>
                <w:rFonts w:hint="eastAsia"/>
                <w:b w:val="0"/>
                <w:color w:val="000000"/>
                <w:sz w:val="24"/>
                <w:szCs w:val="24"/>
              </w:rPr>
              <w:t>医药/中药健康消费</w:t>
            </w:r>
          </w:p>
        </w:tc>
        <w:tc>
          <w:tcPr>
            <w:tcBorders>
              <w:top w:val="nil"/>
              <w:left w:val="nil"/>
              <w:bottom w:val="nil"/>
              <w:right w:val="nil"/>
            </w:tcBorders>
            <w:shd w:val="clear" w:color="auto" w:fill="FFFFFF"/>
          </w:tcPr>
          <w:p w14:paraId="666C008B">
            <w:pPr>
              <w:pStyle w:val="24"/>
              <w:rPr>
                <w:b w:val="0"/>
                <w:color w:val="000000"/>
                <w:sz w:val="24"/>
                <w:szCs w:val="24"/>
              </w:rPr>
            </w:pPr>
            <w:r>
              <w:rPr>
                <w:rFonts w:hint="eastAsia"/>
                <w:b w:val="0"/>
                <w:color w:val="000000"/>
                <w:sz w:val="24"/>
                <w:szCs w:val="24"/>
              </w:rPr>
              <w:t>品牌壁垒强，健康消费品现金流稳</w:t>
            </w:r>
          </w:p>
        </w:tc>
        <w:tc>
          <w:tcPr>
            <w:tcBorders>
              <w:top w:val="nil"/>
              <w:left w:val="nil"/>
              <w:bottom w:val="nil"/>
              <w:right w:val="nil"/>
            </w:tcBorders>
            <w:shd w:val="clear" w:color="auto" w:fill="FFFFFF"/>
          </w:tcPr>
          <w:p w14:paraId="06D01111">
            <w:pPr>
              <w:pStyle w:val="24"/>
              <w:rPr>
                <w:b w:val="0"/>
                <w:color w:val="000000"/>
                <w:sz w:val="24"/>
                <w:szCs w:val="24"/>
              </w:rPr>
            </w:pPr>
            <w:r>
              <w:rPr>
                <w:b w:val="0"/>
                <w:color w:val="000000"/>
                <w:sz w:val="24"/>
                <w:szCs w:val="24"/>
              </w:rPr>
              <w:t>0</w:t>
            </w:r>
          </w:p>
        </w:tc>
        <w:tc>
          <w:tcPr>
            <w:tcBorders>
              <w:top w:val="nil"/>
              <w:left w:val="nil"/>
              <w:bottom w:val="nil"/>
              <w:right w:val="nil"/>
            </w:tcBorders>
            <w:shd w:val="clear" w:color="auto" w:fill="FFFFFF"/>
          </w:tcPr>
          <w:p w14:paraId="6AA4506E">
            <w:pPr>
              <w:pStyle w:val="24"/>
              <w:rPr>
                <w:b w:val="0"/>
                <w:color w:val="000000"/>
                <w:sz w:val="24"/>
                <w:szCs w:val="24"/>
              </w:rPr>
            </w:pPr>
            <w:r>
              <w:rPr>
                <w:rFonts w:hint="eastAsia"/>
                <w:b w:val="0"/>
                <w:color w:val="000000"/>
                <w:sz w:val="24"/>
                <w:szCs w:val="24"/>
              </w:rPr>
              <w:t>否</w:t>
            </w:r>
          </w:p>
        </w:tc>
      </w:tr>
      <w:tr w14:paraId="0E637E91">
        <w:tc>
          <w:tcPr>
            <w:tcBorders>
              <w:top w:val="nil"/>
              <w:left w:val="nil"/>
              <w:bottom w:val="nil"/>
              <w:right w:val="nil"/>
            </w:tcBorders>
            <w:shd w:val="clear" w:color="auto" w:fill="FFFFFF"/>
          </w:tcPr>
          <w:p w14:paraId="022FB4E5">
            <w:pPr>
              <w:pStyle w:val="24"/>
              <w:rPr>
                <w:b w:val="0"/>
                <w:color w:val="000000"/>
                <w:sz w:val="24"/>
                <w:szCs w:val="24"/>
              </w:rPr>
            </w:pPr>
            <w:r>
              <w:rPr>
                <w:b w:val="0"/>
                <w:color w:val="000000"/>
                <w:sz w:val="24"/>
                <w:szCs w:val="24"/>
              </w:rPr>
              <w:t>12</w:t>
            </w:r>
          </w:p>
        </w:tc>
        <w:tc>
          <w:tcPr>
            <w:tcBorders>
              <w:top w:val="nil"/>
              <w:left w:val="nil"/>
              <w:bottom w:val="nil"/>
              <w:right w:val="nil"/>
            </w:tcBorders>
            <w:shd w:val="clear" w:color="auto" w:fill="FFFFFF"/>
          </w:tcPr>
          <w:p w14:paraId="060B2F06">
            <w:pPr>
              <w:pStyle w:val="24"/>
              <w:rPr>
                <w:b w:val="0"/>
                <w:color w:val="000000"/>
                <w:sz w:val="24"/>
                <w:szCs w:val="24"/>
              </w:rPr>
            </w:pPr>
            <w:r>
              <w:rPr>
                <w:b w:val="0"/>
                <w:color w:val="000000"/>
                <w:sz w:val="24"/>
                <w:szCs w:val="24"/>
              </w:rPr>
              <w:t>600276</w:t>
            </w:r>
          </w:p>
        </w:tc>
        <w:tc>
          <w:tcPr>
            <w:tcBorders>
              <w:top w:val="nil"/>
              <w:left w:val="nil"/>
              <w:bottom w:val="nil"/>
              <w:right w:val="nil"/>
            </w:tcBorders>
            <w:shd w:val="clear" w:color="auto" w:fill="FFFFFF"/>
          </w:tcPr>
          <w:p w14:paraId="5DF7E352">
            <w:pPr>
              <w:pStyle w:val="24"/>
              <w:rPr>
                <w:b w:val="0"/>
                <w:color w:val="000000"/>
                <w:sz w:val="24"/>
                <w:szCs w:val="24"/>
              </w:rPr>
            </w:pPr>
            <w:r>
              <w:rPr>
                <w:rFonts w:hint="eastAsia"/>
                <w:b w:val="0"/>
                <w:color w:val="000000"/>
                <w:sz w:val="24"/>
                <w:szCs w:val="24"/>
              </w:rPr>
              <w:t>恒瑞医药</w:t>
            </w:r>
          </w:p>
        </w:tc>
        <w:tc>
          <w:tcPr>
            <w:tcBorders>
              <w:top w:val="nil"/>
              <w:left w:val="nil"/>
              <w:bottom w:val="nil"/>
              <w:right w:val="nil"/>
            </w:tcBorders>
            <w:shd w:val="clear" w:color="auto" w:fill="FFFFFF"/>
          </w:tcPr>
          <w:p w14:paraId="24086F50">
            <w:pPr>
              <w:pStyle w:val="24"/>
              <w:rPr>
                <w:b w:val="0"/>
                <w:color w:val="000000"/>
                <w:sz w:val="24"/>
                <w:szCs w:val="24"/>
              </w:rPr>
            </w:pPr>
            <w:r>
              <w:rPr>
                <w:rFonts w:hint="eastAsia"/>
                <w:b w:val="0"/>
                <w:color w:val="000000"/>
                <w:sz w:val="24"/>
                <w:szCs w:val="24"/>
              </w:rPr>
              <w:t>医药/创新药</w:t>
            </w:r>
          </w:p>
        </w:tc>
        <w:tc>
          <w:tcPr>
            <w:tcBorders>
              <w:top w:val="nil"/>
              <w:left w:val="nil"/>
              <w:bottom w:val="nil"/>
              <w:right w:val="nil"/>
            </w:tcBorders>
            <w:shd w:val="clear" w:color="auto" w:fill="FFFFFF"/>
          </w:tcPr>
          <w:p w14:paraId="5C52F342">
            <w:pPr>
              <w:pStyle w:val="24"/>
              <w:rPr>
                <w:b w:val="0"/>
                <w:color w:val="000000"/>
                <w:sz w:val="24"/>
                <w:szCs w:val="24"/>
              </w:rPr>
            </w:pPr>
            <w:r>
              <w:rPr>
                <w:rFonts w:hint="eastAsia"/>
                <w:b w:val="0"/>
                <w:color w:val="000000"/>
                <w:sz w:val="24"/>
                <w:szCs w:val="24"/>
              </w:rPr>
              <w:t>创新药龙头，研发管线深厚</w:t>
            </w:r>
          </w:p>
        </w:tc>
        <w:tc>
          <w:tcPr>
            <w:tcBorders>
              <w:top w:val="nil"/>
              <w:left w:val="nil"/>
              <w:bottom w:val="nil"/>
              <w:right w:val="nil"/>
            </w:tcBorders>
            <w:shd w:val="clear" w:color="auto" w:fill="FFFFFF"/>
          </w:tcPr>
          <w:p w14:paraId="03E7437D">
            <w:pPr>
              <w:pStyle w:val="24"/>
              <w:rPr>
                <w:b w:val="0"/>
                <w:color w:val="000000"/>
                <w:sz w:val="24"/>
                <w:szCs w:val="24"/>
              </w:rPr>
            </w:pPr>
            <w:r>
              <w:rPr>
                <w:b w:val="0"/>
                <w:color w:val="000000"/>
                <w:sz w:val="24"/>
                <w:szCs w:val="24"/>
              </w:rPr>
              <w:t>0</w:t>
            </w:r>
          </w:p>
        </w:tc>
        <w:tc>
          <w:tcPr>
            <w:tcBorders>
              <w:top w:val="nil"/>
              <w:left w:val="nil"/>
              <w:bottom w:val="nil"/>
              <w:right w:val="nil"/>
            </w:tcBorders>
            <w:shd w:val="clear" w:color="auto" w:fill="FFFFFF"/>
          </w:tcPr>
          <w:p w14:paraId="76BFDFFB">
            <w:pPr>
              <w:pStyle w:val="24"/>
              <w:rPr>
                <w:b w:val="0"/>
                <w:color w:val="000000"/>
                <w:sz w:val="24"/>
                <w:szCs w:val="24"/>
              </w:rPr>
            </w:pPr>
            <w:r>
              <w:rPr>
                <w:rFonts w:hint="eastAsia"/>
                <w:b w:val="0"/>
                <w:color w:val="000000"/>
                <w:sz w:val="24"/>
                <w:szCs w:val="24"/>
              </w:rPr>
              <w:t>是</w:t>
            </w:r>
          </w:p>
        </w:tc>
      </w:tr>
      <w:tr w14:paraId="26AAD44B">
        <w:tc>
          <w:tcPr>
            <w:tcBorders>
              <w:top w:val="nil"/>
              <w:left w:val="nil"/>
              <w:bottom w:val="nil"/>
              <w:right w:val="nil"/>
            </w:tcBorders>
            <w:shd w:val="clear" w:color="auto" w:fill="FFFFFF"/>
          </w:tcPr>
          <w:p w14:paraId="0E3043BC">
            <w:pPr>
              <w:pStyle w:val="24"/>
              <w:rPr>
                <w:b w:val="0"/>
                <w:color w:val="000000"/>
                <w:sz w:val="24"/>
                <w:szCs w:val="24"/>
              </w:rPr>
            </w:pPr>
            <w:r>
              <w:rPr>
                <w:b w:val="0"/>
                <w:color w:val="000000"/>
                <w:sz w:val="24"/>
                <w:szCs w:val="24"/>
              </w:rPr>
              <w:t>13</w:t>
            </w:r>
          </w:p>
        </w:tc>
        <w:tc>
          <w:tcPr>
            <w:tcBorders>
              <w:top w:val="nil"/>
              <w:left w:val="nil"/>
              <w:bottom w:val="nil"/>
              <w:right w:val="nil"/>
            </w:tcBorders>
            <w:shd w:val="clear" w:color="auto" w:fill="FFFFFF"/>
          </w:tcPr>
          <w:p w14:paraId="58A1A89C">
            <w:pPr>
              <w:pStyle w:val="24"/>
              <w:rPr>
                <w:b w:val="0"/>
                <w:color w:val="000000"/>
                <w:sz w:val="24"/>
                <w:szCs w:val="24"/>
              </w:rPr>
            </w:pPr>
            <w:r>
              <w:rPr>
                <w:b w:val="0"/>
                <w:color w:val="000000"/>
                <w:sz w:val="24"/>
                <w:szCs w:val="24"/>
              </w:rPr>
              <w:t>688235</w:t>
            </w:r>
          </w:p>
        </w:tc>
        <w:tc>
          <w:tcPr>
            <w:tcBorders>
              <w:top w:val="nil"/>
              <w:left w:val="nil"/>
              <w:bottom w:val="nil"/>
              <w:right w:val="nil"/>
            </w:tcBorders>
            <w:shd w:val="clear" w:color="auto" w:fill="FFFFFF"/>
          </w:tcPr>
          <w:p w14:paraId="378DE8BB">
            <w:pPr>
              <w:pStyle w:val="24"/>
              <w:rPr>
                <w:b w:val="0"/>
                <w:color w:val="000000"/>
                <w:sz w:val="24"/>
                <w:szCs w:val="24"/>
              </w:rPr>
            </w:pPr>
            <w:r>
              <w:rPr>
                <w:rFonts w:hint="eastAsia"/>
                <w:b w:val="0"/>
                <w:color w:val="000000"/>
                <w:sz w:val="24"/>
                <w:szCs w:val="24"/>
              </w:rPr>
              <w:t>百济神州</w:t>
            </w:r>
          </w:p>
        </w:tc>
        <w:tc>
          <w:tcPr>
            <w:tcBorders>
              <w:top w:val="nil"/>
              <w:left w:val="nil"/>
              <w:bottom w:val="nil"/>
              <w:right w:val="nil"/>
            </w:tcBorders>
            <w:shd w:val="clear" w:color="auto" w:fill="FFFFFF"/>
          </w:tcPr>
          <w:p w14:paraId="773B58C8">
            <w:pPr>
              <w:pStyle w:val="24"/>
              <w:rPr>
                <w:b w:val="0"/>
                <w:color w:val="000000"/>
                <w:sz w:val="24"/>
                <w:szCs w:val="24"/>
              </w:rPr>
            </w:pPr>
            <w:r>
              <w:rPr>
                <w:rFonts w:hint="eastAsia"/>
                <w:b w:val="0"/>
                <w:color w:val="000000"/>
                <w:sz w:val="24"/>
                <w:szCs w:val="24"/>
              </w:rPr>
              <w:t>医药/创新药</w:t>
            </w:r>
          </w:p>
        </w:tc>
        <w:tc>
          <w:tcPr>
            <w:tcBorders>
              <w:top w:val="nil"/>
              <w:left w:val="nil"/>
              <w:bottom w:val="nil"/>
              <w:right w:val="nil"/>
            </w:tcBorders>
            <w:shd w:val="clear" w:color="auto" w:fill="FFFFFF"/>
          </w:tcPr>
          <w:p w14:paraId="2CEA64F0">
            <w:pPr>
              <w:pStyle w:val="24"/>
              <w:rPr>
                <w:b w:val="0"/>
                <w:color w:val="000000"/>
                <w:sz w:val="24"/>
                <w:szCs w:val="24"/>
              </w:rPr>
            </w:pPr>
            <w:r>
              <w:rPr>
                <w:rFonts w:hint="eastAsia"/>
                <w:b w:val="0"/>
                <w:color w:val="000000"/>
                <w:sz w:val="24"/>
                <w:szCs w:val="24"/>
              </w:rPr>
              <w:t>国际化创新药标杆，全球商业化突出</w:t>
            </w:r>
          </w:p>
        </w:tc>
        <w:tc>
          <w:tcPr>
            <w:tcBorders>
              <w:top w:val="nil"/>
              <w:left w:val="nil"/>
              <w:bottom w:val="nil"/>
              <w:right w:val="nil"/>
            </w:tcBorders>
            <w:shd w:val="clear" w:color="auto" w:fill="FFFFFF"/>
          </w:tcPr>
          <w:p w14:paraId="2C882BBB">
            <w:pPr>
              <w:pStyle w:val="24"/>
              <w:rPr>
                <w:b w:val="0"/>
                <w:color w:val="000000"/>
                <w:sz w:val="24"/>
                <w:szCs w:val="24"/>
              </w:rPr>
            </w:pPr>
            <w:r>
              <w:rPr>
                <w:b w:val="0"/>
                <w:color w:val="000000"/>
                <w:sz w:val="24"/>
                <w:szCs w:val="24"/>
              </w:rPr>
              <w:t>0</w:t>
            </w:r>
          </w:p>
        </w:tc>
        <w:tc>
          <w:tcPr>
            <w:tcBorders>
              <w:top w:val="nil"/>
              <w:left w:val="nil"/>
              <w:bottom w:val="nil"/>
              <w:right w:val="nil"/>
            </w:tcBorders>
            <w:shd w:val="clear" w:color="auto" w:fill="FFFFFF"/>
          </w:tcPr>
          <w:p w14:paraId="231128FA">
            <w:pPr>
              <w:pStyle w:val="24"/>
              <w:rPr>
                <w:b w:val="0"/>
                <w:color w:val="000000"/>
                <w:sz w:val="24"/>
                <w:szCs w:val="24"/>
              </w:rPr>
            </w:pPr>
            <w:r>
              <w:rPr>
                <w:rFonts w:hint="eastAsia"/>
                <w:b w:val="0"/>
                <w:color w:val="000000"/>
                <w:sz w:val="24"/>
                <w:szCs w:val="24"/>
              </w:rPr>
              <w:t>是</w:t>
            </w:r>
          </w:p>
        </w:tc>
      </w:tr>
      <w:tr w14:paraId="564FFCDE">
        <w:tc>
          <w:tcPr>
            <w:tcBorders>
              <w:top w:val="nil"/>
              <w:left w:val="nil"/>
              <w:bottom w:val="nil"/>
              <w:right w:val="nil"/>
            </w:tcBorders>
            <w:shd w:val="clear" w:color="auto" w:fill="FFFFFF"/>
          </w:tcPr>
          <w:p w14:paraId="4C8B7F33">
            <w:pPr>
              <w:pStyle w:val="24"/>
              <w:rPr>
                <w:b w:val="0"/>
                <w:color w:val="000000"/>
                <w:sz w:val="24"/>
                <w:szCs w:val="24"/>
              </w:rPr>
            </w:pPr>
            <w:r>
              <w:rPr>
                <w:b w:val="0"/>
                <w:color w:val="000000"/>
                <w:sz w:val="24"/>
                <w:szCs w:val="24"/>
              </w:rPr>
              <w:t>14</w:t>
            </w:r>
          </w:p>
        </w:tc>
        <w:tc>
          <w:tcPr>
            <w:tcBorders>
              <w:top w:val="nil"/>
              <w:left w:val="nil"/>
              <w:bottom w:val="nil"/>
              <w:right w:val="nil"/>
            </w:tcBorders>
            <w:shd w:val="clear" w:color="auto" w:fill="FFFFFF"/>
          </w:tcPr>
          <w:p w14:paraId="65160252">
            <w:pPr>
              <w:pStyle w:val="24"/>
              <w:rPr>
                <w:b w:val="0"/>
                <w:color w:val="000000"/>
                <w:sz w:val="24"/>
                <w:szCs w:val="24"/>
              </w:rPr>
            </w:pPr>
            <w:r>
              <w:rPr>
                <w:b w:val="0"/>
                <w:color w:val="000000"/>
                <w:sz w:val="24"/>
                <w:szCs w:val="24"/>
              </w:rPr>
              <w:t>600519</w:t>
            </w:r>
          </w:p>
        </w:tc>
        <w:tc>
          <w:tcPr>
            <w:tcBorders>
              <w:top w:val="nil"/>
              <w:left w:val="nil"/>
              <w:bottom w:val="nil"/>
              <w:right w:val="nil"/>
            </w:tcBorders>
            <w:shd w:val="clear" w:color="auto" w:fill="FFFFFF"/>
          </w:tcPr>
          <w:p w14:paraId="5B5C9912">
            <w:pPr>
              <w:pStyle w:val="24"/>
              <w:rPr>
                <w:b w:val="0"/>
                <w:color w:val="000000"/>
                <w:sz w:val="24"/>
                <w:szCs w:val="24"/>
              </w:rPr>
            </w:pPr>
            <w:r>
              <w:rPr>
                <w:rFonts w:hint="eastAsia"/>
                <w:b w:val="0"/>
                <w:color w:val="000000"/>
                <w:sz w:val="24"/>
                <w:szCs w:val="24"/>
              </w:rPr>
              <w:t>贵州茅台</w:t>
            </w:r>
          </w:p>
        </w:tc>
        <w:tc>
          <w:tcPr>
            <w:tcBorders>
              <w:top w:val="nil"/>
              <w:left w:val="nil"/>
              <w:bottom w:val="nil"/>
              <w:right w:val="nil"/>
            </w:tcBorders>
            <w:shd w:val="clear" w:color="auto" w:fill="FFFFFF"/>
          </w:tcPr>
          <w:p w14:paraId="3FCE1BD8">
            <w:pPr>
              <w:pStyle w:val="24"/>
              <w:rPr>
                <w:b w:val="0"/>
                <w:color w:val="000000"/>
                <w:sz w:val="24"/>
                <w:szCs w:val="24"/>
              </w:rPr>
            </w:pPr>
            <w:r>
              <w:rPr>
                <w:rFonts w:hint="eastAsia"/>
                <w:b w:val="0"/>
                <w:color w:val="000000"/>
                <w:sz w:val="24"/>
                <w:szCs w:val="24"/>
              </w:rPr>
              <w:t>食品饮料/白酒</w:t>
            </w:r>
          </w:p>
        </w:tc>
        <w:tc>
          <w:tcPr>
            <w:tcBorders>
              <w:top w:val="nil"/>
              <w:left w:val="nil"/>
              <w:bottom w:val="nil"/>
              <w:right w:val="nil"/>
            </w:tcBorders>
            <w:shd w:val="clear" w:color="auto" w:fill="FFFFFF"/>
          </w:tcPr>
          <w:p w14:paraId="3741405B">
            <w:pPr>
              <w:pStyle w:val="24"/>
              <w:rPr>
                <w:b w:val="0"/>
                <w:color w:val="000000"/>
                <w:sz w:val="24"/>
                <w:szCs w:val="24"/>
              </w:rPr>
            </w:pPr>
            <w:r>
              <w:rPr>
                <w:rFonts w:hint="eastAsia"/>
                <w:b w:val="0"/>
                <w:color w:val="000000"/>
                <w:sz w:val="24"/>
                <w:szCs w:val="24"/>
              </w:rPr>
              <w:t>A股价值标杆，品牌护城河极深</w:t>
            </w:r>
          </w:p>
        </w:tc>
        <w:tc>
          <w:tcPr>
            <w:tcBorders>
              <w:top w:val="nil"/>
              <w:left w:val="nil"/>
              <w:bottom w:val="nil"/>
              <w:right w:val="nil"/>
            </w:tcBorders>
            <w:shd w:val="clear" w:color="auto" w:fill="FFFFFF"/>
          </w:tcPr>
          <w:p w14:paraId="44E32BB4">
            <w:pPr>
              <w:pStyle w:val="24"/>
              <w:rPr>
                <w:b w:val="0"/>
                <w:color w:val="000000"/>
                <w:sz w:val="24"/>
                <w:szCs w:val="24"/>
              </w:rPr>
            </w:pPr>
            <w:r>
              <w:rPr>
                <w:b w:val="0"/>
                <w:color w:val="000000"/>
                <w:sz w:val="24"/>
                <w:szCs w:val="24"/>
              </w:rPr>
              <w:t>3</w:t>
            </w:r>
          </w:p>
        </w:tc>
        <w:tc>
          <w:tcPr>
            <w:tcBorders>
              <w:top w:val="nil"/>
              <w:left w:val="nil"/>
              <w:bottom w:val="nil"/>
              <w:right w:val="nil"/>
            </w:tcBorders>
            <w:shd w:val="clear" w:color="auto" w:fill="FFFFFF"/>
          </w:tcPr>
          <w:p w14:paraId="040EAB92">
            <w:pPr>
              <w:pStyle w:val="24"/>
              <w:rPr>
                <w:b w:val="0"/>
                <w:color w:val="000000"/>
                <w:sz w:val="24"/>
                <w:szCs w:val="24"/>
              </w:rPr>
            </w:pPr>
            <w:r>
              <w:rPr>
                <w:rFonts w:hint="eastAsia"/>
                <w:b w:val="0"/>
                <w:color w:val="000000"/>
                <w:sz w:val="24"/>
                <w:szCs w:val="24"/>
              </w:rPr>
              <w:t>是</w:t>
            </w:r>
          </w:p>
        </w:tc>
      </w:tr>
      <w:tr w14:paraId="12124563">
        <w:tc>
          <w:tcPr>
            <w:tcBorders>
              <w:top w:val="nil"/>
              <w:left w:val="nil"/>
              <w:bottom w:val="nil"/>
              <w:right w:val="nil"/>
            </w:tcBorders>
            <w:shd w:val="clear" w:color="auto" w:fill="FFFFFF"/>
          </w:tcPr>
          <w:p w14:paraId="592FAA78">
            <w:pPr>
              <w:pStyle w:val="24"/>
              <w:rPr>
                <w:b w:val="0"/>
                <w:color w:val="000000"/>
                <w:sz w:val="24"/>
                <w:szCs w:val="24"/>
              </w:rPr>
            </w:pPr>
            <w:r>
              <w:rPr>
                <w:b w:val="0"/>
                <w:color w:val="000000"/>
                <w:sz w:val="24"/>
                <w:szCs w:val="24"/>
              </w:rPr>
              <w:t>15</w:t>
            </w:r>
          </w:p>
        </w:tc>
        <w:tc>
          <w:tcPr>
            <w:tcBorders>
              <w:top w:val="nil"/>
              <w:left w:val="nil"/>
              <w:bottom w:val="nil"/>
              <w:right w:val="nil"/>
            </w:tcBorders>
            <w:shd w:val="clear" w:color="auto" w:fill="FFFFFF"/>
          </w:tcPr>
          <w:p w14:paraId="1A2EB21A">
            <w:pPr>
              <w:pStyle w:val="24"/>
              <w:rPr>
                <w:b w:val="0"/>
                <w:color w:val="000000"/>
                <w:sz w:val="24"/>
                <w:szCs w:val="24"/>
              </w:rPr>
            </w:pPr>
            <w:r>
              <w:rPr>
                <w:b w:val="0"/>
                <w:color w:val="000000"/>
                <w:sz w:val="24"/>
                <w:szCs w:val="24"/>
              </w:rPr>
              <w:t>002422</w:t>
            </w:r>
          </w:p>
        </w:tc>
        <w:tc>
          <w:tcPr>
            <w:tcBorders>
              <w:top w:val="nil"/>
              <w:left w:val="nil"/>
              <w:bottom w:val="nil"/>
              <w:right w:val="nil"/>
            </w:tcBorders>
            <w:shd w:val="clear" w:color="auto" w:fill="FFFFFF"/>
          </w:tcPr>
          <w:p w14:paraId="68E62A40">
            <w:pPr>
              <w:pStyle w:val="24"/>
              <w:rPr>
                <w:b w:val="0"/>
                <w:color w:val="000000"/>
                <w:sz w:val="24"/>
                <w:szCs w:val="24"/>
              </w:rPr>
            </w:pPr>
            <w:r>
              <w:rPr>
                <w:rFonts w:hint="eastAsia"/>
                <w:b w:val="0"/>
                <w:color w:val="000000"/>
                <w:sz w:val="24"/>
                <w:szCs w:val="24"/>
              </w:rPr>
              <w:t>科伦药业</w:t>
            </w:r>
          </w:p>
        </w:tc>
        <w:tc>
          <w:tcPr>
            <w:tcBorders>
              <w:top w:val="nil"/>
              <w:left w:val="nil"/>
              <w:bottom w:val="nil"/>
              <w:right w:val="nil"/>
            </w:tcBorders>
            <w:shd w:val="clear" w:color="auto" w:fill="FFFFFF"/>
          </w:tcPr>
          <w:p w14:paraId="0365BFB5">
            <w:pPr>
              <w:pStyle w:val="24"/>
              <w:rPr>
                <w:b w:val="0"/>
                <w:color w:val="000000"/>
                <w:sz w:val="24"/>
                <w:szCs w:val="24"/>
              </w:rPr>
            </w:pPr>
            <w:r>
              <w:rPr>
                <w:rFonts w:hint="eastAsia"/>
                <w:b w:val="0"/>
                <w:color w:val="000000"/>
                <w:sz w:val="24"/>
                <w:szCs w:val="24"/>
              </w:rPr>
              <w:t>医药/创新药</w:t>
            </w:r>
          </w:p>
        </w:tc>
        <w:tc>
          <w:tcPr>
            <w:tcBorders>
              <w:top w:val="nil"/>
              <w:left w:val="nil"/>
              <w:bottom w:val="nil"/>
              <w:right w:val="nil"/>
            </w:tcBorders>
            <w:shd w:val="clear" w:color="auto" w:fill="FFFFFF"/>
          </w:tcPr>
          <w:p w14:paraId="321BAF64">
            <w:pPr>
              <w:pStyle w:val="24"/>
              <w:rPr>
                <w:b w:val="0"/>
                <w:color w:val="000000"/>
                <w:sz w:val="24"/>
                <w:szCs w:val="24"/>
              </w:rPr>
            </w:pPr>
            <w:r>
              <w:rPr>
                <w:rFonts w:hint="eastAsia"/>
                <w:b w:val="0"/>
                <w:color w:val="000000"/>
                <w:sz w:val="24"/>
                <w:szCs w:val="24"/>
              </w:rPr>
              <w:t>大输液龙头转型创新药</w:t>
            </w:r>
          </w:p>
        </w:tc>
        <w:tc>
          <w:tcPr>
            <w:tcBorders>
              <w:top w:val="nil"/>
              <w:left w:val="nil"/>
              <w:bottom w:val="nil"/>
              <w:right w:val="nil"/>
            </w:tcBorders>
            <w:shd w:val="clear" w:color="auto" w:fill="FFFFFF"/>
          </w:tcPr>
          <w:p w14:paraId="3FA0BD11">
            <w:pPr>
              <w:pStyle w:val="24"/>
              <w:rPr>
                <w:b w:val="0"/>
                <w:color w:val="000000"/>
                <w:sz w:val="24"/>
                <w:szCs w:val="24"/>
              </w:rPr>
            </w:pPr>
            <w:r>
              <w:rPr>
                <w:b w:val="0"/>
                <w:color w:val="000000"/>
                <w:sz w:val="24"/>
                <w:szCs w:val="24"/>
              </w:rPr>
              <w:t>1</w:t>
            </w:r>
          </w:p>
        </w:tc>
        <w:tc>
          <w:tcPr>
            <w:tcBorders>
              <w:top w:val="nil"/>
              <w:left w:val="nil"/>
              <w:bottom w:val="nil"/>
              <w:right w:val="nil"/>
            </w:tcBorders>
            <w:shd w:val="clear" w:color="auto" w:fill="FFFFFF"/>
          </w:tcPr>
          <w:p w14:paraId="10C541AE">
            <w:pPr>
              <w:pStyle w:val="24"/>
              <w:rPr>
                <w:b w:val="0"/>
                <w:color w:val="000000"/>
                <w:sz w:val="24"/>
                <w:szCs w:val="24"/>
              </w:rPr>
            </w:pPr>
            <w:r>
              <w:rPr>
                <w:rFonts w:hint="eastAsia"/>
                <w:b w:val="0"/>
                <w:color w:val="000000"/>
                <w:sz w:val="24"/>
                <w:szCs w:val="24"/>
              </w:rPr>
              <w:t>否</w:t>
            </w:r>
          </w:p>
        </w:tc>
      </w:tr>
      <w:tr w14:paraId="4714D03F">
        <w:tc>
          <w:tcPr>
            <w:tcBorders>
              <w:top w:val="nil"/>
              <w:left w:val="nil"/>
              <w:bottom w:val="nil"/>
              <w:right w:val="nil"/>
            </w:tcBorders>
            <w:shd w:val="clear" w:color="auto" w:fill="FFFFFF"/>
          </w:tcPr>
          <w:p w14:paraId="7BDE8805">
            <w:pPr>
              <w:pStyle w:val="24"/>
              <w:rPr>
                <w:b w:val="0"/>
                <w:color w:val="000000"/>
                <w:sz w:val="24"/>
                <w:szCs w:val="24"/>
              </w:rPr>
            </w:pPr>
            <w:r>
              <w:rPr>
                <w:b w:val="0"/>
                <w:color w:val="000000"/>
                <w:sz w:val="24"/>
                <w:szCs w:val="24"/>
              </w:rPr>
              <w:t>16</w:t>
            </w:r>
          </w:p>
        </w:tc>
        <w:tc>
          <w:tcPr>
            <w:tcBorders>
              <w:top w:val="nil"/>
              <w:left w:val="nil"/>
              <w:bottom w:val="nil"/>
              <w:right w:val="nil"/>
            </w:tcBorders>
            <w:shd w:val="clear" w:color="auto" w:fill="FFFFFF"/>
          </w:tcPr>
          <w:p w14:paraId="5F5F8D9F">
            <w:pPr>
              <w:pStyle w:val="24"/>
              <w:rPr>
                <w:b w:val="0"/>
                <w:color w:val="000000"/>
                <w:sz w:val="24"/>
                <w:szCs w:val="24"/>
              </w:rPr>
            </w:pPr>
            <w:r>
              <w:rPr>
                <w:b w:val="0"/>
                <w:color w:val="000000"/>
                <w:sz w:val="24"/>
                <w:szCs w:val="24"/>
              </w:rPr>
              <w:t>000333</w:t>
            </w:r>
          </w:p>
        </w:tc>
        <w:tc>
          <w:tcPr>
            <w:tcBorders>
              <w:top w:val="nil"/>
              <w:left w:val="nil"/>
              <w:bottom w:val="nil"/>
              <w:right w:val="nil"/>
            </w:tcBorders>
            <w:shd w:val="clear" w:color="auto" w:fill="FFFFFF"/>
          </w:tcPr>
          <w:p w14:paraId="07F7CCFB">
            <w:pPr>
              <w:pStyle w:val="24"/>
              <w:rPr>
                <w:b w:val="0"/>
                <w:color w:val="000000"/>
                <w:sz w:val="24"/>
                <w:szCs w:val="24"/>
              </w:rPr>
            </w:pPr>
            <w:r>
              <w:rPr>
                <w:rFonts w:hint="eastAsia"/>
                <w:b w:val="0"/>
                <w:color w:val="000000"/>
                <w:sz w:val="24"/>
                <w:szCs w:val="24"/>
              </w:rPr>
              <w:t>美的集团</w:t>
            </w:r>
          </w:p>
        </w:tc>
        <w:tc>
          <w:tcPr>
            <w:tcBorders>
              <w:top w:val="nil"/>
              <w:left w:val="nil"/>
              <w:bottom w:val="nil"/>
              <w:right w:val="nil"/>
            </w:tcBorders>
            <w:shd w:val="clear" w:color="auto" w:fill="FFFFFF"/>
          </w:tcPr>
          <w:p w14:paraId="3C06DA08">
            <w:pPr>
              <w:pStyle w:val="24"/>
              <w:rPr>
                <w:b w:val="0"/>
                <w:color w:val="000000"/>
                <w:sz w:val="24"/>
                <w:szCs w:val="24"/>
              </w:rPr>
            </w:pPr>
            <w:r>
              <w:rPr>
                <w:rFonts w:hint="eastAsia"/>
                <w:b w:val="0"/>
                <w:color w:val="000000"/>
                <w:sz w:val="24"/>
                <w:szCs w:val="24"/>
              </w:rPr>
              <w:t>消费/家电</w:t>
            </w:r>
          </w:p>
        </w:tc>
        <w:tc>
          <w:tcPr>
            <w:tcBorders>
              <w:top w:val="nil"/>
              <w:left w:val="nil"/>
              <w:bottom w:val="nil"/>
              <w:right w:val="nil"/>
            </w:tcBorders>
            <w:shd w:val="clear" w:color="auto" w:fill="FFFFFF"/>
          </w:tcPr>
          <w:p w14:paraId="7F9EAEEB">
            <w:pPr>
              <w:pStyle w:val="24"/>
              <w:rPr>
                <w:b w:val="0"/>
                <w:color w:val="000000"/>
                <w:sz w:val="24"/>
                <w:szCs w:val="24"/>
              </w:rPr>
            </w:pPr>
            <w:r>
              <w:rPr>
                <w:rFonts w:hint="eastAsia"/>
                <w:b w:val="0"/>
                <w:color w:val="000000"/>
                <w:sz w:val="24"/>
                <w:szCs w:val="24"/>
              </w:rPr>
              <w:t>白电龙头，全球化布局，ROE稳定</w:t>
            </w:r>
          </w:p>
        </w:tc>
        <w:tc>
          <w:tcPr>
            <w:tcBorders>
              <w:top w:val="nil"/>
              <w:left w:val="nil"/>
              <w:bottom w:val="nil"/>
              <w:right w:val="nil"/>
            </w:tcBorders>
            <w:shd w:val="clear" w:color="auto" w:fill="FFFFFF"/>
          </w:tcPr>
          <w:p w14:paraId="0FDA5280">
            <w:pPr>
              <w:pStyle w:val="24"/>
              <w:rPr>
                <w:b w:val="0"/>
                <w:color w:val="000000"/>
                <w:sz w:val="24"/>
                <w:szCs w:val="24"/>
              </w:rPr>
            </w:pPr>
            <w:r>
              <w:rPr>
                <w:b w:val="0"/>
                <w:color w:val="000000"/>
                <w:sz w:val="24"/>
                <w:szCs w:val="24"/>
              </w:rPr>
              <w:t>5</w:t>
            </w:r>
          </w:p>
        </w:tc>
        <w:tc>
          <w:tcPr>
            <w:tcBorders>
              <w:top w:val="nil"/>
              <w:left w:val="nil"/>
              <w:bottom w:val="nil"/>
              <w:right w:val="nil"/>
            </w:tcBorders>
            <w:shd w:val="clear" w:color="auto" w:fill="FFFFFF"/>
          </w:tcPr>
          <w:p w14:paraId="2C234DCD">
            <w:pPr>
              <w:pStyle w:val="24"/>
              <w:rPr>
                <w:b w:val="0"/>
                <w:color w:val="000000"/>
                <w:sz w:val="24"/>
                <w:szCs w:val="24"/>
              </w:rPr>
            </w:pPr>
            <w:r>
              <w:rPr>
                <w:rFonts w:hint="eastAsia"/>
                <w:b w:val="0"/>
                <w:color w:val="000000"/>
                <w:sz w:val="24"/>
                <w:szCs w:val="24"/>
              </w:rPr>
              <w:t>否</w:t>
            </w:r>
          </w:p>
        </w:tc>
      </w:tr>
      <w:tr w14:paraId="62545E7E">
        <w:tc>
          <w:tcPr>
            <w:tcBorders>
              <w:top w:val="nil"/>
              <w:left w:val="nil"/>
              <w:bottom w:val="nil"/>
              <w:right w:val="nil"/>
            </w:tcBorders>
            <w:shd w:val="clear" w:color="auto" w:fill="FFFFFF"/>
          </w:tcPr>
          <w:p w14:paraId="1489EC7D">
            <w:pPr>
              <w:pStyle w:val="24"/>
              <w:rPr>
                <w:b w:val="0"/>
                <w:color w:val="000000"/>
                <w:sz w:val="24"/>
                <w:szCs w:val="24"/>
              </w:rPr>
            </w:pPr>
            <w:r>
              <w:rPr>
                <w:b w:val="0"/>
                <w:color w:val="000000"/>
                <w:sz w:val="24"/>
                <w:szCs w:val="24"/>
              </w:rPr>
              <w:t>17</w:t>
            </w:r>
          </w:p>
        </w:tc>
        <w:tc>
          <w:tcPr>
            <w:tcBorders>
              <w:top w:val="nil"/>
              <w:left w:val="nil"/>
              <w:bottom w:val="nil"/>
              <w:right w:val="nil"/>
            </w:tcBorders>
            <w:shd w:val="clear" w:color="auto" w:fill="FFFFFF"/>
          </w:tcPr>
          <w:p w14:paraId="107AB249">
            <w:pPr>
              <w:pStyle w:val="24"/>
              <w:rPr>
                <w:b w:val="0"/>
                <w:color w:val="000000"/>
                <w:sz w:val="24"/>
                <w:szCs w:val="24"/>
              </w:rPr>
            </w:pPr>
            <w:r>
              <w:rPr>
                <w:b w:val="0"/>
                <w:color w:val="000000"/>
                <w:sz w:val="24"/>
                <w:szCs w:val="24"/>
              </w:rPr>
              <w:t>600887</w:t>
            </w:r>
          </w:p>
        </w:tc>
        <w:tc>
          <w:tcPr>
            <w:tcBorders>
              <w:top w:val="nil"/>
              <w:left w:val="nil"/>
              <w:bottom w:val="nil"/>
              <w:right w:val="nil"/>
            </w:tcBorders>
            <w:shd w:val="clear" w:color="auto" w:fill="FFFFFF"/>
          </w:tcPr>
          <w:p w14:paraId="5C696768">
            <w:pPr>
              <w:pStyle w:val="24"/>
              <w:rPr>
                <w:b w:val="0"/>
                <w:color w:val="000000"/>
                <w:sz w:val="24"/>
                <w:szCs w:val="24"/>
              </w:rPr>
            </w:pPr>
            <w:r>
              <w:rPr>
                <w:rFonts w:hint="eastAsia"/>
                <w:b w:val="0"/>
                <w:color w:val="000000"/>
                <w:sz w:val="24"/>
                <w:szCs w:val="24"/>
              </w:rPr>
              <w:t>伊利股份</w:t>
            </w:r>
          </w:p>
        </w:tc>
        <w:tc>
          <w:tcPr>
            <w:tcBorders>
              <w:top w:val="nil"/>
              <w:left w:val="nil"/>
              <w:bottom w:val="nil"/>
              <w:right w:val="nil"/>
            </w:tcBorders>
            <w:shd w:val="clear" w:color="auto" w:fill="FFFFFF"/>
          </w:tcPr>
          <w:p w14:paraId="2D03409D">
            <w:pPr>
              <w:pStyle w:val="24"/>
              <w:rPr>
                <w:b w:val="0"/>
                <w:color w:val="000000"/>
                <w:sz w:val="24"/>
                <w:szCs w:val="24"/>
              </w:rPr>
            </w:pPr>
            <w:r>
              <w:rPr>
                <w:rFonts w:hint="eastAsia"/>
                <w:b w:val="0"/>
                <w:color w:val="000000"/>
                <w:sz w:val="24"/>
                <w:szCs w:val="24"/>
              </w:rPr>
              <w:t>消费/食品饮料</w:t>
            </w:r>
          </w:p>
        </w:tc>
        <w:tc>
          <w:tcPr>
            <w:tcBorders>
              <w:top w:val="nil"/>
              <w:left w:val="nil"/>
              <w:bottom w:val="nil"/>
              <w:right w:val="nil"/>
            </w:tcBorders>
            <w:shd w:val="clear" w:color="auto" w:fill="FFFFFF"/>
          </w:tcPr>
          <w:p w14:paraId="50C7105B">
            <w:pPr>
              <w:pStyle w:val="24"/>
              <w:rPr>
                <w:b w:val="0"/>
                <w:color w:val="000000"/>
                <w:sz w:val="24"/>
                <w:szCs w:val="24"/>
              </w:rPr>
            </w:pPr>
            <w:r>
              <w:rPr>
                <w:rFonts w:hint="eastAsia"/>
                <w:b w:val="0"/>
                <w:color w:val="000000"/>
                <w:sz w:val="24"/>
                <w:szCs w:val="24"/>
              </w:rPr>
              <w:t>乳业龙头，市占率与现金流优势</w:t>
            </w:r>
          </w:p>
        </w:tc>
        <w:tc>
          <w:tcPr>
            <w:tcBorders>
              <w:top w:val="nil"/>
              <w:left w:val="nil"/>
              <w:bottom w:val="nil"/>
              <w:right w:val="nil"/>
            </w:tcBorders>
            <w:shd w:val="clear" w:color="auto" w:fill="FFFFFF"/>
          </w:tcPr>
          <w:p w14:paraId="279E769D">
            <w:pPr>
              <w:pStyle w:val="24"/>
              <w:rPr>
                <w:b w:val="0"/>
                <w:color w:val="000000"/>
                <w:sz w:val="24"/>
                <w:szCs w:val="24"/>
              </w:rPr>
            </w:pPr>
            <w:r>
              <w:rPr>
                <w:b w:val="0"/>
                <w:color w:val="000000"/>
                <w:sz w:val="24"/>
                <w:szCs w:val="24"/>
              </w:rPr>
              <w:t>6</w:t>
            </w:r>
          </w:p>
        </w:tc>
        <w:tc>
          <w:tcPr>
            <w:tcBorders>
              <w:top w:val="nil"/>
              <w:left w:val="nil"/>
              <w:bottom w:val="nil"/>
              <w:right w:val="nil"/>
            </w:tcBorders>
            <w:shd w:val="clear" w:color="auto" w:fill="FFFFFF"/>
          </w:tcPr>
          <w:p w14:paraId="5A18ED62">
            <w:pPr>
              <w:pStyle w:val="24"/>
              <w:rPr>
                <w:b w:val="0"/>
                <w:color w:val="000000"/>
                <w:sz w:val="24"/>
                <w:szCs w:val="24"/>
              </w:rPr>
            </w:pPr>
            <w:r>
              <w:rPr>
                <w:rFonts w:hint="eastAsia"/>
                <w:b w:val="0"/>
                <w:color w:val="000000"/>
                <w:sz w:val="24"/>
                <w:szCs w:val="24"/>
              </w:rPr>
              <w:t>否</w:t>
            </w:r>
          </w:p>
        </w:tc>
      </w:tr>
      <w:tr w14:paraId="38F27C3E">
        <w:tc>
          <w:tcPr>
            <w:tcBorders>
              <w:top w:val="nil"/>
              <w:left w:val="nil"/>
              <w:bottom w:val="nil"/>
              <w:right w:val="nil"/>
            </w:tcBorders>
            <w:shd w:val="clear" w:color="auto" w:fill="FFFFFF"/>
          </w:tcPr>
          <w:p w14:paraId="58176017">
            <w:pPr>
              <w:pStyle w:val="24"/>
              <w:rPr>
                <w:b w:val="0"/>
                <w:color w:val="000000"/>
                <w:sz w:val="24"/>
                <w:szCs w:val="24"/>
              </w:rPr>
            </w:pPr>
            <w:r>
              <w:rPr>
                <w:b w:val="0"/>
                <w:color w:val="000000"/>
                <w:sz w:val="24"/>
                <w:szCs w:val="24"/>
              </w:rPr>
              <w:t>18</w:t>
            </w:r>
          </w:p>
        </w:tc>
        <w:tc>
          <w:tcPr>
            <w:tcBorders>
              <w:top w:val="nil"/>
              <w:left w:val="nil"/>
              <w:bottom w:val="nil"/>
              <w:right w:val="nil"/>
            </w:tcBorders>
            <w:shd w:val="clear" w:color="auto" w:fill="FFFFFF"/>
          </w:tcPr>
          <w:p w14:paraId="3100065D">
            <w:pPr>
              <w:pStyle w:val="24"/>
              <w:rPr>
                <w:b w:val="0"/>
                <w:color w:val="000000"/>
                <w:sz w:val="24"/>
                <w:szCs w:val="24"/>
              </w:rPr>
            </w:pPr>
            <w:r>
              <w:rPr>
                <w:b w:val="0"/>
                <w:color w:val="000000"/>
                <w:sz w:val="24"/>
                <w:szCs w:val="24"/>
              </w:rPr>
              <w:t>hk9992</w:t>
            </w:r>
          </w:p>
        </w:tc>
        <w:tc>
          <w:tcPr>
            <w:tcBorders>
              <w:top w:val="nil"/>
              <w:left w:val="nil"/>
              <w:bottom w:val="nil"/>
              <w:right w:val="nil"/>
            </w:tcBorders>
            <w:shd w:val="clear" w:color="auto" w:fill="FFFFFF"/>
          </w:tcPr>
          <w:p w14:paraId="2A758747">
            <w:pPr>
              <w:pStyle w:val="24"/>
              <w:rPr>
                <w:b w:val="0"/>
                <w:color w:val="000000"/>
                <w:sz w:val="24"/>
                <w:szCs w:val="24"/>
              </w:rPr>
            </w:pPr>
            <w:r>
              <w:rPr>
                <w:rFonts w:hint="eastAsia"/>
                <w:b w:val="0"/>
                <w:color w:val="000000"/>
                <w:sz w:val="24"/>
                <w:szCs w:val="24"/>
              </w:rPr>
              <w:t>泡泡玛特</w:t>
            </w:r>
          </w:p>
        </w:tc>
        <w:tc>
          <w:tcPr>
            <w:tcBorders>
              <w:top w:val="nil"/>
              <w:left w:val="nil"/>
              <w:bottom w:val="nil"/>
              <w:right w:val="nil"/>
            </w:tcBorders>
            <w:shd w:val="clear" w:color="auto" w:fill="FFFFFF"/>
          </w:tcPr>
          <w:p w14:paraId="48ED7422">
            <w:pPr>
              <w:pStyle w:val="24"/>
              <w:rPr>
                <w:b w:val="0"/>
                <w:color w:val="000000"/>
                <w:sz w:val="24"/>
                <w:szCs w:val="24"/>
              </w:rPr>
            </w:pPr>
            <w:r>
              <w:rPr>
                <w:rFonts w:hint="eastAsia"/>
                <w:b w:val="0"/>
                <w:color w:val="000000"/>
                <w:sz w:val="24"/>
                <w:szCs w:val="24"/>
              </w:rPr>
              <w:t>新消费</w:t>
            </w:r>
          </w:p>
        </w:tc>
        <w:tc>
          <w:tcPr>
            <w:tcBorders>
              <w:top w:val="nil"/>
              <w:left w:val="nil"/>
              <w:bottom w:val="nil"/>
              <w:right w:val="nil"/>
            </w:tcBorders>
            <w:shd w:val="clear" w:color="auto" w:fill="FFFFFF"/>
          </w:tcPr>
          <w:p w14:paraId="53E9519A">
            <w:pPr>
              <w:pStyle w:val="24"/>
              <w:rPr>
                <w:b w:val="0"/>
                <w:color w:val="000000"/>
                <w:sz w:val="24"/>
                <w:szCs w:val="24"/>
              </w:rPr>
            </w:pPr>
            <w:r>
              <w:rPr>
                <w:rFonts w:hint="eastAsia"/>
                <w:b w:val="0"/>
                <w:color w:val="000000"/>
                <w:sz w:val="24"/>
                <w:szCs w:val="24"/>
              </w:rPr>
              <w:t>高弹性成长，IP运营+出海驱动</w:t>
            </w:r>
          </w:p>
        </w:tc>
        <w:tc>
          <w:tcPr>
            <w:tcBorders>
              <w:top w:val="nil"/>
              <w:left w:val="nil"/>
              <w:bottom w:val="nil"/>
              <w:right w:val="nil"/>
            </w:tcBorders>
            <w:shd w:val="clear" w:color="auto" w:fill="FFFFFF"/>
          </w:tcPr>
          <w:p w14:paraId="1C23D195">
            <w:pPr>
              <w:pStyle w:val="24"/>
              <w:rPr>
                <w:b w:val="0"/>
                <w:color w:val="000000"/>
                <w:sz w:val="24"/>
                <w:szCs w:val="24"/>
              </w:rPr>
            </w:pPr>
            <w:r>
              <w:rPr>
                <w:b w:val="0"/>
                <w:color w:val="000000"/>
                <w:sz w:val="24"/>
                <w:szCs w:val="24"/>
              </w:rPr>
              <w:t>6</w:t>
            </w:r>
          </w:p>
        </w:tc>
        <w:tc>
          <w:tcPr>
            <w:tcBorders>
              <w:top w:val="nil"/>
              <w:left w:val="nil"/>
              <w:bottom w:val="nil"/>
              <w:right w:val="nil"/>
            </w:tcBorders>
            <w:shd w:val="clear" w:color="auto" w:fill="FFFFFF"/>
          </w:tcPr>
          <w:p w14:paraId="0476838D">
            <w:pPr>
              <w:pStyle w:val="24"/>
              <w:rPr>
                <w:b w:val="0"/>
                <w:color w:val="000000"/>
                <w:sz w:val="24"/>
                <w:szCs w:val="24"/>
              </w:rPr>
            </w:pPr>
            <w:r>
              <w:rPr>
                <w:rFonts w:hint="eastAsia"/>
                <w:b w:val="0"/>
                <w:color w:val="000000"/>
                <w:sz w:val="24"/>
                <w:szCs w:val="24"/>
              </w:rPr>
              <w:t>是</w:t>
            </w:r>
          </w:p>
        </w:tc>
      </w:tr>
      <w:tr w14:paraId="4BB1A683">
        <w:tc>
          <w:tcPr>
            <w:tcBorders>
              <w:top w:val="nil"/>
              <w:left w:val="nil"/>
              <w:bottom w:val="nil"/>
              <w:right w:val="nil"/>
            </w:tcBorders>
            <w:shd w:val="clear" w:color="auto" w:fill="FFFFFF"/>
          </w:tcPr>
          <w:p w14:paraId="120AC815">
            <w:pPr>
              <w:pStyle w:val="24"/>
              <w:rPr>
                <w:b w:val="0"/>
                <w:color w:val="000000"/>
                <w:sz w:val="24"/>
                <w:szCs w:val="24"/>
              </w:rPr>
            </w:pPr>
            <w:r>
              <w:rPr>
                <w:b w:val="0"/>
                <w:color w:val="000000"/>
                <w:sz w:val="24"/>
                <w:szCs w:val="24"/>
              </w:rPr>
              <w:t>19</w:t>
            </w:r>
          </w:p>
        </w:tc>
        <w:tc>
          <w:tcPr>
            <w:tcBorders>
              <w:top w:val="nil"/>
              <w:left w:val="nil"/>
              <w:bottom w:val="nil"/>
              <w:right w:val="nil"/>
            </w:tcBorders>
            <w:shd w:val="clear" w:color="auto" w:fill="FFFFFF"/>
          </w:tcPr>
          <w:p w14:paraId="3DE2D92E">
            <w:pPr>
              <w:pStyle w:val="24"/>
              <w:rPr>
                <w:b w:val="0"/>
                <w:color w:val="000000"/>
                <w:sz w:val="24"/>
                <w:szCs w:val="24"/>
              </w:rPr>
            </w:pPr>
            <w:r>
              <w:rPr>
                <w:b w:val="0"/>
                <w:color w:val="000000"/>
                <w:sz w:val="24"/>
                <w:szCs w:val="24"/>
              </w:rPr>
              <w:t>hk0700</w:t>
            </w:r>
          </w:p>
        </w:tc>
        <w:tc>
          <w:tcPr>
            <w:tcBorders>
              <w:top w:val="nil"/>
              <w:left w:val="nil"/>
              <w:bottom w:val="nil"/>
              <w:right w:val="nil"/>
            </w:tcBorders>
            <w:shd w:val="clear" w:color="auto" w:fill="FFFFFF"/>
          </w:tcPr>
          <w:p w14:paraId="42437DDA">
            <w:pPr>
              <w:pStyle w:val="24"/>
              <w:rPr>
                <w:b w:val="0"/>
                <w:color w:val="000000"/>
                <w:sz w:val="24"/>
                <w:szCs w:val="24"/>
              </w:rPr>
            </w:pPr>
            <w:r>
              <w:rPr>
                <w:rFonts w:hint="eastAsia"/>
                <w:b w:val="0"/>
                <w:color w:val="000000"/>
                <w:sz w:val="24"/>
                <w:szCs w:val="24"/>
              </w:rPr>
              <w:t>腾讯控股</w:t>
            </w:r>
          </w:p>
        </w:tc>
        <w:tc>
          <w:tcPr>
            <w:tcBorders>
              <w:top w:val="nil"/>
              <w:left w:val="nil"/>
              <w:bottom w:val="nil"/>
              <w:right w:val="nil"/>
            </w:tcBorders>
            <w:shd w:val="clear" w:color="auto" w:fill="FFFFFF"/>
          </w:tcPr>
          <w:p w14:paraId="379DC253">
            <w:pPr>
              <w:pStyle w:val="24"/>
              <w:rPr>
                <w:b w:val="0"/>
                <w:color w:val="000000"/>
                <w:sz w:val="24"/>
                <w:szCs w:val="24"/>
              </w:rPr>
            </w:pPr>
            <w:r>
              <w:rPr>
                <w:rFonts w:hint="eastAsia"/>
                <w:b w:val="0"/>
                <w:color w:val="000000"/>
                <w:sz w:val="24"/>
                <w:szCs w:val="24"/>
              </w:rPr>
              <w:t>互联网科技</w:t>
            </w:r>
          </w:p>
        </w:tc>
        <w:tc>
          <w:tcPr>
            <w:tcBorders>
              <w:top w:val="nil"/>
              <w:left w:val="nil"/>
              <w:bottom w:val="nil"/>
              <w:right w:val="nil"/>
            </w:tcBorders>
            <w:shd w:val="clear" w:color="auto" w:fill="FFFFFF"/>
          </w:tcPr>
          <w:p w14:paraId="460D233C">
            <w:pPr>
              <w:pStyle w:val="24"/>
              <w:rPr>
                <w:b w:val="0"/>
                <w:color w:val="000000"/>
                <w:sz w:val="24"/>
                <w:szCs w:val="24"/>
              </w:rPr>
            </w:pPr>
            <w:r>
              <w:rPr>
                <w:rFonts w:hint="eastAsia"/>
                <w:b w:val="0"/>
                <w:color w:val="000000"/>
                <w:sz w:val="24"/>
                <w:szCs w:val="24"/>
              </w:rPr>
              <w:t>社交生态+AI+游戏多元驱动</w:t>
            </w:r>
          </w:p>
        </w:tc>
        <w:tc>
          <w:tcPr>
            <w:tcBorders>
              <w:top w:val="nil"/>
              <w:left w:val="nil"/>
              <w:bottom w:val="nil"/>
              <w:right w:val="nil"/>
            </w:tcBorders>
            <w:shd w:val="clear" w:color="auto" w:fill="FFFFFF"/>
          </w:tcPr>
          <w:p w14:paraId="6E7B0E29">
            <w:pPr>
              <w:pStyle w:val="24"/>
              <w:rPr>
                <w:b w:val="0"/>
                <w:color w:val="000000"/>
                <w:sz w:val="24"/>
                <w:szCs w:val="24"/>
              </w:rPr>
            </w:pPr>
            <w:r>
              <w:rPr>
                <w:b w:val="0"/>
                <w:color w:val="000000"/>
                <w:sz w:val="24"/>
                <w:szCs w:val="24"/>
              </w:rPr>
              <w:t>10</w:t>
            </w:r>
          </w:p>
        </w:tc>
        <w:tc>
          <w:tcPr>
            <w:tcBorders>
              <w:top w:val="nil"/>
              <w:left w:val="nil"/>
              <w:bottom w:val="nil"/>
              <w:right w:val="nil"/>
            </w:tcBorders>
            <w:shd w:val="clear" w:color="auto" w:fill="FFFFFF"/>
          </w:tcPr>
          <w:p w14:paraId="37B0C486">
            <w:pPr>
              <w:pStyle w:val="24"/>
              <w:rPr>
                <w:b w:val="0"/>
                <w:color w:val="000000"/>
                <w:sz w:val="24"/>
                <w:szCs w:val="24"/>
              </w:rPr>
            </w:pPr>
            <w:r>
              <w:rPr>
                <w:rFonts w:hint="eastAsia"/>
                <w:b w:val="0"/>
                <w:color w:val="000000"/>
                <w:sz w:val="24"/>
                <w:szCs w:val="24"/>
              </w:rPr>
              <w:t>是</w:t>
            </w:r>
          </w:p>
        </w:tc>
      </w:tr>
      <w:tr w14:paraId="4B93FDBD">
        <w:tc>
          <w:tcPr>
            <w:tcBorders>
              <w:top w:val="nil"/>
              <w:left w:val="nil"/>
              <w:bottom w:val="single" w:color="000000" w:sz="12" w:space="0"/>
              <w:right w:val="nil"/>
            </w:tcBorders>
            <w:shd w:val="clear" w:color="auto" w:fill="FFFFFF"/>
          </w:tcPr>
          <w:p w14:paraId="3AAD1F08">
            <w:pPr>
              <w:pStyle w:val="24"/>
              <w:rPr>
                <w:b w:val="0"/>
                <w:color w:val="000000"/>
                <w:sz w:val="24"/>
                <w:szCs w:val="24"/>
              </w:rPr>
            </w:pPr>
            <w:r>
              <w:rPr>
                <w:b w:val="0"/>
                <w:color w:val="000000"/>
                <w:sz w:val="24"/>
                <w:szCs w:val="24"/>
              </w:rPr>
              <w:t>20</w:t>
            </w:r>
          </w:p>
        </w:tc>
        <w:tc>
          <w:tcPr>
            <w:tcBorders>
              <w:top w:val="nil"/>
              <w:left w:val="nil"/>
              <w:bottom w:val="single" w:color="000000" w:sz="12" w:space="0"/>
              <w:right w:val="nil"/>
            </w:tcBorders>
            <w:shd w:val="clear" w:color="auto" w:fill="FFFFFF"/>
          </w:tcPr>
          <w:p w14:paraId="20700BE8">
            <w:pPr>
              <w:pStyle w:val="24"/>
              <w:rPr>
                <w:b w:val="0"/>
                <w:color w:val="000000"/>
                <w:sz w:val="24"/>
                <w:szCs w:val="24"/>
              </w:rPr>
            </w:pPr>
            <w:r>
              <w:rPr>
                <w:b w:val="0"/>
                <w:color w:val="000000"/>
                <w:sz w:val="24"/>
                <w:szCs w:val="24"/>
              </w:rPr>
              <w:t>515100</w:t>
            </w:r>
          </w:p>
        </w:tc>
        <w:tc>
          <w:tcPr>
            <w:tcBorders>
              <w:top w:val="nil"/>
              <w:left w:val="nil"/>
              <w:bottom w:val="single" w:color="000000" w:sz="12" w:space="0"/>
              <w:right w:val="nil"/>
            </w:tcBorders>
            <w:shd w:val="clear" w:color="auto" w:fill="FFFFFF"/>
          </w:tcPr>
          <w:p w14:paraId="3BF70C35">
            <w:pPr>
              <w:pStyle w:val="24"/>
              <w:rPr>
                <w:b w:val="0"/>
                <w:color w:val="000000"/>
                <w:sz w:val="24"/>
                <w:szCs w:val="24"/>
              </w:rPr>
            </w:pPr>
            <w:r>
              <w:rPr>
                <w:rFonts w:hint="eastAsia"/>
                <w:b w:val="0"/>
                <w:color w:val="000000"/>
                <w:sz w:val="24"/>
                <w:szCs w:val="24"/>
              </w:rPr>
              <w:t>中证红利低波动100景顺长城</w:t>
            </w:r>
          </w:p>
        </w:tc>
        <w:tc>
          <w:tcPr>
            <w:tcBorders>
              <w:top w:val="nil"/>
              <w:left w:val="nil"/>
              <w:bottom w:val="single" w:color="000000" w:sz="12" w:space="0"/>
              <w:right w:val="nil"/>
            </w:tcBorders>
            <w:shd w:val="clear" w:color="auto" w:fill="FFFFFF"/>
          </w:tcPr>
          <w:p w14:paraId="6E06BE3B">
            <w:pPr>
              <w:pStyle w:val="24"/>
              <w:rPr>
                <w:b w:val="0"/>
                <w:color w:val="000000"/>
                <w:sz w:val="24"/>
                <w:szCs w:val="24"/>
              </w:rPr>
            </w:pPr>
            <w:r>
              <w:rPr>
                <w:rFonts w:hint="eastAsia"/>
                <w:b w:val="0"/>
                <w:color w:val="000000"/>
                <w:sz w:val="24"/>
                <w:szCs w:val="24"/>
              </w:rPr>
              <w:t>红利策略/宽基</w:t>
            </w:r>
          </w:p>
        </w:tc>
        <w:tc>
          <w:tcPr>
            <w:tcBorders>
              <w:top w:val="nil"/>
              <w:left w:val="nil"/>
              <w:bottom w:val="single" w:color="000000" w:sz="12" w:space="0"/>
              <w:right w:val="nil"/>
            </w:tcBorders>
            <w:shd w:val="clear" w:color="auto" w:fill="FFFFFF"/>
          </w:tcPr>
          <w:p w14:paraId="3A67BC9B">
            <w:pPr>
              <w:pStyle w:val="24"/>
              <w:rPr>
                <w:b w:val="0"/>
                <w:color w:val="000000"/>
                <w:sz w:val="24"/>
                <w:szCs w:val="24"/>
              </w:rPr>
            </w:pPr>
            <w:r>
              <w:rPr>
                <w:rFonts w:hint="eastAsia"/>
                <w:b w:val="0"/>
                <w:color w:val="000000"/>
                <w:sz w:val="24"/>
                <w:szCs w:val="24"/>
              </w:rPr>
              <w:t>高股息低波动，穿越周期稳收益</w:t>
            </w:r>
          </w:p>
        </w:tc>
        <w:tc>
          <w:tcPr>
            <w:tcBorders>
              <w:top w:val="nil"/>
              <w:left w:val="nil"/>
              <w:bottom w:val="single" w:color="000000" w:sz="12" w:space="0"/>
              <w:right w:val="nil"/>
            </w:tcBorders>
            <w:shd w:val="clear" w:color="auto" w:fill="FFFFFF"/>
          </w:tcPr>
          <w:p w14:paraId="50532F03">
            <w:pPr>
              <w:pStyle w:val="24"/>
              <w:rPr>
                <w:b w:val="0"/>
                <w:color w:val="000000"/>
                <w:sz w:val="24"/>
                <w:szCs w:val="24"/>
              </w:rPr>
            </w:pPr>
            <w:r>
              <w:rPr>
                <w:b w:val="0"/>
                <w:color w:val="000000"/>
                <w:sz w:val="24"/>
                <w:szCs w:val="24"/>
              </w:rPr>
              <w:t>0</w:t>
            </w:r>
          </w:p>
        </w:tc>
        <w:tc>
          <w:tcPr>
            <w:tcBorders>
              <w:top w:val="nil"/>
              <w:left w:val="nil"/>
              <w:bottom w:val="single" w:color="000000" w:sz="12" w:space="0"/>
              <w:right w:val="nil"/>
            </w:tcBorders>
            <w:shd w:val="clear" w:color="auto" w:fill="FFFFFF"/>
          </w:tcPr>
          <w:p w14:paraId="26A09AE7">
            <w:pPr>
              <w:pStyle w:val="24"/>
              <w:rPr>
                <w:b w:val="0"/>
                <w:color w:val="000000"/>
                <w:sz w:val="24"/>
                <w:szCs w:val="24"/>
              </w:rPr>
            </w:pPr>
            <w:r>
              <w:rPr>
                <w:rFonts w:hint="eastAsia"/>
                <w:b w:val="0"/>
                <w:color w:val="000000"/>
                <w:sz w:val="24"/>
                <w:szCs w:val="24"/>
              </w:rPr>
              <w:t>是</w:t>
            </w:r>
          </w:p>
        </w:tc>
      </w:tr>
    </w:tbl>
    <w:p w14:paraId="612024AC">
      <w:pPr>
        <w:pStyle w:val="3"/>
        <w:rPr>
          <w:sz w:val="24"/>
          <w:szCs w:val="24"/>
        </w:rPr>
      </w:pPr>
      <w:r>
        <w:rPr>
          <w:rFonts w:hint="eastAsia"/>
          <w:b/>
          <w:bCs/>
          <w:sz w:val="24"/>
          <w:szCs w:val="24"/>
        </w:rPr>
        <w:t>VQM动态选股</w:t>
      </w:r>
      <w:r>
        <w:rPr>
          <w:b/>
          <w:bCs/>
          <w:sz w:val="24"/>
          <w:szCs w:val="24"/>
        </w:rPr>
        <w:t xml:space="preserve"> vs </w:t>
      </w:r>
      <w:r>
        <w:rPr>
          <w:rFonts w:hint="eastAsia"/>
          <w:b/>
          <w:bCs/>
          <w:sz w:val="24"/>
          <w:szCs w:val="24"/>
        </w:rPr>
        <w:t>人工预设的差异</w:t>
      </w:r>
      <w:r>
        <w:rPr>
          <w:rFonts w:hint="eastAsia"/>
          <w:sz w:val="24"/>
          <w:szCs w:val="24"/>
        </w:rPr>
        <w:t>：人工预设的10只中有3只（同仁堂、恒瑞医药、百济神州）从未被策略选中，红利ETF同样未被选中；而策略实际高频选中的江波龙（16次）、佰维存储（15次）在预设名单中均标为”否”。策略动态选出的10只持仓股票为：德明利、江波龙、佰维存储、普冉股份、兆易创新、泡泡玛特、腾讯控股、达仁堂、美的集团、伊利股份，与人工预设名单仅有5只重合。</w:t>
      </w:r>
    </w:p>
    <w:p w14:paraId="1ABD7867">
      <w:pPr>
        <w:pStyle w:val="5"/>
        <w:rPr>
          <w:sz w:val="24"/>
          <w:szCs w:val="24"/>
        </w:rPr>
      </w:pPr>
      <w:bookmarkStart w:id="7" w:name="聚焦10只股票的行业分布"/>
      <w:r>
        <w:rPr>
          <w:rFonts w:hint="eastAsia"/>
          <w:sz w:val="24"/>
          <w:szCs w:val="24"/>
        </w:rPr>
        <w:t>聚焦10只股票的行业分布</w:t>
      </w:r>
    </w:p>
    <w:tbl>
      <w:tblPr>
        <w:tblStyle w:val="41"/>
        <w:tblW w:w="0" w:type="auto"/>
        <w:tblInd w:w="0" w:type="dxa"/>
        <w:tblLayout w:type="autofit"/>
        <w:tblCellMar>
          <w:top w:w="0" w:type="dxa"/>
          <w:left w:w="108" w:type="dxa"/>
          <w:bottom w:w="0" w:type="dxa"/>
          <w:right w:w="108" w:type="dxa"/>
        </w:tblCellMar>
      </w:tblPr>
      <w:tblGrid>
        <w:gridCol w:w="936"/>
        <w:gridCol w:w="696"/>
        <w:gridCol w:w="5496"/>
      </w:tblGrid>
      <w:tr w14:paraId="52D5FF88">
        <w:trPr>
          <w:tblHeader/>
        </w:trPr>
        <w:tc>
          <w:tcPr>
            <w:tcBorders>
              <w:top w:val="single" w:color="000000" w:sz="12" w:space="0"/>
              <w:left w:val="nil"/>
              <w:bottom w:val="single" w:color="000000" w:sz="4" w:space="0"/>
              <w:right w:val="nil"/>
              <w:tl2br w:val="nil"/>
            </w:tcBorders>
            <w:shd w:val="clear" w:color="auto" w:fill="FFFFFF"/>
          </w:tcPr>
          <w:p w14:paraId="2C7AD532">
            <w:pPr>
              <w:pStyle w:val="24"/>
              <w:jc w:val="left"/>
              <w:rPr>
                <w:b w:val="0"/>
                <w:color w:val="000000"/>
                <w:sz w:val="24"/>
                <w:szCs w:val="24"/>
              </w:rPr>
            </w:pPr>
            <w:r>
              <w:rPr>
                <w:rFonts w:hint="eastAsia"/>
                <w:b w:val="0"/>
                <w:color w:val="000000"/>
                <w:sz w:val="24"/>
                <w:szCs w:val="24"/>
              </w:rPr>
              <w:t>行业</w:t>
            </w:r>
          </w:p>
        </w:tc>
        <w:tc>
          <w:tcPr>
            <w:tcBorders>
              <w:top w:val="single" w:color="000000" w:sz="12" w:space="0"/>
              <w:left w:val="nil"/>
              <w:bottom w:val="single" w:color="000000" w:sz="4" w:space="0"/>
              <w:right w:val="nil"/>
            </w:tcBorders>
            <w:shd w:val="clear" w:color="auto" w:fill="FFFFFF"/>
          </w:tcPr>
          <w:p w14:paraId="2B88F10B">
            <w:pPr>
              <w:pStyle w:val="24"/>
              <w:jc w:val="right"/>
              <w:rPr>
                <w:b w:val="0"/>
                <w:color w:val="000000"/>
                <w:sz w:val="24"/>
                <w:szCs w:val="24"/>
              </w:rPr>
            </w:pPr>
            <w:r>
              <w:rPr>
                <w:rFonts w:hint="eastAsia"/>
                <w:b w:val="0"/>
                <w:color w:val="000000"/>
                <w:sz w:val="24"/>
                <w:szCs w:val="24"/>
              </w:rPr>
              <w:t>数量</w:t>
            </w:r>
          </w:p>
        </w:tc>
        <w:tc>
          <w:tcPr>
            <w:tcBorders>
              <w:top w:val="single" w:color="000000" w:sz="12" w:space="0"/>
              <w:left w:val="nil"/>
              <w:bottom w:val="single" w:color="000000" w:sz="4" w:space="0"/>
              <w:right w:val="nil"/>
            </w:tcBorders>
            <w:shd w:val="clear" w:color="auto" w:fill="FFFFFF"/>
          </w:tcPr>
          <w:p w14:paraId="07FA49DF">
            <w:pPr>
              <w:pStyle w:val="24"/>
              <w:jc w:val="left"/>
              <w:rPr>
                <w:b w:val="0"/>
                <w:color w:val="000000"/>
                <w:sz w:val="24"/>
                <w:szCs w:val="24"/>
              </w:rPr>
            </w:pPr>
            <w:r>
              <w:rPr>
                <w:rFonts w:hint="eastAsia"/>
                <w:b w:val="0"/>
                <w:color w:val="000000"/>
                <w:sz w:val="24"/>
                <w:szCs w:val="24"/>
              </w:rPr>
              <w:t>代表股票</w:t>
            </w:r>
          </w:p>
        </w:tc>
      </w:tr>
      <w:tr w14:paraId="096E34A3">
        <w:tc>
          <w:tcPr>
            <w:tcBorders>
              <w:top w:val="single" w:color="000000" w:sz="4" w:space="0"/>
              <w:left w:val="nil"/>
              <w:bottom w:val="nil"/>
              <w:right w:val="nil"/>
            </w:tcBorders>
            <w:shd w:val="clear" w:color="auto" w:fill="FFFFFF"/>
          </w:tcPr>
          <w:p w14:paraId="11BF6BE6">
            <w:pPr>
              <w:pStyle w:val="24"/>
              <w:jc w:val="left"/>
              <w:rPr>
                <w:b w:val="0"/>
                <w:color w:val="000000"/>
                <w:sz w:val="24"/>
                <w:szCs w:val="24"/>
              </w:rPr>
            </w:pPr>
            <w:r>
              <w:rPr>
                <w:rFonts w:hint="eastAsia"/>
                <w:b w:val="0"/>
                <w:color w:val="000000"/>
                <w:sz w:val="24"/>
                <w:szCs w:val="24"/>
              </w:rPr>
              <w:t>半导体</w:t>
            </w:r>
          </w:p>
        </w:tc>
        <w:tc>
          <w:tcPr>
            <w:tcBorders>
              <w:top w:val="single" w:color="000000" w:sz="4" w:space="0"/>
              <w:left w:val="nil"/>
              <w:bottom w:val="nil"/>
              <w:right w:val="nil"/>
            </w:tcBorders>
            <w:shd w:val="clear" w:color="auto" w:fill="FFFFFF"/>
          </w:tcPr>
          <w:p w14:paraId="6CE898AC">
            <w:pPr>
              <w:pStyle w:val="24"/>
              <w:jc w:val="right"/>
              <w:rPr>
                <w:b w:val="0"/>
                <w:color w:val="000000"/>
                <w:sz w:val="24"/>
                <w:szCs w:val="24"/>
              </w:rPr>
            </w:pPr>
            <w:r>
              <w:rPr>
                <w:b w:val="0"/>
                <w:color w:val="000000"/>
                <w:sz w:val="24"/>
                <w:szCs w:val="24"/>
              </w:rPr>
              <w:t>5</w:t>
            </w:r>
          </w:p>
        </w:tc>
        <w:tc>
          <w:tcPr>
            <w:tcBorders>
              <w:top w:val="single" w:color="000000" w:sz="4" w:space="0"/>
              <w:left w:val="nil"/>
              <w:bottom w:val="nil"/>
              <w:right w:val="nil"/>
            </w:tcBorders>
            <w:shd w:val="clear" w:color="auto" w:fill="FFFFFF"/>
          </w:tcPr>
          <w:p w14:paraId="3A565C81">
            <w:pPr>
              <w:pStyle w:val="24"/>
              <w:jc w:val="left"/>
              <w:rPr>
                <w:b w:val="0"/>
                <w:color w:val="000000"/>
                <w:sz w:val="24"/>
                <w:szCs w:val="24"/>
              </w:rPr>
            </w:pPr>
            <w:r>
              <w:rPr>
                <w:rFonts w:hint="eastAsia"/>
                <w:b w:val="0"/>
                <w:color w:val="000000"/>
                <w:sz w:val="24"/>
                <w:szCs w:val="24"/>
              </w:rPr>
              <w:t>德明利、江波龙、佰维存储、兆易创新、普冉股份</w:t>
            </w:r>
          </w:p>
        </w:tc>
      </w:tr>
      <w:tr w14:paraId="2A72D0F4">
        <w:tc>
          <w:tcPr>
            <w:tcBorders>
              <w:top w:val="nil"/>
              <w:left w:val="nil"/>
              <w:bottom w:val="nil"/>
              <w:right w:val="nil"/>
            </w:tcBorders>
            <w:shd w:val="clear" w:color="auto" w:fill="FFFFFF"/>
          </w:tcPr>
          <w:p w14:paraId="595F0F25">
            <w:pPr>
              <w:pStyle w:val="24"/>
              <w:jc w:val="left"/>
              <w:rPr>
                <w:b w:val="0"/>
                <w:color w:val="000000"/>
                <w:sz w:val="24"/>
                <w:szCs w:val="24"/>
              </w:rPr>
            </w:pPr>
            <w:r>
              <w:rPr>
                <w:rFonts w:hint="eastAsia"/>
                <w:b w:val="0"/>
                <w:color w:val="000000"/>
                <w:sz w:val="24"/>
                <w:szCs w:val="24"/>
              </w:rPr>
              <w:t>消费</w:t>
            </w:r>
          </w:p>
        </w:tc>
        <w:tc>
          <w:tcPr>
            <w:tcBorders>
              <w:top w:val="nil"/>
              <w:left w:val="nil"/>
              <w:bottom w:val="nil"/>
              <w:right w:val="nil"/>
            </w:tcBorders>
            <w:shd w:val="clear" w:color="auto" w:fill="FFFFFF"/>
          </w:tcPr>
          <w:p w14:paraId="1A8C72F2">
            <w:pPr>
              <w:pStyle w:val="24"/>
              <w:jc w:val="right"/>
              <w:rPr>
                <w:b w:val="0"/>
                <w:color w:val="000000"/>
                <w:sz w:val="24"/>
                <w:szCs w:val="24"/>
              </w:rPr>
            </w:pPr>
            <w:r>
              <w:rPr>
                <w:b w:val="0"/>
                <w:color w:val="000000"/>
                <w:sz w:val="24"/>
                <w:szCs w:val="24"/>
              </w:rPr>
              <w:t>3</w:t>
            </w:r>
          </w:p>
        </w:tc>
        <w:tc>
          <w:tcPr>
            <w:tcBorders>
              <w:top w:val="nil"/>
              <w:left w:val="nil"/>
              <w:bottom w:val="nil"/>
              <w:right w:val="nil"/>
            </w:tcBorders>
            <w:shd w:val="clear" w:color="auto" w:fill="FFFFFF"/>
          </w:tcPr>
          <w:p w14:paraId="29606DE2">
            <w:pPr>
              <w:pStyle w:val="24"/>
              <w:jc w:val="left"/>
              <w:rPr>
                <w:b w:val="0"/>
                <w:color w:val="000000"/>
                <w:sz w:val="24"/>
                <w:szCs w:val="24"/>
              </w:rPr>
            </w:pPr>
            <w:r>
              <w:rPr>
                <w:rFonts w:hint="eastAsia"/>
                <w:b w:val="0"/>
                <w:color w:val="000000"/>
                <w:sz w:val="24"/>
                <w:szCs w:val="24"/>
              </w:rPr>
              <w:t>泡泡玛特、美的集团、伊利股份</w:t>
            </w:r>
          </w:p>
        </w:tc>
      </w:tr>
      <w:tr w14:paraId="0F1AC601">
        <w:tc>
          <w:tcPr>
            <w:tcBorders>
              <w:top w:val="nil"/>
              <w:left w:val="nil"/>
              <w:bottom w:val="nil"/>
              <w:right w:val="nil"/>
            </w:tcBorders>
            <w:shd w:val="clear" w:color="auto" w:fill="FFFFFF"/>
          </w:tcPr>
          <w:p w14:paraId="060C242C">
            <w:pPr>
              <w:pStyle w:val="24"/>
              <w:jc w:val="left"/>
              <w:rPr>
                <w:b w:val="0"/>
                <w:color w:val="000000"/>
                <w:sz w:val="24"/>
                <w:szCs w:val="24"/>
              </w:rPr>
            </w:pPr>
            <w:r>
              <w:rPr>
                <w:rFonts w:hint="eastAsia"/>
                <w:b w:val="0"/>
                <w:color w:val="000000"/>
                <w:sz w:val="24"/>
                <w:szCs w:val="24"/>
              </w:rPr>
              <w:t>互联网</w:t>
            </w:r>
          </w:p>
        </w:tc>
        <w:tc>
          <w:tcPr>
            <w:tcBorders>
              <w:top w:val="nil"/>
              <w:left w:val="nil"/>
              <w:bottom w:val="nil"/>
              <w:right w:val="nil"/>
            </w:tcBorders>
            <w:shd w:val="clear" w:color="auto" w:fill="FFFFFF"/>
          </w:tcPr>
          <w:p w14:paraId="3C38839E">
            <w:pPr>
              <w:pStyle w:val="24"/>
              <w:jc w:val="right"/>
              <w:rPr>
                <w:b w:val="0"/>
                <w:color w:val="000000"/>
                <w:sz w:val="24"/>
                <w:szCs w:val="24"/>
              </w:rPr>
            </w:pPr>
            <w:r>
              <w:rPr>
                <w:b w:val="0"/>
                <w:color w:val="000000"/>
                <w:sz w:val="24"/>
                <w:szCs w:val="24"/>
              </w:rPr>
              <w:t>1</w:t>
            </w:r>
          </w:p>
        </w:tc>
        <w:tc>
          <w:tcPr>
            <w:tcBorders>
              <w:top w:val="nil"/>
              <w:left w:val="nil"/>
              <w:bottom w:val="nil"/>
              <w:right w:val="nil"/>
            </w:tcBorders>
            <w:shd w:val="clear" w:color="auto" w:fill="FFFFFF"/>
          </w:tcPr>
          <w:p w14:paraId="7E994F5B">
            <w:pPr>
              <w:pStyle w:val="24"/>
              <w:jc w:val="left"/>
              <w:rPr>
                <w:b w:val="0"/>
                <w:color w:val="000000"/>
                <w:sz w:val="24"/>
                <w:szCs w:val="24"/>
              </w:rPr>
            </w:pPr>
            <w:r>
              <w:rPr>
                <w:rFonts w:hint="eastAsia"/>
                <w:b w:val="0"/>
                <w:color w:val="000000"/>
                <w:sz w:val="24"/>
                <w:szCs w:val="24"/>
              </w:rPr>
              <w:t>腾讯控股</w:t>
            </w:r>
          </w:p>
        </w:tc>
      </w:tr>
      <w:tr w14:paraId="6402C27B">
        <w:tc>
          <w:tcPr>
            <w:tcBorders>
              <w:top w:val="nil"/>
              <w:left w:val="nil"/>
              <w:bottom w:val="single" w:color="000000" w:sz="12" w:space="0"/>
              <w:right w:val="nil"/>
            </w:tcBorders>
            <w:shd w:val="clear" w:color="auto" w:fill="FFFFFF"/>
          </w:tcPr>
          <w:p w14:paraId="371AB705">
            <w:pPr>
              <w:pStyle w:val="24"/>
              <w:jc w:val="left"/>
              <w:rPr>
                <w:b w:val="0"/>
                <w:color w:val="000000"/>
                <w:sz w:val="24"/>
                <w:szCs w:val="24"/>
              </w:rPr>
            </w:pPr>
            <w:r>
              <w:rPr>
                <w:rFonts w:hint="eastAsia"/>
                <w:b w:val="0"/>
                <w:color w:val="000000"/>
                <w:sz w:val="24"/>
                <w:szCs w:val="24"/>
              </w:rPr>
              <w:t>医药</w:t>
            </w:r>
          </w:p>
        </w:tc>
        <w:tc>
          <w:tcPr>
            <w:tcBorders>
              <w:top w:val="nil"/>
              <w:left w:val="nil"/>
              <w:bottom w:val="single" w:color="000000" w:sz="12" w:space="0"/>
              <w:right w:val="nil"/>
            </w:tcBorders>
            <w:shd w:val="clear" w:color="auto" w:fill="FFFFFF"/>
          </w:tcPr>
          <w:p w14:paraId="38A66EB7">
            <w:pPr>
              <w:pStyle w:val="24"/>
              <w:jc w:val="right"/>
              <w:rPr>
                <w:b w:val="0"/>
                <w:color w:val="000000"/>
                <w:sz w:val="24"/>
                <w:szCs w:val="24"/>
              </w:rPr>
            </w:pPr>
            <w:r>
              <w:rPr>
                <w:b w:val="0"/>
                <w:color w:val="000000"/>
                <w:sz w:val="24"/>
                <w:szCs w:val="24"/>
              </w:rPr>
              <w:t>1</w:t>
            </w:r>
          </w:p>
        </w:tc>
        <w:tc>
          <w:tcPr>
            <w:tcBorders>
              <w:top w:val="nil"/>
              <w:left w:val="nil"/>
              <w:bottom w:val="single" w:color="000000" w:sz="12" w:space="0"/>
              <w:right w:val="nil"/>
            </w:tcBorders>
            <w:shd w:val="clear" w:color="auto" w:fill="FFFFFF"/>
          </w:tcPr>
          <w:p w14:paraId="217AE152">
            <w:pPr>
              <w:pStyle w:val="24"/>
              <w:jc w:val="left"/>
              <w:rPr>
                <w:b w:val="0"/>
                <w:color w:val="000000"/>
                <w:sz w:val="24"/>
                <w:szCs w:val="24"/>
              </w:rPr>
            </w:pPr>
            <w:r>
              <w:rPr>
                <w:rFonts w:hint="eastAsia"/>
                <w:b w:val="0"/>
                <w:color w:val="000000"/>
                <w:sz w:val="24"/>
                <w:szCs w:val="24"/>
              </w:rPr>
              <w:t>达仁堂</w:t>
            </w:r>
          </w:p>
        </w:tc>
      </w:tr>
      <w:bookmarkEnd w:id="6"/>
      <w:bookmarkEnd w:id="7"/>
    </w:tbl>
    <w:p w14:paraId="634BE000">
      <w:pPr>
        <w:pStyle w:val="4"/>
        <w:rPr>
          <w:sz w:val="24"/>
          <w:szCs w:val="24"/>
        </w:rPr>
      </w:pPr>
      <w:bookmarkStart w:id="8" w:name="数据来源和字段字典"/>
      <w:r>
        <w:rPr>
          <w:sz w:val="24"/>
          <w:szCs w:val="24"/>
        </w:rPr>
        <w:t xml:space="preserve">2.2 </w:t>
      </w:r>
      <w:r>
        <w:rPr>
          <w:rFonts w:hint="eastAsia"/>
          <w:sz w:val="24"/>
          <w:szCs w:val="24"/>
        </w:rPr>
        <w:t>数据来源和字段字典</w:t>
      </w:r>
    </w:p>
    <w:tbl>
      <w:tblPr>
        <w:tblStyle w:val="41"/>
        <w:tblpPr w:leftFromText="180" w:rightFromText="180" w:vertAnchor="text" w:horzAnchor="page" w:tblpX="1778" w:tblpY="388"/>
        <w:tblOverlap w:val="never"/>
        <w:tblW w:w="5000" w:type="pct"/>
        <w:tblInd w:w="0" w:type="dxa"/>
        <w:tblLayout w:type="fixed"/>
        <w:tblCellMar>
          <w:top w:w="0" w:type="dxa"/>
          <w:left w:w="108" w:type="dxa"/>
          <w:bottom w:w="0" w:type="dxa"/>
          <w:right w:w="108" w:type="dxa"/>
        </w:tblCellMar>
      </w:tblPr>
      <w:tblGrid>
        <w:gridCol w:w="2952"/>
        <w:gridCol w:w="2952"/>
        <w:gridCol w:w="2952"/>
      </w:tblGrid>
      <w:tr w14:paraId="74037927">
        <w:trPr>
          <w:tblHeader/>
        </w:trPr>
        <w:tc>
          <w:tcPr>
            <w:tcBorders>
              <w:top w:val="single" w:color="000000" w:sz="12" w:space="0"/>
              <w:left w:val="nil"/>
              <w:bottom w:val="single" w:color="000000" w:sz="4" w:space="0"/>
              <w:right w:val="nil"/>
              <w:tl2br w:val="nil"/>
            </w:tcBorders>
            <w:shd w:val="clear" w:color="auto" w:fill="FFFFFF"/>
          </w:tcPr>
          <w:p w14:paraId="437BCDCD">
            <w:pPr>
              <w:pStyle w:val="24"/>
              <w:jc w:val="left"/>
              <w:rPr>
                <w:b w:val="0"/>
                <w:color w:val="000000"/>
                <w:sz w:val="24"/>
                <w:szCs w:val="24"/>
              </w:rPr>
            </w:pPr>
            <w:bookmarkStart w:id="9" w:name="数据来源"/>
            <w:r>
              <w:rPr>
                <w:rFonts w:hint="eastAsia"/>
                <w:b w:val="0"/>
                <w:color w:val="000000"/>
                <w:sz w:val="24"/>
                <w:szCs w:val="24"/>
              </w:rPr>
              <w:t>数据类型</w:t>
            </w:r>
          </w:p>
        </w:tc>
        <w:tc>
          <w:tcPr>
            <w:tcBorders>
              <w:top w:val="single" w:color="000000" w:sz="12" w:space="0"/>
              <w:left w:val="nil"/>
              <w:bottom w:val="single" w:color="000000" w:sz="4" w:space="0"/>
              <w:right w:val="nil"/>
            </w:tcBorders>
            <w:shd w:val="clear" w:color="auto" w:fill="FFFFFF"/>
          </w:tcPr>
          <w:p w14:paraId="25FE868A">
            <w:pPr>
              <w:pStyle w:val="24"/>
              <w:jc w:val="left"/>
              <w:rPr>
                <w:b w:val="0"/>
                <w:color w:val="000000"/>
                <w:sz w:val="24"/>
                <w:szCs w:val="24"/>
              </w:rPr>
            </w:pPr>
            <w:r>
              <w:rPr>
                <w:rFonts w:hint="eastAsia"/>
                <w:b w:val="0"/>
                <w:color w:val="000000"/>
                <w:sz w:val="24"/>
                <w:szCs w:val="24"/>
              </w:rPr>
              <w:t>来源</w:t>
            </w:r>
          </w:p>
        </w:tc>
        <w:tc>
          <w:tcPr>
            <w:tcBorders>
              <w:top w:val="single" w:color="000000" w:sz="12" w:space="0"/>
              <w:left w:val="nil"/>
              <w:bottom w:val="single" w:color="000000" w:sz="4" w:space="0"/>
              <w:right w:val="nil"/>
            </w:tcBorders>
            <w:shd w:val="clear" w:color="auto" w:fill="FFFFFF"/>
          </w:tcPr>
          <w:p w14:paraId="2824E25B">
            <w:pPr>
              <w:pStyle w:val="24"/>
              <w:jc w:val="left"/>
              <w:rPr>
                <w:b w:val="0"/>
                <w:color w:val="000000"/>
                <w:sz w:val="24"/>
                <w:szCs w:val="24"/>
              </w:rPr>
            </w:pPr>
            <w:r>
              <w:rPr>
                <w:rFonts w:hint="eastAsia"/>
                <w:b w:val="0"/>
                <w:color w:val="000000"/>
                <w:sz w:val="24"/>
                <w:szCs w:val="24"/>
              </w:rPr>
              <w:t>说明</w:t>
            </w:r>
          </w:p>
        </w:tc>
      </w:tr>
      <w:tr w14:paraId="45D56154">
        <w:tc>
          <w:tcPr>
            <w:tcBorders>
              <w:top w:val="single" w:color="000000" w:sz="4" w:space="0"/>
              <w:left w:val="nil"/>
              <w:bottom w:val="nil"/>
              <w:right w:val="nil"/>
            </w:tcBorders>
            <w:shd w:val="clear" w:color="auto" w:fill="FFFFFF"/>
          </w:tcPr>
          <w:p w14:paraId="6C346DB6">
            <w:pPr>
              <w:pStyle w:val="24"/>
              <w:jc w:val="left"/>
              <w:rPr>
                <w:b w:val="0"/>
                <w:color w:val="000000"/>
                <w:sz w:val="24"/>
                <w:szCs w:val="24"/>
              </w:rPr>
            </w:pPr>
            <w:r>
              <w:rPr>
                <w:rFonts w:hint="eastAsia"/>
                <w:b w:val="0"/>
                <w:color w:val="000000"/>
                <w:sz w:val="24"/>
                <w:szCs w:val="24"/>
              </w:rPr>
              <w:t>A股日线（17只）</w:t>
            </w:r>
          </w:p>
        </w:tc>
        <w:tc>
          <w:tcPr>
            <w:tcBorders>
              <w:top w:val="single" w:color="000000" w:sz="4" w:space="0"/>
              <w:left w:val="nil"/>
              <w:bottom w:val="nil"/>
              <w:right w:val="nil"/>
            </w:tcBorders>
            <w:shd w:val="clear" w:color="auto" w:fill="FFFFFF"/>
          </w:tcPr>
          <w:p w14:paraId="147A7229">
            <w:pPr>
              <w:pStyle w:val="24"/>
              <w:jc w:val="left"/>
              <w:rPr>
                <w:b w:val="0"/>
                <w:color w:val="000000"/>
                <w:sz w:val="24"/>
                <w:szCs w:val="24"/>
              </w:rPr>
            </w:pPr>
            <w:r>
              <w:rPr>
                <w:rFonts w:hint="eastAsia"/>
                <w:b w:val="0"/>
                <w:color w:val="000000"/>
                <w:sz w:val="24"/>
                <w:szCs w:val="24"/>
              </w:rPr>
              <w:t>本地</w:t>
            </w:r>
            <w:r>
              <w:rPr>
                <w:b w:val="0"/>
                <w:color w:val="000000"/>
                <w:sz w:val="24"/>
                <w:szCs w:val="24"/>
              </w:rPr>
              <w:t xml:space="preserve"> </w:t>
            </w:r>
            <w:r>
              <w:rPr>
                <w:rFonts w:hint="eastAsia"/>
                <w:b w:val="0"/>
                <w:color w:val="000000"/>
                <w:sz w:val="24"/>
                <w:szCs w:val="24"/>
              </w:rPr>
              <w:t>CSV（Ashare20260721</w:t>
            </w:r>
            <w:r>
              <w:rPr>
                <w:b w:val="0"/>
                <w:color w:val="000000"/>
                <w:sz w:val="24"/>
                <w:szCs w:val="24"/>
              </w:rPr>
              <w:t xml:space="preserve"> </w:t>
            </w:r>
            <w:r>
              <w:rPr>
                <w:rFonts w:hint="eastAsia"/>
                <w:b w:val="0"/>
                <w:color w:val="000000"/>
                <w:sz w:val="24"/>
                <w:szCs w:val="24"/>
              </w:rPr>
              <w:t>目录）</w:t>
            </w:r>
          </w:p>
        </w:tc>
        <w:tc>
          <w:tcPr>
            <w:tcBorders>
              <w:top w:val="single" w:color="000000" w:sz="4" w:space="0"/>
              <w:left w:val="nil"/>
              <w:bottom w:val="nil"/>
              <w:right w:val="nil"/>
            </w:tcBorders>
            <w:shd w:val="clear" w:color="auto" w:fill="FFFFFF"/>
          </w:tcPr>
          <w:p w14:paraId="1A10ED7C">
            <w:pPr>
              <w:pStyle w:val="24"/>
              <w:jc w:val="left"/>
              <w:rPr>
                <w:b w:val="0"/>
                <w:color w:val="000000"/>
                <w:sz w:val="24"/>
                <w:szCs w:val="24"/>
              </w:rPr>
            </w:pPr>
            <w:r>
              <w:rPr>
                <w:rFonts w:hint="eastAsia"/>
                <w:b w:val="0"/>
                <w:color w:val="000000"/>
                <w:sz w:val="24"/>
                <w:szCs w:val="24"/>
              </w:rPr>
              <w:t>29列含前复权/后复权价格，由</w:t>
            </w:r>
            <w:r>
              <w:rPr>
                <w:b w:val="0"/>
                <w:color w:val="000000"/>
                <w:sz w:val="24"/>
                <w:szCs w:val="24"/>
              </w:rPr>
              <w:t xml:space="preserve"> Tushare </w:t>
            </w:r>
            <w:r>
              <w:rPr>
                <w:rFonts w:hint="eastAsia"/>
                <w:b w:val="0"/>
                <w:color w:val="000000"/>
                <w:sz w:val="24"/>
                <w:szCs w:val="24"/>
              </w:rPr>
              <w:t>导出</w:t>
            </w:r>
          </w:p>
        </w:tc>
      </w:tr>
      <w:tr w14:paraId="72AA0CE4">
        <w:tc>
          <w:tcPr>
            <w:tcBorders>
              <w:top w:val="nil"/>
              <w:left w:val="nil"/>
              <w:bottom w:val="nil"/>
              <w:right w:val="nil"/>
            </w:tcBorders>
            <w:shd w:val="clear" w:color="auto" w:fill="FFFFFF"/>
          </w:tcPr>
          <w:p w14:paraId="000270A7">
            <w:pPr>
              <w:pStyle w:val="24"/>
              <w:jc w:val="left"/>
              <w:rPr>
                <w:b w:val="0"/>
                <w:color w:val="000000"/>
                <w:sz w:val="24"/>
                <w:szCs w:val="24"/>
              </w:rPr>
            </w:pPr>
            <w:r>
              <w:rPr>
                <w:rFonts w:hint="eastAsia"/>
                <w:b w:val="0"/>
                <w:color w:val="000000"/>
                <w:sz w:val="24"/>
                <w:szCs w:val="24"/>
              </w:rPr>
              <w:t>港股日线（2只）</w:t>
            </w:r>
          </w:p>
        </w:tc>
        <w:tc>
          <w:tcPr>
            <w:tcBorders>
              <w:top w:val="nil"/>
              <w:left w:val="nil"/>
              <w:bottom w:val="nil"/>
              <w:right w:val="nil"/>
            </w:tcBorders>
            <w:shd w:val="clear" w:color="auto" w:fill="FFFFFF"/>
          </w:tcPr>
          <w:p w14:paraId="08206ADA">
            <w:pPr>
              <w:pStyle w:val="24"/>
              <w:jc w:val="left"/>
              <w:rPr>
                <w:b w:val="0"/>
                <w:color w:val="000000"/>
                <w:sz w:val="24"/>
                <w:szCs w:val="24"/>
              </w:rPr>
            </w:pPr>
            <w:r>
              <w:rPr>
                <w:b w:val="0"/>
                <w:color w:val="000000"/>
                <w:sz w:val="24"/>
                <w:szCs w:val="24"/>
              </w:rPr>
              <w:t xml:space="preserve">akshare </w:t>
            </w:r>
            <w:r>
              <w:rPr>
                <w:rStyle w:val="48"/>
                <w:b w:val="0"/>
                <w:color w:val="000000"/>
                <w:sz w:val="24"/>
                <w:szCs w:val="24"/>
              </w:rPr>
              <w:t>stock_hk_daily(adjust="qfq")</w:t>
            </w:r>
          </w:p>
        </w:tc>
        <w:tc>
          <w:tcPr>
            <w:tcBorders>
              <w:top w:val="nil"/>
              <w:left w:val="nil"/>
              <w:bottom w:val="nil"/>
              <w:right w:val="nil"/>
            </w:tcBorders>
            <w:shd w:val="clear" w:color="auto" w:fill="FFFFFF"/>
          </w:tcPr>
          <w:p w14:paraId="06A7AF99">
            <w:pPr>
              <w:pStyle w:val="24"/>
              <w:jc w:val="left"/>
              <w:rPr>
                <w:b w:val="0"/>
                <w:color w:val="000000"/>
                <w:sz w:val="24"/>
                <w:szCs w:val="24"/>
              </w:rPr>
            </w:pPr>
            <w:r>
              <w:rPr>
                <w:rFonts w:hint="eastAsia"/>
                <w:b w:val="0"/>
                <w:color w:val="000000"/>
                <w:sz w:val="24"/>
                <w:szCs w:val="24"/>
              </w:rPr>
              <w:t>腾讯控股(00700)、泡泡玛特(09992)</w:t>
            </w:r>
          </w:p>
        </w:tc>
      </w:tr>
      <w:tr w14:paraId="4B58FF55">
        <w:tc>
          <w:tcPr>
            <w:tcBorders>
              <w:top w:val="nil"/>
              <w:left w:val="nil"/>
              <w:bottom w:val="nil"/>
              <w:right w:val="nil"/>
            </w:tcBorders>
            <w:shd w:val="clear" w:color="auto" w:fill="FFFFFF"/>
          </w:tcPr>
          <w:p w14:paraId="008CF81B">
            <w:pPr>
              <w:pStyle w:val="24"/>
              <w:jc w:val="left"/>
              <w:rPr>
                <w:b w:val="0"/>
                <w:color w:val="000000"/>
                <w:sz w:val="24"/>
                <w:szCs w:val="24"/>
              </w:rPr>
            </w:pPr>
            <w:r>
              <w:rPr>
                <w:rFonts w:hint="eastAsia"/>
                <w:b w:val="0"/>
                <w:color w:val="000000"/>
                <w:sz w:val="24"/>
                <w:szCs w:val="24"/>
              </w:rPr>
              <w:t>ETF日线（1只）</w:t>
            </w:r>
          </w:p>
        </w:tc>
        <w:tc>
          <w:tcPr>
            <w:tcBorders>
              <w:top w:val="nil"/>
              <w:left w:val="nil"/>
              <w:bottom w:val="nil"/>
              <w:right w:val="nil"/>
            </w:tcBorders>
            <w:shd w:val="clear" w:color="auto" w:fill="FFFFFF"/>
          </w:tcPr>
          <w:p w14:paraId="11E21FD8">
            <w:pPr>
              <w:pStyle w:val="24"/>
              <w:jc w:val="left"/>
              <w:rPr>
                <w:b w:val="0"/>
                <w:color w:val="000000"/>
                <w:sz w:val="24"/>
                <w:szCs w:val="24"/>
              </w:rPr>
            </w:pPr>
            <w:r>
              <w:rPr>
                <w:b w:val="0"/>
                <w:color w:val="000000"/>
                <w:sz w:val="24"/>
                <w:szCs w:val="24"/>
              </w:rPr>
              <w:t xml:space="preserve">akshare </w:t>
            </w:r>
            <w:r>
              <w:rPr>
                <w:rStyle w:val="48"/>
                <w:b w:val="0"/>
                <w:color w:val="000000"/>
                <w:sz w:val="24"/>
                <w:szCs w:val="24"/>
              </w:rPr>
              <w:t>fund_etf_hist_sina</w:t>
            </w:r>
            <w:r>
              <w:rPr>
                <w:b w:val="0"/>
                <w:color w:val="000000"/>
                <w:sz w:val="24"/>
                <w:szCs w:val="24"/>
              </w:rPr>
              <w:t xml:space="preserve"> + </w:t>
            </w:r>
            <w:r>
              <w:rPr>
                <w:rFonts w:hint="eastAsia"/>
                <w:b w:val="0"/>
                <w:color w:val="000000"/>
                <w:sz w:val="24"/>
                <w:szCs w:val="24"/>
              </w:rPr>
              <w:t>手动前复权</w:t>
            </w:r>
          </w:p>
        </w:tc>
        <w:tc>
          <w:tcPr>
            <w:tcBorders>
              <w:top w:val="nil"/>
              <w:left w:val="nil"/>
              <w:bottom w:val="nil"/>
              <w:right w:val="nil"/>
            </w:tcBorders>
            <w:shd w:val="clear" w:color="auto" w:fill="FFFFFF"/>
          </w:tcPr>
          <w:p w14:paraId="1A04B03C">
            <w:pPr>
              <w:pStyle w:val="24"/>
              <w:jc w:val="left"/>
              <w:rPr>
                <w:b w:val="0"/>
                <w:color w:val="000000"/>
                <w:sz w:val="24"/>
                <w:szCs w:val="24"/>
              </w:rPr>
            </w:pPr>
            <w:r>
              <w:rPr>
                <w:rFonts w:hint="eastAsia"/>
                <w:b w:val="0"/>
                <w:color w:val="000000"/>
                <w:sz w:val="24"/>
                <w:szCs w:val="24"/>
              </w:rPr>
              <w:t>红利ETF(515100)，用分红数据手动计算复权因子</w:t>
            </w:r>
          </w:p>
        </w:tc>
      </w:tr>
      <w:tr w14:paraId="62130C93">
        <w:tc>
          <w:tcPr>
            <w:tcBorders>
              <w:top w:val="nil"/>
              <w:left w:val="nil"/>
              <w:bottom w:val="nil"/>
              <w:right w:val="nil"/>
            </w:tcBorders>
            <w:shd w:val="clear" w:color="auto" w:fill="FFFFFF"/>
          </w:tcPr>
          <w:p w14:paraId="38FC05D6">
            <w:pPr>
              <w:pStyle w:val="24"/>
              <w:jc w:val="left"/>
              <w:rPr>
                <w:b w:val="0"/>
                <w:color w:val="000000"/>
                <w:sz w:val="24"/>
                <w:szCs w:val="24"/>
              </w:rPr>
            </w:pPr>
            <w:r>
              <w:rPr>
                <w:rFonts w:hint="eastAsia"/>
                <w:b w:val="0"/>
                <w:color w:val="000000"/>
                <w:sz w:val="24"/>
                <w:szCs w:val="24"/>
              </w:rPr>
              <w:t>PE（市盈率TTM）</w:t>
            </w:r>
          </w:p>
        </w:tc>
        <w:tc>
          <w:tcPr>
            <w:tcBorders>
              <w:top w:val="nil"/>
              <w:left w:val="nil"/>
              <w:bottom w:val="nil"/>
              <w:right w:val="nil"/>
            </w:tcBorders>
            <w:shd w:val="clear" w:color="auto" w:fill="FFFFFF"/>
          </w:tcPr>
          <w:p w14:paraId="12362DE5">
            <w:pPr>
              <w:pStyle w:val="24"/>
              <w:jc w:val="left"/>
              <w:rPr>
                <w:b w:val="0"/>
                <w:color w:val="000000"/>
                <w:sz w:val="24"/>
                <w:szCs w:val="24"/>
              </w:rPr>
            </w:pPr>
            <w:r>
              <w:rPr>
                <w:b w:val="0"/>
                <w:color w:val="000000"/>
                <w:sz w:val="24"/>
                <w:szCs w:val="24"/>
              </w:rPr>
              <w:t xml:space="preserve">akshare </w:t>
            </w:r>
            <w:r>
              <w:rPr>
                <w:rStyle w:val="48"/>
                <w:b w:val="0"/>
                <w:color w:val="000000"/>
                <w:sz w:val="24"/>
                <w:szCs w:val="24"/>
              </w:rPr>
              <w:t>stock_zh_valuation_baidu</w:t>
            </w:r>
            <w:r>
              <w:rPr>
                <w:b w:val="0"/>
                <w:color w:val="000000"/>
                <w:sz w:val="24"/>
                <w:szCs w:val="24"/>
              </w:rPr>
              <w:t xml:space="preserve"> / </w:t>
            </w:r>
            <w:r>
              <w:rPr>
                <w:rStyle w:val="48"/>
                <w:b w:val="0"/>
                <w:color w:val="000000"/>
                <w:sz w:val="24"/>
                <w:szCs w:val="24"/>
              </w:rPr>
              <w:t>stock_hk_valuation_baidu</w:t>
            </w:r>
          </w:p>
        </w:tc>
        <w:tc>
          <w:tcPr>
            <w:tcBorders>
              <w:top w:val="nil"/>
              <w:left w:val="nil"/>
              <w:bottom w:val="nil"/>
              <w:right w:val="nil"/>
            </w:tcBorders>
            <w:shd w:val="clear" w:color="auto" w:fill="FFFFFF"/>
          </w:tcPr>
          <w:p w14:paraId="59883D97">
            <w:pPr>
              <w:pStyle w:val="24"/>
              <w:jc w:val="left"/>
              <w:rPr>
                <w:b w:val="0"/>
                <w:color w:val="000000"/>
                <w:sz w:val="24"/>
                <w:szCs w:val="24"/>
              </w:rPr>
            </w:pPr>
            <w:r>
              <w:rPr>
                <w:rFonts w:hint="eastAsia"/>
                <w:b w:val="0"/>
                <w:color w:val="000000"/>
                <w:sz w:val="24"/>
                <w:szCs w:val="24"/>
              </w:rPr>
              <w:t>A股/港股分别获取，ETF无PE设为NaN</w:t>
            </w:r>
          </w:p>
        </w:tc>
      </w:tr>
      <w:tr w14:paraId="629DD261">
        <w:tc>
          <w:tcPr>
            <w:tcBorders>
              <w:top w:val="nil"/>
              <w:left w:val="nil"/>
              <w:bottom w:val="nil"/>
              <w:right w:val="nil"/>
            </w:tcBorders>
            <w:shd w:val="clear" w:color="auto" w:fill="FFFFFF"/>
          </w:tcPr>
          <w:p w14:paraId="19D6EE49">
            <w:pPr>
              <w:pStyle w:val="24"/>
              <w:jc w:val="left"/>
              <w:rPr>
                <w:b w:val="0"/>
                <w:color w:val="000000"/>
                <w:sz w:val="24"/>
                <w:szCs w:val="24"/>
              </w:rPr>
            </w:pPr>
            <w:r>
              <w:rPr>
                <w:rFonts w:hint="eastAsia"/>
                <w:b w:val="0"/>
                <w:color w:val="000000"/>
                <w:sz w:val="24"/>
                <w:szCs w:val="24"/>
              </w:rPr>
              <w:t>ROE（净资产收益率）</w:t>
            </w:r>
          </w:p>
        </w:tc>
        <w:tc>
          <w:tcPr>
            <w:tcBorders>
              <w:top w:val="nil"/>
              <w:left w:val="nil"/>
              <w:bottom w:val="nil"/>
              <w:right w:val="nil"/>
            </w:tcBorders>
            <w:shd w:val="clear" w:color="auto" w:fill="FFFFFF"/>
          </w:tcPr>
          <w:p w14:paraId="20780A33">
            <w:pPr>
              <w:pStyle w:val="24"/>
              <w:jc w:val="left"/>
              <w:rPr>
                <w:b w:val="0"/>
                <w:color w:val="000000"/>
                <w:sz w:val="24"/>
                <w:szCs w:val="24"/>
              </w:rPr>
            </w:pPr>
            <w:r>
              <w:rPr>
                <w:b w:val="0"/>
                <w:color w:val="000000"/>
                <w:sz w:val="24"/>
                <w:szCs w:val="24"/>
              </w:rPr>
              <w:t xml:space="preserve">akshare </w:t>
            </w:r>
            <w:r>
              <w:rPr>
                <w:rStyle w:val="48"/>
                <w:b w:val="0"/>
                <w:color w:val="000000"/>
                <w:sz w:val="24"/>
                <w:szCs w:val="24"/>
              </w:rPr>
              <w:t>stock_financial_analysis_indicator</w:t>
            </w:r>
            <w:r>
              <w:rPr>
                <w:b w:val="0"/>
                <w:color w:val="000000"/>
                <w:sz w:val="24"/>
                <w:szCs w:val="24"/>
              </w:rPr>
              <w:t xml:space="preserve"> / </w:t>
            </w:r>
            <w:r>
              <w:rPr>
                <w:rStyle w:val="48"/>
                <w:b w:val="0"/>
                <w:color w:val="000000"/>
                <w:sz w:val="24"/>
                <w:szCs w:val="24"/>
              </w:rPr>
              <w:t>stock_financial_hk_analysis_indicator_em</w:t>
            </w:r>
          </w:p>
        </w:tc>
        <w:tc>
          <w:tcPr>
            <w:tcBorders>
              <w:top w:val="nil"/>
              <w:left w:val="nil"/>
              <w:bottom w:val="nil"/>
              <w:right w:val="nil"/>
            </w:tcBorders>
            <w:shd w:val="clear" w:color="auto" w:fill="FFFFFF"/>
          </w:tcPr>
          <w:p w14:paraId="19558087">
            <w:pPr>
              <w:pStyle w:val="24"/>
              <w:jc w:val="left"/>
              <w:rPr>
                <w:b w:val="0"/>
                <w:color w:val="000000"/>
                <w:sz w:val="24"/>
                <w:szCs w:val="24"/>
              </w:rPr>
            </w:pPr>
            <w:r>
              <w:rPr>
                <w:rFonts w:hint="eastAsia"/>
                <w:b w:val="0"/>
                <w:color w:val="000000"/>
                <w:sz w:val="24"/>
                <w:szCs w:val="24"/>
              </w:rPr>
              <w:t>A股需传</w:t>
            </w:r>
            <w:r>
              <w:rPr>
                <w:b w:val="0"/>
                <w:color w:val="000000"/>
                <w:sz w:val="24"/>
                <w:szCs w:val="24"/>
              </w:rPr>
              <w:t xml:space="preserve"> </w:t>
            </w:r>
            <w:r>
              <w:rPr>
                <w:rStyle w:val="48"/>
                <w:b w:val="0"/>
                <w:color w:val="000000"/>
                <w:sz w:val="24"/>
                <w:szCs w:val="24"/>
              </w:rPr>
              <w:t>start_year="2023"</w:t>
            </w:r>
            <w:r>
              <w:rPr>
                <w:rFonts w:hint="eastAsia"/>
                <w:b w:val="0"/>
                <w:color w:val="000000"/>
                <w:sz w:val="24"/>
                <w:szCs w:val="24"/>
              </w:rPr>
              <w:t>，ETF无ROE设为NaN</w:t>
            </w:r>
          </w:p>
        </w:tc>
      </w:tr>
      <w:tr w14:paraId="0591E568">
        <w:tc>
          <w:tcPr>
            <w:tcBorders>
              <w:top w:val="nil"/>
              <w:left w:val="nil"/>
              <w:bottom w:val="single" w:color="000000" w:sz="12" w:space="0"/>
              <w:right w:val="nil"/>
            </w:tcBorders>
            <w:shd w:val="clear" w:color="auto" w:fill="FFFFFF"/>
          </w:tcPr>
          <w:p w14:paraId="7969DE8E">
            <w:pPr>
              <w:pStyle w:val="24"/>
              <w:jc w:val="left"/>
              <w:rPr>
                <w:b w:val="0"/>
                <w:color w:val="000000"/>
                <w:sz w:val="24"/>
                <w:szCs w:val="24"/>
              </w:rPr>
            </w:pPr>
            <w:r>
              <w:rPr>
                <w:rFonts w:hint="eastAsia"/>
                <w:b w:val="0"/>
                <w:color w:val="000000"/>
                <w:sz w:val="24"/>
                <w:szCs w:val="24"/>
              </w:rPr>
              <w:t>沪深300指数</w:t>
            </w:r>
          </w:p>
        </w:tc>
        <w:tc>
          <w:tcPr>
            <w:tcBorders>
              <w:top w:val="nil"/>
              <w:left w:val="nil"/>
              <w:bottom w:val="single" w:color="000000" w:sz="12" w:space="0"/>
              <w:right w:val="nil"/>
            </w:tcBorders>
            <w:shd w:val="clear" w:color="auto" w:fill="FFFFFF"/>
          </w:tcPr>
          <w:p w14:paraId="346B393D">
            <w:pPr>
              <w:pStyle w:val="24"/>
              <w:jc w:val="left"/>
              <w:rPr>
                <w:b w:val="0"/>
                <w:color w:val="000000"/>
                <w:sz w:val="24"/>
                <w:szCs w:val="24"/>
              </w:rPr>
            </w:pPr>
            <w:r>
              <w:rPr>
                <w:b w:val="0"/>
                <w:color w:val="000000"/>
                <w:sz w:val="24"/>
                <w:szCs w:val="24"/>
              </w:rPr>
              <w:t xml:space="preserve">akshare </w:t>
            </w:r>
            <w:r>
              <w:rPr>
                <w:rStyle w:val="48"/>
                <w:b w:val="0"/>
                <w:color w:val="000000"/>
                <w:sz w:val="24"/>
                <w:szCs w:val="24"/>
              </w:rPr>
              <w:t>stock_zh_index_daily(symbol="sh000300")</w:t>
            </w:r>
          </w:p>
        </w:tc>
        <w:tc>
          <w:tcPr>
            <w:tcBorders>
              <w:top w:val="nil"/>
              <w:left w:val="nil"/>
              <w:bottom w:val="single" w:color="000000" w:sz="12" w:space="0"/>
              <w:right w:val="nil"/>
            </w:tcBorders>
            <w:shd w:val="clear" w:color="auto" w:fill="FFFFFF"/>
          </w:tcPr>
          <w:p w14:paraId="57A1F8BA">
            <w:pPr>
              <w:pStyle w:val="24"/>
              <w:jc w:val="left"/>
              <w:rPr>
                <w:b w:val="0"/>
                <w:color w:val="000000"/>
                <w:sz w:val="24"/>
                <w:szCs w:val="24"/>
              </w:rPr>
            </w:pPr>
            <w:r>
              <w:rPr>
                <w:rFonts w:hint="eastAsia"/>
                <w:b w:val="0"/>
                <w:color w:val="000000"/>
                <w:sz w:val="24"/>
                <w:szCs w:val="24"/>
              </w:rPr>
              <w:t>用作基准对比</w:t>
            </w:r>
          </w:p>
        </w:tc>
      </w:tr>
    </w:tbl>
    <w:p w14:paraId="0B9FCB50">
      <w:pPr>
        <w:pStyle w:val="5"/>
        <w:rPr>
          <w:sz w:val="24"/>
          <w:szCs w:val="24"/>
        </w:rPr>
      </w:pPr>
      <w:r>
        <w:rPr>
          <w:sz w:val="24"/>
          <w:szCs w:val="24"/>
        </w:rPr>
        <w:t xml:space="preserve">2.2.1 </w:t>
      </w:r>
      <w:r>
        <w:rPr>
          <w:rFonts w:hint="eastAsia"/>
          <w:sz w:val="24"/>
          <w:szCs w:val="24"/>
        </w:rPr>
        <w:t>数据来源</w:t>
      </w:r>
    </w:p>
    <w:bookmarkEnd w:id="9"/>
    <w:p w14:paraId="3E3BD67F">
      <w:pPr>
        <w:pStyle w:val="5"/>
        <w:rPr>
          <w:sz w:val="24"/>
          <w:szCs w:val="24"/>
        </w:rPr>
      </w:pPr>
      <w:bookmarkStart w:id="10" w:name="字段字典"/>
      <w:r>
        <w:rPr>
          <w:sz w:val="24"/>
          <w:szCs w:val="24"/>
        </w:rPr>
        <w:t xml:space="preserve">2.2.2 </w:t>
      </w:r>
      <w:r>
        <w:rPr>
          <w:rFonts w:hint="eastAsia"/>
          <w:sz w:val="24"/>
          <w:szCs w:val="24"/>
        </w:rPr>
        <w:t>字段字典</w:t>
      </w:r>
    </w:p>
    <w:p w14:paraId="71915964">
      <w:pPr>
        <w:pStyle w:val="23"/>
        <w:rPr>
          <w:sz w:val="24"/>
          <w:szCs w:val="24"/>
        </w:rPr>
      </w:pPr>
      <w:r>
        <w:rPr>
          <w:rFonts w:hint="eastAsia"/>
          <w:sz w:val="24"/>
          <w:szCs w:val="24"/>
        </w:rPr>
        <w:t>数据来源于本地</w:t>
      </w:r>
      <w:r>
        <w:rPr>
          <w:sz w:val="24"/>
          <w:szCs w:val="24"/>
        </w:rPr>
        <w:t xml:space="preserve"> Tushare </w:t>
      </w:r>
      <w:r>
        <w:rPr>
          <w:rFonts w:hint="eastAsia"/>
          <w:sz w:val="24"/>
          <w:szCs w:val="24"/>
        </w:rPr>
        <w:t>CSV（A股17只）、AKShare</w:t>
      </w:r>
      <w:r>
        <w:rPr>
          <w:sz w:val="24"/>
          <w:szCs w:val="24"/>
        </w:rPr>
        <w:t xml:space="preserve"> </w:t>
      </w:r>
      <w:r>
        <w:rPr>
          <w:rFonts w:hint="eastAsia"/>
          <w:sz w:val="24"/>
          <w:szCs w:val="24"/>
        </w:rPr>
        <w:t>在线接口（港股2只</w:t>
      </w:r>
      <w:r>
        <w:rPr>
          <w:sz w:val="24"/>
          <w:szCs w:val="24"/>
        </w:rPr>
        <w:t xml:space="preserve"> + ETF </w:t>
      </w:r>
      <w:r>
        <w:rPr>
          <w:rFonts w:hint="eastAsia"/>
          <w:sz w:val="24"/>
          <w:szCs w:val="24"/>
        </w:rPr>
        <w:t>1只），最终合并为统一的前复权日线</w:t>
      </w:r>
      <w:r>
        <w:rPr>
          <w:sz w:val="24"/>
          <w:szCs w:val="24"/>
        </w:rPr>
        <w:t xml:space="preserve"> CSV </w:t>
      </w:r>
      <w:r>
        <w:rPr>
          <w:rFonts w:hint="eastAsia"/>
          <w:sz w:val="24"/>
          <w:szCs w:val="24"/>
        </w:rPr>
        <w:t>文件。共</w:t>
      </w:r>
      <w:r>
        <w:rPr>
          <w:sz w:val="24"/>
          <w:szCs w:val="24"/>
        </w:rPr>
        <w:t xml:space="preserve"> 29 </w:t>
      </w:r>
      <w:r>
        <w:rPr>
          <w:rFonts w:hint="eastAsia"/>
          <w:sz w:val="24"/>
          <w:szCs w:val="24"/>
        </w:rPr>
        <w:t>列，策略实际使用的关键字段如下：</w:t>
      </w:r>
    </w:p>
    <w:tbl>
      <w:tblPr>
        <w:tblStyle w:val="41"/>
        <w:tblW w:w="5000" w:type="pct"/>
        <w:tblInd w:w="0" w:type="dxa"/>
        <w:tblLayout w:type="fixed"/>
        <w:tblCellMar>
          <w:top w:w="0" w:type="dxa"/>
          <w:left w:w="108" w:type="dxa"/>
          <w:bottom w:w="0" w:type="dxa"/>
          <w:right w:w="108" w:type="dxa"/>
        </w:tblCellMar>
      </w:tblPr>
      <w:tblGrid>
        <w:gridCol w:w="2214"/>
        <w:gridCol w:w="2214"/>
        <w:gridCol w:w="2214"/>
        <w:gridCol w:w="2214"/>
      </w:tblGrid>
      <w:tr w14:paraId="37E18C1F">
        <w:trPr>
          <w:tblHeader/>
        </w:trPr>
        <w:tc>
          <w:tcPr>
            <w:tcBorders>
              <w:top w:val="single" w:color="000000" w:sz="12" w:space="0"/>
              <w:left w:val="nil"/>
              <w:bottom w:val="single" w:color="000000" w:sz="4" w:space="0"/>
              <w:right w:val="nil"/>
              <w:tl2br w:val="nil"/>
            </w:tcBorders>
            <w:shd w:val="clear" w:color="auto" w:fill="FFFFFF"/>
          </w:tcPr>
          <w:p w14:paraId="26B80786">
            <w:pPr>
              <w:pStyle w:val="24"/>
              <w:jc w:val="left"/>
              <w:rPr>
                <w:b w:val="0"/>
                <w:color w:val="000000"/>
                <w:sz w:val="24"/>
                <w:szCs w:val="24"/>
              </w:rPr>
            </w:pPr>
            <w:r>
              <w:rPr>
                <w:rFonts w:hint="eastAsia"/>
                <w:b w:val="0"/>
                <w:color w:val="000000"/>
                <w:sz w:val="24"/>
                <w:szCs w:val="24"/>
              </w:rPr>
              <w:t>字段名</w:t>
            </w:r>
          </w:p>
        </w:tc>
        <w:tc>
          <w:tcPr>
            <w:tcBorders>
              <w:top w:val="single" w:color="000000" w:sz="12" w:space="0"/>
              <w:left w:val="nil"/>
              <w:bottom w:val="single" w:color="000000" w:sz="4" w:space="0"/>
              <w:right w:val="nil"/>
            </w:tcBorders>
            <w:shd w:val="clear" w:color="auto" w:fill="FFFFFF"/>
          </w:tcPr>
          <w:p w14:paraId="3B134EA0">
            <w:pPr>
              <w:pStyle w:val="24"/>
              <w:jc w:val="left"/>
              <w:rPr>
                <w:b w:val="0"/>
                <w:color w:val="000000"/>
                <w:sz w:val="24"/>
                <w:szCs w:val="24"/>
              </w:rPr>
            </w:pPr>
            <w:r>
              <w:rPr>
                <w:rFonts w:hint="eastAsia"/>
                <w:b w:val="0"/>
                <w:color w:val="000000"/>
                <w:sz w:val="24"/>
                <w:szCs w:val="24"/>
              </w:rPr>
              <w:t>含义</w:t>
            </w:r>
          </w:p>
        </w:tc>
        <w:tc>
          <w:tcPr>
            <w:tcBorders>
              <w:top w:val="single" w:color="000000" w:sz="12" w:space="0"/>
              <w:left w:val="nil"/>
              <w:bottom w:val="single" w:color="000000" w:sz="4" w:space="0"/>
              <w:right w:val="nil"/>
            </w:tcBorders>
            <w:shd w:val="clear" w:color="auto" w:fill="FFFFFF"/>
          </w:tcPr>
          <w:p w14:paraId="3BB99ED5">
            <w:pPr>
              <w:pStyle w:val="24"/>
              <w:jc w:val="left"/>
              <w:rPr>
                <w:b w:val="0"/>
                <w:color w:val="000000"/>
                <w:sz w:val="24"/>
                <w:szCs w:val="24"/>
              </w:rPr>
            </w:pPr>
            <w:r>
              <w:rPr>
                <w:rFonts w:hint="eastAsia"/>
                <w:b w:val="0"/>
                <w:color w:val="000000"/>
                <w:sz w:val="24"/>
                <w:szCs w:val="24"/>
              </w:rPr>
              <w:t>单位</w:t>
            </w:r>
          </w:p>
        </w:tc>
        <w:tc>
          <w:tcPr>
            <w:tcBorders>
              <w:top w:val="single" w:color="000000" w:sz="12" w:space="0"/>
              <w:left w:val="nil"/>
              <w:bottom w:val="single" w:color="000000" w:sz="4" w:space="0"/>
              <w:right w:val="nil"/>
            </w:tcBorders>
            <w:shd w:val="clear" w:color="auto" w:fill="FFFFFF"/>
          </w:tcPr>
          <w:p w14:paraId="57111E12">
            <w:pPr>
              <w:pStyle w:val="24"/>
              <w:jc w:val="left"/>
              <w:rPr>
                <w:b w:val="0"/>
                <w:color w:val="000000"/>
                <w:sz w:val="24"/>
                <w:szCs w:val="24"/>
              </w:rPr>
            </w:pPr>
            <w:r>
              <w:rPr>
                <w:rFonts w:hint="eastAsia"/>
                <w:b w:val="0"/>
                <w:color w:val="000000"/>
                <w:sz w:val="24"/>
                <w:szCs w:val="24"/>
              </w:rPr>
              <w:t>备注</w:t>
            </w:r>
          </w:p>
        </w:tc>
      </w:tr>
      <w:tr w14:paraId="6EB30130">
        <w:tc>
          <w:tcPr>
            <w:tcBorders>
              <w:top w:val="single" w:color="000000" w:sz="4" w:space="0"/>
              <w:left w:val="nil"/>
              <w:bottom w:val="nil"/>
              <w:right w:val="nil"/>
            </w:tcBorders>
            <w:shd w:val="clear" w:color="auto" w:fill="FFFFFF"/>
          </w:tcPr>
          <w:p w14:paraId="7C9087BB">
            <w:pPr>
              <w:pStyle w:val="24"/>
              <w:jc w:val="left"/>
              <w:rPr>
                <w:b w:val="0"/>
                <w:color w:val="000000"/>
                <w:sz w:val="24"/>
                <w:szCs w:val="24"/>
              </w:rPr>
            </w:pPr>
            <w:r>
              <w:rPr>
                <w:b w:val="0"/>
                <w:color w:val="000000"/>
                <w:sz w:val="24"/>
                <w:szCs w:val="24"/>
              </w:rPr>
              <w:t>ts_code</w:t>
            </w:r>
          </w:p>
        </w:tc>
        <w:tc>
          <w:tcPr>
            <w:tcBorders>
              <w:top w:val="single" w:color="000000" w:sz="4" w:space="0"/>
              <w:left w:val="nil"/>
              <w:bottom w:val="nil"/>
              <w:right w:val="nil"/>
            </w:tcBorders>
            <w:shd w:val="clear" w:color="auto" w:fill="FFFFFF"/>
          </w:tcPr>
          <w:p w14:paraId="24AD015A">
            <w:pPr>
              <w:pStyle w:val="24"/>
              <w:jc w:val="left"/>
              <w:rPr>
                <w:b w:val="0"/>
                <w:color w:val="000000"/>
                <w:sz w:val="24"/>
                <w:szCs w:val="24"/>
              </w:rPr>
            </w:pPr>
            <w:r>
              <w:rPr>
                <w:rFonts w:hint="eastAsia"/>
                <w:b w:val="0"/>
                <w:color w:val="000000"/>
                <w:sz w:val="24"/>
                <w:szCs w:val="24"/>
              </w:rPr>
              <w:t>股票代码</w:t>
            </w:r>
          </w:p>
        </w:tc>
        <w:tc>
          <w:tcPr>
            <w:tcBorders>
              <w:top w:val="single" w:color="000000" w:sz="4" w:space="0"/>
              <w:left w:val="nil"/>
              <w:bottom w:val="nil"/>
              <w:right w:val="nil"/>
            </w:tcBorders>
            <w:shd w:val="clear" w:color="auto" w:fill="FFFFFF"/>
          </w:tcPr>
          <w:p w14:paraId="7149397C">
            <w:pPr>
              <w:pStyle w:val="24"/>
              <w:jc w:val="left"/>
              <w:rPr>
                <w:b w:val="0"/>
                <w:color w:val="000000"/>
                <w:sz w:val="24"/>
                <w:szCs w:val="24"/>
              </w:rPr>
            </w:pPr>
            <w:r>
              <w:rPr>
                <w:b w:val="0"/>
                <w:color w:val="000000"/>
                <w:sz w:val="24"/>
                <w:szCs w:val="24"/>
              </w:rPr>
              <w:t>—</w:t>
            </w:r>
          </w:p>
        </w:tc>
        <w:tc>
          <w:tcPr>
            <w:tcBorders>
              <w:top w:val="single" w:color="000000" w:sz="4" w:space="0"/>
              <w:left w:val="nil"/>
              <w:bottom w:val="nil"/>
              <w:right w:val="nil"/>
            </w:tcBorders>
            <w:shd w:val="clear" w:color="auto" w:fill="FFFFFF"/>
          </w:tcPr>
          <w:p w14:paraId="69A2B79F">
            <w:pPr>
              <w:pStyle w:val="24"/>
              <w:jc w:val="left"/>
              <w:rPr>
                <w:b w:val="0"/>
                <w:color w:val="000000"/>
                <w:sz w:val="24"/>
                <w:szCs w:val="24"/>
              </w:rPr>
            </w:pPr>
            <w:r>
              <w:rPr>
                <w:rFonts w:hint="eastAsia"/>
                <w:b w:val="0"/>
                <w:color w:val="000000"/>
                <w:sz w:val="24"/>
                <w:szCs w:val="24"/>
              </w:rPr>
              <w:t>格式</w:t>
            </w:r>
            <w:r>
              <w:rPr>
                <w:b w:val="0"/>
                <w:color w:val="000000"/>
                <w:sz w:val="24"/>
                <w:szCs w:val="24"/>
              </w:rPr>
              <w:t xml:space="preserve"> </w:t>
            </w:r>
            <w:r>
              <w:rPr>
                <w:rStyle w:val="48"/>
                <w:b w:val="0"/>
                <w:color w:val="000000"/>
                <w:sz w:val="24"/>
                <w:szCs w:val="24"/>
              </w:rPr>
              <w:t>600519.SH</w:t>
            </w:r>
            <w:r>
              <w:rPr>
                <w:b w:val="0"/>
                <w:color w:val="000000"/>
                <w:sz w:val="24"/>
                <w:szCs w:val="24"/>
              </w:rPr>
              <w:t xml:space="preserve"> / </w:t>
            </w:r>
            <w:r>
              <w:rPr>
                <w:rStyle w:val="48"/>
                <w:b w:val="0"/>
                <w:color w:val="000000"/>
                <w:sz w:val="24"/>
                <w:szCs w:val="24"/>
              </w:rPr>
              <w:t>00700.HK</w:t>
            </w:r>
          </w:p>
        </w:tc>
      </w:tr>
      <w:tr w14:paraId="1225DF74">
        <w:tc>
          <w:tcPr>
            <w:tcBorders>
              <w:top w:val="nil"/>
              <w:left w:val="nil"/>
              <w:bottom w:val="nil"/>
              <w:right w:val="nil"/>
            </w:tcBorders>
            <w:shd w:val="clear" w:color="auto" w:fill="FFFFFF"/>
          </w:tcPr>
          <w:p w14:paraId="5BB710EB">
            <w:pPr>
              <w:pStyle w:val="24"/>
              <w:jc w:val="left"/>
              <w:rPr>
                <w:b w:val="0"/>
                <w:color w:val="000000"/>
                <w:sz w:val="24"/>
                <w:szCs w:val="24"/>
              </w:rPr>
            </w:pPr>
            <w:r>
              <w:rPr>
                <w:b w:val="0"/>
                <w:color w:val="000000"/>
                <w:sz w:val="24"/>
                <w:szCs w:val="24"/>
              </w:rPr>
              <w:t>trade_date</w:t>
            </w:r>
          </w:p>
        </w:tc>
        <w:tc>
          <w:tcPr>
            <w:tcBorders>
              <w:top w:val="nil"/>
              <w:left w:val="nil"/>
              <w:bottom w:val="nil"/>
              <w:right w:val="nil"/>
            </w:tcBorders>
            <w:shd w:val="clear" w:color="auto" w:fill="FFFFFF"/>
          </w:tcPr>
          <w:p w14:paraId="76664040">
            <w:pPr>
              <w:pStyle w:val="24"/>
              <w:jc w:val="left"/>
              <w:rPr>
                <w:b w:val="0"/>
                <w:color w:val="000000"/>
                <w:sz w:val="24"/>
                <w:szCs w:val="24"/>
              </w:rPr>
            </w:pPr>
            <w:r>
              <w:rPr>
                <w:rFonts w:hint="eastAsia"/>
                <w:b w:val="0"/>
                <w:color w:val="000000"/>
                <w:sz w:val="24"/>
                <w:szCs w:val="24"/>
              </w:rPr>
              <w:t>交易日期</w:t>
            </w:r>
          </w:p>
        </w:tc>
        <w:tc>
          <w:tcPr>
            <w:tcBorders>
              <w:top w:val="nil"/>
              <w:left w:val="nil"/>
              <w:bottom w:val="nil"/>
              <w:right w:val="nil"/>
            </w:tcBorders>
            <w:shd w:val="clear" w:color="auto" w:fill="FFFFFF"/>
          </w:tcPr>
          <w:p w14:paraId="098777E6">
            <w:pPr>
              <w:pStyle w:val="24"/>
              <w:jc w:val="left"/>
              <w:rPr>
                <w:b w:val="0"/>
                <w:color w:val="000000"/>
                <w:sz w:val="24"/>
                <w:szCs w:val="24"/>
              </w:rPr>
            </w:pPr>
            <w:r>
              <w:rPr>
                <w:b w:val="0"/>
                <w:color w:val="000000"/>
                <w:sz w:val="24"/>
                <w:szCs w:val="24"/>
              </w:rPr>
              <w:t>—</w:t>
            </w:r>
          </w:p>
        </w:tc>
        <w:tc>
          <w:tcPr>
            <w:tcBorders>
              <w:top w:val="nil"/>
              <w:left w:val="nil"/>
              <w:bottom w:val="nil"/>
              <w:right w:val="nil"/>
            </w:tcBorders>
            <w:shd w:val="clear" w:color="auto" w:fill="FFFFFF"/>
          </w:tcPr>
          <w:p w14:paraId="5471E671">
            <w:pPr>
              <w:pStyle w:val="24"/>
              <w:jc w:val="left"/>
              <w:rPr>
                <w:b w:val="0"/>
                <w:color w:val="000000"/>
                <w:sz w:val="24"/>
                <w:szCs w:val="24"/>
              </w:rPr>
            </w:pPr>
            <w:r>
              <w:rPr>
                <w:b w:val="0"/>
                <w:color w:val="000000"/>
                <w:sz w:val="24"/>
                <w:szCs w:val="24"/>
              </w:rPr>
              <w:t>YYYY-MM-DD</w:t>
            </w:r>
          </w:p>
        </w:tc>
      </w:tr>
      <w:tr w14:paraId="665DF10B">
        <w:tc>
          <w:tcPr>
            <w:tcBorders>
              <w:top w:val="nil"/>
              <w:left w:val="nil"/>
              <w:bottom w:val="nil"/>
              <w:right w:val="nil"/>
            </w:tcBorders>
            <w:shd w:val="clear" w:color="auto" w:fill="FFFFFF"/>
          </w:tcPr>
          <w:p w14:paraId="6882EAF2">
            <w:pPr>
              <w:pStyle w:val="24"/>
              <w:jc w:val="left"/>
              <w:rPr>
                <w:b w:val="0"/>
                <w:color w:val="000000"/>
                <w:sz w:val="24"/>
                <w:szCs w:val="24"/>
              </w:rPr>
            </w:pPr>
            <w:r>
              <w:rPr>
                <w:b w:val="0"/>
                <w:color w:val="000000"/>
                <w:sz w:val="24"/>
                <w:szCs w:val="24"/>
              </w:rPr>
              <w:t>name</w:t>
            </w:r>
          </w:p>
        </w:tc>
        <w:tc>
          <w:tcPr>
            <w:tcBorders>
              <w:top w:val="nil"/>
              <w:left w:val="nil"/>
              <w:bottom w:val="nil"/>
              <w:right w:val="nil"/>
            </w:tcBorders>
            <w:shd w:val="clear" w:color="auto" w:fill="FFFFFF"/>
          </w:tcPr>
          <w:p w14:paraId="4F7611B3">
            <w:pPr>
              <w:pStyle w:val="24"/>
              <w:jc w:val="left"/>
              <w:rPr>
                <w:b w:val="0"/>
                <w:color w:val="000000"/>
                <w:sz w:val="24"/>
                <w:szCs w:val="24"/>
              </w:rPr>
            </w:pPr>
            <w:r>
              <w:rPr>
                <w:rFonts w:hint="eastAsia"/>
                <w:b w:val="0"/>
                <w:color w:val="000000"/>
                <w:sz w:val="24"/>
                <w:szCs w:val="24"/>
              </w:rPr>
              <w:t>股票名称</w:t>
            </w:r>
          </w:p>
        </w:tc>
        <w:tc>
          <w:tcPr>
            <w:tcBorders>
              <w:top w:val="nil"/>
              <w:left w:val="nil"/>
              <w:bottom w:val="nil"/>
              <w:right w:val="nil"/>
            </w:tcBorders>
            <w:shd w:val="clear" w:color="auto" w:fill="FFFFFF"/>
          </w:tcPr>
          <w:p w14:paraId="1FC80D0F">
            <w:pPr>
              <w:pStyle w:val="24"/>
              <w:jc w:val="left"/>
              <w:rPr>
                <w:b w:val="0"/>
                <w:color w:val="000000"/>
                <w:sz w:val="24"/>
                <w:szCs w:val="24"/>
              </w:rPr>
            </w:pPr>
            <w:r>
              <w:rPr>
                <w:b w:val="0"/>
                <w:color w:val="000000"/>
                <w:sz w:val="24"/>
                <w:szCs w:val="24"/>
              </w:rPr>
              <w:t>—</w:t>
            </w:r>
          </w:p>
        </w:tc>
        <w:tc>
          <w:tcPr>
            <w:tcBorders>
              <w:top w:val="nil"/>
              <w:left w:val="nil"/>
              <w:bottom w:val="nil"/>
              <w:right w:val="nil"/>
            </w:tcBorders>
            <w:shd w:val="clear" w:color="auto" w:fill="FFFFFF"/>
          </w:tcPr>
          <w:p w14:paraId="3901AE8D">
            <w:pPr>
              <w:pStyle w:val="24"/>
              <w:jc w:val="left"/>
              <w:rPr>
                <w:b w:val="0"/>
                <w:color w:val="000000"/>
                <w:sz w:val="24"/>
                <w:szCs w:val="24"/>
              </w:rPr>
            </w:pPr>
            <w:r>
              <w:rPr>
                <w:b w:val="0"/>
                <w:color w:val="000000"/>
                <w:sz w:val="24"/>
                <w:szCs w:val="24"/>
              </w:rPr>
              <w:t>—</w:t>
            </w:r>
          </w:p>
        </w:tc>
      </w:tr>
      <w:tr w14:paraId="4D996C1B">
        <w:tc>
          <w:tcPr>
            <w:tcBorders>
              <w:top w:val="nil"/>
              <w:left w:val="nil"/>
              <w:bottom w:val="nil"/>
              <w:right w:val="nil"/>
            </w:tcBorders>
            <w:shd w:val="clear" w:color="auto" w:fill="FFFFFF"/>
          </w:tcPr>
          <w:p w14:paraId="7F96D919">
            <w:pPr>
              <w:pStyle w:val="24"/>
              <w:jc w:val="left"/>
              <w:rPr>
                <w:b w:val="0"/>
                <w:color w:val="000000"/>
                <w:sz w:val="24"/>
                <w:szCs w:val="24"/>
              </w:rPr>
            </w:pPr>
            <w:r>
              <w:rPr>
                <w:b w:val="0"/>
                <w:color w:val="000000"/>
                <w:sz w:val="24"/>
                <w:szCs w:val="24"/>
              </w:rPr>
              <w:t>open</w:t>
            </w:r>
          </w:p>
        </w:tc>
        <w:tc>
          <w:tcPr>
            <w:tcBorders>
              <w:top w:val="nil"/>
              <w:left w:val="nil"/>
              <w:bottom w:val="nil"/>
              <w:right w:val="nil"/>
            </w:tcBorders>
            <w:shd w:val="clear" w:color="auto" w:fill="FFFFFF"/>
          </w:tcPr>
          <w:p w14:paraId="1CF12E3B">
            <w:pPr>
              <w:pStyle w:val="24"/>
              <w:jc w:val="left"/>
              <w:rPr>
                <w:b w:val="0"/>
                <w:color w:val="000000"/>
                <w:sz w:val="24"/>
                <w:szCs w:val="24"/>
              </w:rPr>
            </w:pPr>
            <w:r>
              <w:rPr>
                <w:rFonts w:hint="eastAsia"/>
                <w:b w:val="0"/>
                <w:color w:val="000000"/>
                <w:sz w:val="24"/>
                <w:szCs w:val="24"/>
              </w:rPr>
              <w:t>开盘价</w:t>
            </w:r>
          </w:p>
        </w:tc>
        <w:tc>
          <w:tcPr>
            <w:tcBorders>
              <w:top w:val="nil"/>
              <w:left w:val="nil"/>
              <w:bottom w:val="nil"/>
              <w:right w:val="nil"/>
            </w:tcBorders>
            <w:shd w:val="clear" w:color="auto" w:fill="FFFFFF"/>
          </w:tcPr>
          <w:p w14:paraId="1727D7AB">
            <w:pPr>
              <w:pStyle w:val="24"/>
              <w:jc w:val="left"/>
              <w:rPr>
                <w:b w:val="0"/>
                <w:color w:val="000000"/>
                <w:sz w:val="24"/>
                <w:szCs w:val="24"/>
              </w:rPr>
            </w:pPr>
            <w:r>
              <w:rPr>
                <w:rFonts w:hint="eastAsia"/>
                <w:b w:val="0"/>
                <w:color w:val="000000"/>
                <w:sz w:val="24"/>
                <w:szCs w:val="24"/>
              </w:rPr>
              <w:t>元</w:t>
            </w:r>
          </w:p>
        </w:tc>
        <w:tc>
          <w:tcPr>
            <w:tcBorders>
              <w:top w:val="nil"/>
              <w:left w:val="nil"/>
              <w:bottom w:val="nil"/>
              <w:right w:val="nil"/>
            </w:tcBorders>
            <w:shd w:val="clear" w:color="auto" w:fill="FFFFFF"/>
          </w:tcPr>
          <w:p w14:paraId="34D779BC">
            <w:pPr>
              <w:pStyle w:val="24"/>
              <w:jc w:val="left"/>
              <w:rPr>
                <w:b w:val="0"/>
                <w:color w:val="000000"/>
                <w:sz w:val="24"/>
                <w:szCs w:val="24"/>
              </w:rPr>
            </w:pPr>
            <w:r>
              <w:rPr>
                <w:rFonts w:hint="eastAsia"/>
                <w:b w:val="0"/>
                <w:color w:val="000000"/>
                <w:sz w:val="24"/>
                <w:szCs w:val="24"/>
              </w:rPr>
              <w:t>原始价格</w:t>
            </w:r>
          </w:p>
        </w:tc>
      </w:tr>
      <w:tr w14:paraId="3DF8A6F2">
        <w:tc>
          <w:tcPr>
            <w:tcBorders>
              <w:top w:val="nil"/>
              <w:left w:val="nil"/>
              <w:bottom w:val="nil"/>
              <w:right w:val="nil"/>
            </w:tcBorders>
            <w:shd w:val="clear" w:color="auto" w:fill="FFFFFF"/>
          </w:tcPr>
          <w:p w14:paraId="01F31FBE">
            <w:pPr>
              <w:pStyle w:val="24"/>
              <w:jc w:val="left"/>
              <w:rPr>
                <w:b w:val="0"/>
                <w:color w:val="000000"/>
                <w:sz w:val="24"/>
                <w:szCs w:val="24"/>
              </w:rPr>
            </w:pPr>
            <w:r>
              <w:rPr>
                <w:b w:val="0"/>
                <w:color w:val="000000"/>
                <w:sz w:val="24"/>
                <w:szCs w:val="24"/>
              </w:rPr>
              <w:t>high</w:t>
            </w:r>
          </w:p>
        </w:tc>
        <w:tc>
          <w:tcPr>
            <w:tcBorders>
              <w:top w:val="nil"/>
              <w:left w:val="nil"/>
              <w:bottom w:val="nil"/>
              <w:right w:val="nil"/>
            </w:tcBorders>
            <w:shd w:val="clear" w:color="auto" w:fill="FFFFFF"/>
          </w:tcPr>
          <w:p w14:paraId="2CBAAF26">
            <w:pPr>
              <w:pStyle w:val="24"/>
              <w:jc w:val="left"/>
              <w:rPr>
                <w:b w:val="0"/>
                <w:color w:val="000000"/>
                <w:sz w:val="24"/>
                <w:szCs w:val="24"/>
              </w:rPr>
            </w:pPr>
            <w:r>
              <w:rPr>
                <w:rFonts w:hint="eastAsia"/>
                <w:b w:val="0"/>
                <w:color w:val="000000"/>
                <w:sz w:val="24"/>
                <w:szCs w:val="24"/>
              </w:rPr>
              <w:t>最高价</w:t>
            </w:r>
          </w:p>
        </w:tc>
        <w:tc>
          <w:tcPr>
            <w:tcBorders>
              <w:top w:val="nil"/>
              <w:left w:val="nil"/>
              <w:bottom w:val="nil"/>
              <w:right w:val="nil"/>
            </w:tcBorders>
            <w:shd w:val="clear" w:color="auto" w:fill="FFFFFF"/>
          </w:tcPr>
          <w:p w14:paraId="051C1D2C">
            <w:pPr>
              <w:pStyle w:val="24"/>
              <w:jc w:val="left"/>
              <w:rPr>
                <w:b w:val="0"/>
                <w:color w:val="000000"/>
                <w:sz w:val="24"/>
                <w:szCs w:val="24"/>
              </w:rPr>
            </w:pPr>
            <w:r>
              <w:rPr>
                <w:rFonts w:hint="eastAsia"/>
                <w:b w:val="0"/>
                <w:color w:val="000000"/>
                <w:sz w:val="24"/>
                <w:szCs w:val="24"/>
              </w:rPr>
              <w:t>元</w:t>
            </w:r>
          </w:p>
        </w:tc>
        <w:tc>
          <w:tcPr>
            <w:tcBorders>
              <w:top w:val="nil"/>
              <w:left w:val="nil"/>
              <w:bottom w:val="nil"/>
              <w:right w:val="nil"/>
            </w:tcBorders>
            <w:shd w:val="clear" w:color="auto" w:fill="FFFFFF"/>
          </w:tcPr>
          <w:p w14:paraId="0F13F878">
            <w:pPr>
              <w:pStyle w:val="24"/>
              <w:jc w:val="left"/>
              <w:rPr>
                <w:b w:val="0"/>
                <w:color w:val="000000"/>
                <w:sz w:val="24"/>
                <w:szCs w:val="24"/>
              </w:rPr>
            </w:pPr>
            <w:r>
              <w:rPr>
                <w:rFonts w:hint="eastAsia"/>
                <w:b w:val="0"/>
                <w:color w:val="000000"/>
                <w:sz w:val="24"/>
                <w:szCs w:val="24"/>
              </w:rPr>
              <w:t>原始价格</w:t>
            </w:r>
          </w:p>
        </w:tc>
      </w:tr>
      <w:tr w14:paraId="278B0FCC">
        <w:tc>
          <w:tcPr>
            <w:tcBorders>
              <w:top w:val="nil"/>
              <w:left w:val="nil"/>
              <w:bottom w:val="nil"/>
              <w:right w:val="nil"/>
            </w:tcBorders>
            <w:shd w:val="clear" w:color="auto" w:fill="FFFFFF"/>
          </w:tcPr>
          <w:p w14:paraId="5EF8025B">
            <w:pPr>
              <w:pStyle w:val="24"/>
              <w:jc w:val="left"/>
              <w:rPr>
                <w:b w:val="0"/>
                <w:color w:val="000000"/>
                <w:sz w:val="24"/>
                <w:szCs w:val="24"/>
              </w:rPr>
            </w:pPr>
            <w:r>
              <w:rPr>
                <w:b w:val="0"/>
                <w:color w:val="000000"/>
                <w:sz w:val="24"/>
                <w:szCs w:val="24"/>
              </w:rPr>
              <w:t>low</w:t>
            </w:r>
          </w:p>
        </w:tc>
        <w:tc>
          <w:tcPr>
            <w:tcBorders>
              <w:top w:val="nil"/>
              <w:left w:val="nil"/>
              <w:bottom w:val="nil"/>
              <w:right w:val="nil"/>
            </w:tcBorders>
            <w:shd w:val="clear" w:color="auto" w:fill="FFFFFF"/>
          </w:tcPr>
          <w:p w14:paraId="0DED4778">
            <w:pPr>
              <w:pStyle w:val="24"/>
              <w:jc w:val="left"/>
              <w:rPr>
                <w:b w:val="0"/>
                <w:color w:val="000000"/>
                <w:sz w:val="24"/>
                <w:szCs w:val="24"/>
              </w:rPr>
            </w:pPr>
            <w:r>
              <w:rPr>
                <w:rFonts w:hint="eastAsia"/>
                <w:b w:val="0"/>
                <w:color w:val="000000"/>
                <w:sz w:val="24"/>
                <w:szCs w:val="24"/>
              </w:rPr>
              <w:t>最低价</w:t>
            </w:r>
          </w:p>
        </w:tc>
        <w:tc>
          <w:tcPr>
            <w:tcBorders>
              <w:top w:val="nil"/>
              <w:left w:val="nil"/>
              <w:bottom w:val="nil"/>
              <w:right w:val="nil"/>
            </w:tcBorders>
            <w:shd w:val="clear" w:color="auto" w:fill="FFFFFF"/>
          </w:tcPr>
          <w:p w14:paraId="41FF8467">
            <w:pPr>
              <w:pStyle w:val="24"/>
              <w:jc w:val="left"/>
              <w:rPr>
                <w:b w:val="0"/>
                <w:color w:val="000000"/>
                <w:sz w:val="24"/>
                <w:szCs w:val="24"/>
              </w:rPr>
            </w:pPr>
            <w:r>
              <w:rPr>
                <w:rFonts w:hint="eastAsia"/>
                <w:b w:val="0"/>
                <w:color w:val="000000"/>
                <w:sz w:val="24"/>
                <w:szCs w:val="24"/>
              </w:rPr>
              <w:t>元</w:t>
            </w:r>
          </w:p>
        </w:tc>
        <w:tc>
          <w:tcPr>
            <w:tcBorders>
              <w:top w:val="nil"/>
              <w:left w:val="nil"/>
              <w:bottom w:val="nil"/>
              <w:right w:val="nil"/>
            </w:tcBorders>
            <w:shd w:val="clear" w:color="auto" w:fill="FFFFFF"/>
          </w:tcPr>
          <w:p w14:paraId="1242B9B0">
            <w:pPr>
              <w:pStyle w:val="24"/>
              <w:jc w:val="left"/>
              <w:rPr>
                <w:b w:val="0"/>
                <w:color w:val="000000"/>
                <w:sz w:val="24"/>
                <w:szCs w:val="24"/>
              </w:rPr>
            </w:pPr>
            <w:r>
              <w:rPr>
                <w:rFonts w:hint="eastAsia"/>
                <w:b w:val="0"/>
                <w:color w:val="000000"/>
                <w:sz w:val="24"/>
                <w:szCs w:val="24"/>
              </w:rPr>
              <w:t>原始价格</w:t>
            </w:r>
          </w:p>
        </w:tc>
      </w:tr>
      <w:tr w14:paraId="67C2436C">
        <w:tc>
          <w:tcPr>
            <w:tcBorders>
              <w:top w:val="nil"/>
              <w:left w:val="nil"/>
              <w:bottom w:val="nil"/>
              <w:right w:val="nil"/>
            </w:tcBorders>
            <w:shd w:val="clear" w:color="auto" w:fill="FFFFFF"/>
          </w:tcPr>
          <w:p w14:paraId="1E1A2782">
            <w:pPr>
              <w:pStyle w:val="24"/>
              <w:jc w:val="left"/>
              <w:rPr>
                <w:b w:val="0"/>
                <w:color w:val="000000"/>
                <w:sz w:val="24"/>
                <w:szCs w:val="24"/>
              </w:rPr>
            </w:pPr>
            <w:r>
              <w:rPr>
                <w:b w:val="0"/>
                <w:color w:val="000000"/>
                <w:sz w:val="24"/>
                <w:szCs w:val="24"/>
              </w:rPr>
              <w:t>close</w:t>
            </w:r>
          </w:p>
        </w:tc>
        <w:tc>
          <w:tcPr>
            <w:tcBorders>
              <w:top w:val="nil"/>
              <w:left w:val="nil"/>
              <w:bottom w:val="nil"/>
              <w:right w:val="nil"/>
            </w:tcBorders>
            <w:shd w:val="clear" w:color="auto" w:fill="FFFFFF"/>
          </w:tcPr>
          <w:p w14:paraId="1BE44BA5">
            <w:pPr>
              <w:pStyle w:val="24"/>
              <w:jc w:val="left"/>
              <w:rPr>
                <w:b w:val="0"/>
                <w:color w:val="000000"/>
                <w:sz w:val="24"/>
                <w:szCs w:val="24"/>
              </w:rPr>
            </w:pPr>
            <w:r>
              <w:rPr>
                <w:rFonts w:hint="eastAsia"/>
                <w:b w:val="0"/>
                <w:color w:val="000000"/>
                <w:sz w:val="24"/>
                <w:szCs w:val="24"/>
              </w:rPr>
              <w:t>收盘价</w:t>
            </w:r>
          </w:p>
        </w:tc>
        <w:tc>
          <w:tcPr>
            <w:tcBorders>
              <w:top w:val="nil"/>
              <w:left w:val="nil"/>
              <w:bottom w:val="nil"/>
              <w:right w:val="nil"/>
            </w:tcBorders>
            <w:shd w:val="clear" w:color="auto" w:fill="FFFFFF"/>
          </w:tcPr>
          <w:p w14:paraId="15727674">
            <w:pPr>
              <w:pStyle w:val="24"/>
              <w:jc w:val="left"/>
              <w:rPr>
                <w:b w:val="0"/>
                <w:color w:val="000000"/>
                <w:sz w:val="24"/>
                <w:szCs w:val="24"/>
              </w:rPr>
            </w:pPr>
            <w:r>
              <w:rPr>
                <w:rFonts w:hint="eastAsia"/>
                <w:b w:val="0"/>
                <w:color w:val="000000"/>
                <w:sz w:val="24"/>
                <w:szCs w:val="24"/>
              </w:rPr>
              <w:t>元</w:t>
            </w:r>
          </w:p>
        </w:tc>
        <w:tc>
          <w:tcPr>
            <w:tcBorders>
              <w:top w:val="nil"/>
              <w:left w:val="nil"/>
              <w:bottom w:val="nil"/>
              <w:right w:val="nil"/>
            </w:tcBorders>
            <w:shd w:val="clear" w:color="auto" w:fill="FFFFFF"/>
          </w:tcPr>
          <w:p w14:paraId="03E47F08">
            <w:pPr>
              <w:pStyle w:val="24"/>
              <w:jc w:val="left"/>
              <w:rPr>
                <w:b w:val="0"/>
                <w:color w:val="000000"/>
                <w:sz w:val="24"/>
                <w:szCs w:val="24"/>
              </w:rPr>
            </w:pPr>
            <w:r>
              <w:rPr>
                <w:rFonts w:hint="eastAsia"/>
                <w:b w:val="0"/>
                <w:color w:val="000000"/>
                <w:sz w:val="24"/>
                <w:szCs w:val="24"/>
              </w:rPr>
              <w:t>原始价格</w:t>
            </w:r>
          </w:p>
        </w:tc>
      </w:tr>
      <w:tr w14:paraId="5A09D45B">
        <w:tc>
          <w:tcPr>
            <w:tcBorders>
              <w:top w:val="nil"/>
              <w:left w:val="nil"/>
              <w:bottom w:val="nil"/>
              <w:right w:val="nil"/>
            </w:tcBorders>
            <w:shd w:val="clear" w:color="auto" w:fill="FFFFFF"/>
          </w:tcPr>
          <w:p w14:paraId="747EFE02">
            <w:pPr>
              <w:pStyle w:val="24"/>
              <w:jc w:val="left"/>
              <w:rPr>
                <w:b w:val="0"/>
                <w:color w:val="000000"/>
                <w:sz w:val="24"/>
                <w:szCs w:val="24"/>
              </w:rPr>
            </w:pPr>
            <w:r>
              <w:rPr>
                <w:b w:val="0"/>
                <w:color w:val="000000"/>
                <w:sz w:val="24"/>
                <w:szCs w:val="24"/>
              </w:rPr>
              <w:t>pre_close</w:t>
            </w:r>
          </w:p>
        </w:tc>
        <w:tc>
          <w:tcPr>
            <w:tcBorders>
              <w:top w:val="nil"/>
              <w:left w:val="nil"/>
              <w:bottom w:val="nil"/>
              <w:right w:val="nil"/>
            </w:tcBorders>
            <w:shd w:val="clear" w:color="auto" w:fill="FFFFFF"/>
          </w:tcPr>
          <w:p w14:paraId="1F54CCBE">
            <w:pPr>
              <w:pStyle w:val="24"/>
              <w:jc w:val="left"/>
              <w:rPr>
                <w:b w:val="0"/>
                <w:color w:val="000000"/>
                <w:sz w:val="24"/>
                <w:szCs w:val="24"/>
              </w:rPr>
            </w:pPr>
            <w:r>
              <w:rPr>
                <w:rFonts w:hint="eastAsia"/>
                <w:b w:val="0"/>
                <w:color w:val="000000"/>
                <w:sz w:val="24"/>
                <w:szCs w:val="24"/>
              </w:rPr>
              <w:t>前收盘价</w:t>
            </w:r>
          </w:p>
        </w:tc>
        <w:tc>
          <w:tcPr>
            <w:tcBorders>
              <w:top w:val="nil"/>
              <w:left w:val="nil"/>
              <w:bottom w:val="nil"/>
              <w:right w:val="nil"/>
            </w:tcBorders>
            <w:shd w:val="clear" w:color="auto" w:fill="FFFFFF"/>
          </w:tcPr>
          <w:p w14:paraId="1F29E7C4">
            <w:pPr>
              <w:pStyle w:val="24"/>
              <w:jc w:val="left"/>
              <w:rPr>
                <w:b w:val="0"/>
                <w:color w:val="000000"/>
                <w:sz w:val="24"/>
                <w:szCs w:val="24"/>
              </w:rPr>
            </w:pPr>
            <w:r>
              <w:rPr>
                <w:rFonts w:hint="eastAsia"/>
                <w:b w:val="0"/>
                <w:color w:val="000000"/>
                <w:sz w:val="24"/>
                <w:szCs w:val="24"/>
              </w:rPr>
              <w:t>元</w:t>
            </w:r>
          </w:p>
        </w:tc>
        <w:tc>
          <w:tcPr>
            <w:tcBorders>
              <w:top w:val="nil"/>
              <w:left w:val="nil"/>
              <w:bottom w:val="nil"/>
              <w:right w:val="nil"/>
            </w:tcBorders>
            <w:shd w:val="clear" w:color="auto" w:fill="FFFFFF"/>
          </w:tcPr>
          <w:p w14:paraId="36597495">
            <w:pPr>
              <w:pStyle w:val="24"/>
              <w:jc w:val="left"/>
              <w:rPr>
                <w:b w:val="0"/>
                <w:color w:val="000000"/>
                <w:sz w:val="24"/>
                <w:szCs w:val="24"/>
              </w:rPr>
            </w:pPr>
            <w:r>
              <w:rPr>
                <w:rFonts w:hint="eastAsia"/>
                <w:b w:val="0"/>
                <w:color w:val="000000"/>
                <w:sz w:val="24"/>
                <w:szCs w:val="24"/>
              </w:rPr>
              <w:t>港股/ETF为NaN</w:t>
            </w:r>
          </w:p>
        </w:tc>
      </w:tr>
      <w:tr w14:paraId="5B20B0D9">
        <w:tc>
          <w:tcPr>
            <w:tcBorders>
              <w:top w:val="nil"/>
              <w:left w:val="nil"/>
              <w:bottom w:val="nil"/>
              <w:right w:val="nil"/>
            </w:tcBorders>
            <w:shd w:val="clear" w:color="auto" w:fill="FFFFFF"/>
          </w:tcPr>
          <w:p w14:paraId="58FC3742">
            <w:pPr>
              <w:pStyle w:val="24"/>
              <w:jc w:val="left"/>
              <w:rPr>
                <w:b w:val="0"/>
                <w:color w:val="000000"/>
                <w:sz w:val="24"/>
                <w:szCs w:val="24"/>
              </w:rPr>
            </w:pPr>
            <w:r>
              <w:rPr>
                <w:b w:val="0"/>
                <w:color w:val="000000"/>
                <w:sz w:val="24"/>
                <w:szCs w:val="24"/>
              </w:rPr>
              <w:t>pct_chg</w:t>
            </w:r>
          </w:p>
        </w:tc>
        <w:tc>
          <w:tcPr>
            <w:tcBorders>
              <w:top w:val="nil"/>
              <w:left w:val="nil"/>
              <w:bottom w:val="nil"/>
              <w:right w:val="nil"/>
            </w:tcBorders>
            <w:shd w:val="clear" w:color="auto" w:fill="FFFFFF"/>
          </w:tcPr>
          <w:p w14:paraId="704EDE81">
            <w:pPr>
              <w:pStyle w:val="24"/>
              <w:jc w:val="left"/>
              <w:rPr>
                <w:b w:val="0"/>
                <w:color w:val="000000"/>
                <w:sz w:val="24"/>
                <w:szCs w:val="24"/>
              </w:rPr>
            </w:pPr>
            <w:r>
              <w:rPr>
                <w:rFonts w:hint="eastAsia"/>
                <w:b w:val="0"/>
                <w:color w:val="000000"/>
                <w:sz w:val="24"/>
                <w:szCs w:val="24"/>
              </w:rPr>
              <w:t>涨跌幅</w:t>
            </w:r>
          </w:p>
        </w:tc>
        <w:tc>
          <w:tcPr>
            <w:tcBorders>
              <w:top w:val="nil"/>
              <w:left w:val="nil"/>
              <w:bottom w:val="nil"/>
              <w:right w:val="nil"/>
            </w:tcBorders>
            <w:shd w:val="clear" w:color="auto" w:fill="FFFFFF"/>
          </w:tcPr>
          <w:p w14:paraId="18C7BEA5">
            <w:pPr>
              <w:pStyle w:val="24"/>
              <w:jc w:val="left"/>
              <w:rPr>
                <w:b w:val="0"/>
                <w:color w:val="000000"/>
                <w:sz w:val="24"/>
                <w:szCs w:val="24"/>
              </w:rPr>
            </w:pPr>
            <w:r>
              <w:rPr>
                <w:b w:val="0"/>
                <w:color w:val="000000"/>
                <w:sz w:val="24"/>
                <w:szCs w:val="24"/>
              </w:rPr>
              <w:t>%</w:t>
            </w:r>
          </w:p>
        </w:tc>
        <w:tc>
          <w:tcPr>
            <w:tcBorders>
              <w:top w:val="nil"/>
              <w:left w:val="nil"/>
              <w:bottom w:val="nil"/>
              <w:right w:val="nil"/>
            </w:tcBorders>
            <w:shd w:val="clear" w:color="auto" w:fill="FFFFFF"/>
          </w:tcPr>
          <w:p w14:paraId="77BD9772">
            <w:pPr>
              <w:pStyle w:val="24"/>
              <w:jc w:val="left"/>
              <w:rPr>
                <w:b w:val="0"/>
                <w:color w:val="000000"/>
                <w:sz w:val="24"/>
                <w:szCs w:val="24"/>
              </w:rPr>
            </w:pPr>
            <w:r>
              <w:rPr>
                <w:rFonts w:hint="eastAsia"/>
                <w:b w:val="0"/>
                <w:color w:val="000000"/>
                <w:sz w:val="24"/>
                <w:szCs w:val="24"/>
              </w:rPr>
              <w:t>当日涨跌幅</w:t>
            </w:r>
          </w:p>
        </w:tc>
      </w:tr>
      <w:tr w14:paraId="4C2C4093">
        <w:tc>
          <w:tcPr>
            <w:tcBorders>
              <w:top w:val="nil"/>
              <w:left w:val="nil"/>
              <w:bottom w:val="nil"/>
              <w:right w:val="nil"/>
            </w:tcBorders>
            <w:shd w:val="clear" w:color="auto" w:fill="FFFFFF"/>
          </w:tcPr>
          <w:p w14:paraId="1A3A9D2F">
            <w:pPr>
              <w:pStyle w:val="24"/>
              <w:jc w:val="left"/>
              <w:rPr>
                <w:b w:val="0"/>
                <w:color w:val="000000"/>
                <w:sz w:val="24"/>
                <w:szCs w:val="24"/>
              </w:rPr>
            </w:pPr>
            <w:r>
              <w:rPr>
                <w:b w:val="0"/>
                <w:color w:val="000000"/>
                <w:sz w:val="24"/>
                <w:szCs w:val="24"/>
              </w:rPr>
              <w:t>vol</w:t>
            </w:r>
          </w:p>
        </w:tc>
        <w:tc>
          <w:tcPr>
            <w:tcBorders>
              <w:top w:val="nil"/>
              <w:left w:val="nil"/>
              <w:bottom w:val="nil"/>
              <w:right w:val="nil"/>
            </w:tcBorders>
            <w:shd w:val="clear" w:color="auto" w:fill="FFFFFF"/>
          </w:tcPr>
          <w:p w14:paraId="511C555C">
            <w:pPr>
              <w:pStyle w:val="24"/>
              <w:jc w:val="left"/>
              <w:rPr>
                <w:b w:val="0"/>
                <w:color w:val="000000"/>
                <w:sz w:val="24"/>
                <w:szCs w:val="24"/>
              </w:rPr>
            </w:pPr>
            <w:r>
              <w:rPr>
                <w:rFonts w:hint="eastAsia"/>
                <w:b w:val="0"/>
                <w:color w:val="000000"/>
                <w:sz w:val="24"/>
                <w:szCs w:val="24"/>
              </w:rPr>
              <w:t>成交量</w:t>
            </w:r>
          </w:p>
        </w:tc>
        <w:tc>
          <w:tcPr>
            <w:tcBorders>
              <w:top w:val="nil"/>
              <w:left w:val="nil"/>
              <w:bottom w:val="nil"/>
              <w:right w:val="nil"/>
            </w:tcBorders>
            <w:shd w:val="clear" w:color="auto" w:fill="FFFFFF"/>
          </w:tcPr>
          <w:p w14:paraId="067DDF8D">
            <w:pPr>
              <w:pStyle w:val="24"/>
              <w:jc w:val="left"/>
              <w:rPr>
                <w:b w:val="0"/>
                <w:color w:val="000000"/>
                <w:sz w:val="24"/>
                <w:szCs w:val="24"/>
              </w:rPr>
            </w:pPr>
            <w:r>
              <w:rPr>
                <w:rFonts w:hint="eastAsia"/>
                <w:b w:val="0"/>
                <w:color w:val="000000"/>
                <w:sz w:val="24"/>
                <w:szCs w:val="24"/>
              </w:rPr>
              <w:t>手</w:t>
            </w:r>
          </w:p>
        </w:tc>
        <w:tc>
          <w:tcPr>
            <w:tcBorders>
              <w:top w:val="nil"/>
              <w:left w:val="nil"/>
              <w:bottom w:val="nil"/>
              <w:right w:val="nil"/>
            </w:tcBorders>
            <w:shd w:val="clear" w:color="auto" w:fill="FFFFFF"/>
          </w:tcPr>
          <w:p w14:paraId="6206F960">
            <w:pPr>
              <w:pStyle w:val="24"/>
              <w:jc w:val="left"/>
              <w:rPr>
                <w:b w:val="0"/>
                <w:color w:val="000000"/>
                <w:sz w:val="24"/>
                <w:szCs w:val="24"/>
              </w:rPr>
            </w:pPr>
            <w:r>
              <w:rPr>
                <w:b w:val="0"/>
                <w:color w:val="000000"/>
                <w:sz w:val="24"/>
                <w:szCs w:val="24"/>
              </w:rPr>
              <w:t>—</w:t>
            </w:r>
          </w:p>
        </w:tc>
      </w:tr>
      <w:tr w14:paraId="5CC8298A">
        <w:tc>
          <w:tcPr>
            <w:tcBorders>
              <w:top w:val="nil"/>
              <w:left w:val="nil"/>
              <w:bottom w:val="nil"/>
              <w:right w:val="nil"/>
            </w:tcBorders>
            <w:shd w:val="clear" w:color="auto" w:fill="FFFFFF"/>
          </w:tcPr>
          <w:p w14:paraId="5B4EFA81">
            <w:pPr>
              <w:pStyle w:val="24"/>
              <w:jc w:val="left"/>
              <w:rPr>
                <w:b w:val="0"/>
                <w:color w:val="000000"/>
                <w:sz w:val="24"/>
                <w:szCs w:val="24"/>
              </w:rPr>
            </w:pPr>
            <w:r>
              <w:rPr>
                <w:b w:val="0"/>
                <w:color w:val="000000"/>
                <w:sz w:val="24"/>
                <w:szCs w:val="24"/>
              </w:rPr>
              <w:t>amount</w:t>
            </w:r>
          </w:p>
        </w:tc>
        <w:tc>
          <w:tcPr>
            <w:tcBorders>
              <w:top w:val="nil"/>
              <w:left w:val="nil"/>
              <w:bottom w:val="nil"/>
              <w:right w:val="nil"/>
            </w:tcBorders>
            <w:shd w:val="clear" w:color="auto" w:fill="FFFFFF"/>
          </w:tcPr>
          <w:p w14:paraId="0A15361E">
            <w:pPr>
              <w:pStyle w:val="24"/>
              <w:jc w:val="left"/>
              <w:rPr>
                <w:b w:val="0"/>
                <w:color w:val="000000"/>
                <w:sz w:val="24"/>
                <w:szCs w:val="24"/>
              </w:rPr>
            </w:pPr>
            <w:r>
              <w:rPr>
                <w:rFonts w:hint="eastAsia"/>
                <w:b w:val="0"/>
                <w:color w:val="000000"/>
                <w:sz w:val="24"/>
                <w:szCs w:val="24"/>
              </w:rPr>
              <w:t>成交额</w:t>
            </w:r>
          </w:p>
        </w:tc>
        <w:tc>
          <w:tcPr>
            <w:tcBorders>
              <w:top w:val="nil"/>
              <w:left w:val="nil"/>
              <w:bottom w:val="nil"/>
              <w:right w:val="nil"/>
            </w:tcBorders>
            <w:shd w:val="clear" w:color="auto" w:fill="FFFFFF"/>
          </w:tcPr>
          <w:p w14:paraId="53155E14">
            <w:pPr>
              <w:pStyle w:val="24"/>
              <w:jc w:val="left"/>
              <w:rPr>
                <w:b w:val="0"/>
                <w:color w:val="000000"/>
                <w:sz w:val="24"/>
                <w:szCs w:val="24"/>
              </w:rPr>
            </w:pPr>
            <w:r>
              <w:rPr>
                <w:rFonts w:hint="eastAsia"/>
                <w:b w:val="0"/>
                <w:color w:val="000000"/>
                <w:sz w:val="24"/>
                <w:szCs w:val="24"/>
              </w:rPr>
              <w:t>元</w:t>
            </w:r>
          </w:p>
        </w:tc>
        <w:tc>
          <w:tcPr>
            <w:tcBorders>
              <w:top w:val="nil"/>
              <w:left w:val="nil"/>
              <w:bottom w:val="nil"/>
              <w:right w:val="nil"/>
            </w:tcBorders>
            <w:shd w:val="clear" w:color="auto" w:fill="FFFFFF"/>
          </w:tcPr>
          <w:p w14:paraId="6D213AA8">
            <w:pPr>
              <w:pStyle w:val="24"/>
              <w:jc w:val="left"/>
              <w:rPr>
                <w:b w:val="0"/>
                <w:color w:val="000000"/>
                <w:sz w:val="24"/>
                <w:szCs w:val="24"/>
              </w:rPr>
            </w:pPr>
            <w:r>
              <w:rPr>
                <w:b w:val="0"/>
                <w:color w:val="000000"/>
                <w:sz w:val="24"/>
                <w:szCs w:val="24"/>
              </w:rPr>
              <w:t>—</w:t>
            </w:r>
          </w:p>
        </w:tc>
      </w:tr>
      <w:tr w14:paraId="70BC7621">
        <w:tc>
          <w:tcPr>
            <w:tcBorders>
              <w:top w:val="nil"/>
              <w:left w:val="nil"/>
              <w:bottom w:val="nil"/>
              <w:right w:val="nil"/>
            </w:tcBorders>
            <w:shd w:val="clear" w:color="auto" w:fill="FFFFFF"/>
          </w:tcPr>
          <w:p w14:paraId="26AFC07E">
            <w:pPr>
              <w:pStyle w:val="24"/>
              <w:jc w:val="left"/>
              <w:rPr>
                <w:b w:val="0"/>
                <w:color w:val="000000"/>
                <w:sz w:val="24"/>
                <w:szCs w:val="24"/>
              </w:rPr>
            </w:pPr>
            <w:r>
              <w:rPr>
                <w:b w:val="0"/>
                <w:color w:val="000000"/>
                <w:sz w:val="24"/>
                <w:szCs w:val="24"/>
              </w:rPr>
              <w:t>adj_factor</w:t>
            </w:r>
          </w:p>
        </w:tc>
        <w:tc>
          <w:tcPr>
            <w:tcBorders>
              <w:top w:val="nil"/>
              <w:left w:val="nil"/>
              <w:bottom w:val="nil"/>
              <w:right w:val="nil"/>
            </w:tcBorders>
            <w:shd w:val="clear" w:color="auto" w:fill="FFFFFF"/>
          </w:tcPr>
          <w:p w14:paraId="38193115">
            <w:pPr>
              <w:pStyle w:val="24"/>
              <w:jc w:val="left"/>
              <w:rPr>
                <w:b w:val="0"/>
                <w:color w:val="000000"/>
                <w:sz w:val="24"/>
                <w:szCs w:val="24"/>
              </w:rPr>
            </w:pPr>
            <w:r>
              <w:rPr>
                <w:rFonts w:hint="eastAsia"/>
                <w:b w:val="0"/>
                <w:color w:val="000000"/>
                <w:sz w:val="24"/>
                <w:szCs w:val="24"/>
              </w:rPr>
              <w:t>复权因子</w:t>
            </w:r>
          </w:p>
        </w:tc>
        <w:tc>
          <w:tcPr>
            <w:tcBorders>
              <w:top w:val="nil"/>
              <w:left w:val="nil"/>
              <w:bottom w:val="nil"/>
              <w:right w:val="nil"/>
            </w:tcBorders>
            <w:shd w:val="clear" w:color="auto" w:fill="FFFFFF"/>
          </w:tcPr>
          <w:p w14:paraId="231A92D8">
            <w:pPr>
              <w:pStyle w:val="24"/>
              <w:jc w:val="left"/>
              <w:rPr>
                <w:b w:val="0"/>
                <w:color w:val="000000"/>
                <w:sz w:val="24"/>
                <w:szCs w:val="24"/>
              </w:rPr>
            </w:pPr>
            <w:r>
              <w:rPr>
                <w:b w:val="0"/>
                <w:color w:val="000000"/>
                <w:sz w:val="24"/>
                <w:szCs w:val="24"/>
              </w:rPr>
              <w:t>—</w:t>
            </w:r>
          </w:p>
        </w:tc>
        <w:tc>
          <w:tcPr>
            <w:tcBorders>
              <w:top w:val="nil"/>
              <w:left w:val="nil"/>
              <w:bottom w:val="nil"/>
              <w:right w:val="nil"/>
            </w:tcBorders>
            <w:shd w:val="clear" w:color="auto" w:fill="FFFFFF"/>
          </w:tcPr>
          <w:p w14:paraId="07C0C205">
            <w:pPr>
              <w:pStyle w:val="24"/>
              <w:jc w:val="left"/>
              <w:rPr>
                <w:b w:val="0"/>
                <w:color w:val="000000"/>
                <w:sz w:val="24"/>
                <w:szCs w:val="24"/>
              </w:rPr>
            </w:pPr>
            <w:r>
              <w:rPr>
                <w:rFonts w:hint="eastAsia"/>
                <w:b w:val="0"/>
                <w:color w:val="000000"/>
                <w:sz w:val="24"/>
                <w:szCs w:val="24"/>
              </w:rPr>
              <w:t>港股/ETF为NaN</w:t>
            </w:r>
          </w:p>
        </w:tc>
      </w:tr>
      <w:tr w14:paraId="5D5680D5">
        <w:tc>
          <w:tcPr>
            <w:tcBorders>
              <w:top w:val="nil"/>
              <w:left w:val="nil"/>
              <w:bottom w:val="nil"/>
              <w:right w:val="nil"/>
            </w:tcBorders>
            <w:shd w:val="clear" w:color="auto" w:fill="FFFFFF"/>
          </w:tcPr>
          <w:p w14:paraId="3628475E">
            <w:pPr>
              <w:pStyle w:val="24"/>
              <w:jc w:val="left"/>
              <w:rPr>
                <w:b w:val="0"/>
                <w:color w:val="000000"/>
                <w:sz w:val="24"/>
                <w:szCs w:val="24"/>
              </w:rPr>
            </w:pPr>
            <w:r>
              <w:rPr>
                <w:b w:val="0"/>
                <w:color w:val="000000"/>
                <w:sz w:val="24"/>
                <w:szCs w:val="24"/>
              </w:rPr>
              <w:t>close_qfq</w:t>
            </w:r>
          </w:p>
        </w:tc>
        <w:tc>
          <w:tcPr>
            <w:tcBorders>
              <w:top w:val="nil"/>
              <w:left w:val="nil"/>
              <w:bottom w:val="nil"/>
              <w:right w:val="nil"/>
            </w:tcBorders>
            <w:shd w:val="clear" w:color="auto" w:fill="FFFFFF"/>
          </w:tcPr>
          <w:p w14:paraId="40B10AEB">
            <w:pPr>
              <w:pStyle w:val="24"/>
              <w:jc w:val="left"/>
              <w:rPr>
                <w:b w:val="0"/>
                <w:color w:val="000000"/>
                <w:sz w:val="24"/>
                <w:szCs w:val="24"/>
              </w:rPr>
            </w:pPr>
            <w:r>
              <w:rPr>
                <w:rFonts w:hint="eastAsia"/>
                <w:b w:val="0"/>
                <w:color w:val="000000"/>
                <w:sz w:val="24"/>
                <w:szCs w:val="24"/>
              </w:rPr>
              <w:t>前复权收盘价</w:t>
            </w:r>
          </w:p>
        </w:tc>
        <w:tc>
          <w:tcPr>
            <w:tcBorders>
              <w:top w:val="nil"/>
              <w:left w:val="nil"/>
              <w:bottom w:val="nil"/>
              <w:right w:val="nil"/>
            </w:tcBorders>
            <w:shd w:val="clear" w:color="auto" w:fill="FFFFFF"/>
          </w:tcPr>
          <w:p w14:paraId="1A5E2006">
            <w:pPr>
              <w:pStyle w:val="24"/>
              <w:jc w:val="left"/>
              <w:rPr>
                <w:b w:val="0"/>
                <w:color w:val="000000"/>
                <w:sz w:val="24"/>
                <w:szCs w:val="24"/>
              </w:rPr>
            </w:pPr>
            <w:r>
              <w:rPr>
                <w:rFonts w:hint="eastAsia"/>
                <w:b w:val="0"/>
                <w:color w:val="000000"/>
                <w:sz w:val="24"/>
                <w:szCs w:val="24"/>
              </w:rPr>
              <w:t>元</w:t>
            </w:r>
          </w:p>
        </w:tc>
        <w:tc>
          <w:tcPr>
            <w:tcBorders>
              <w:top w:val="nil"/>
              <w:left w:val="nil"/>
              <w:bottom w:val="nil"/>
              <w:right w:val="nil"/>
            </w:tcBorders>
            <w:shd w:val="clear" w:color="auto" w:fill="FFFFFF"/>
          </w:tcPr>
          <w:p w14:paraId="3B036C53">
            <w:pPr>
              <w:pStyle w:val="24"/>
              <w:jc w:val="left"/>
              <w:rPr>
                <w:b w:val="0"/>
                <w:color w:val="000000"/>
                <w:sz w:val="24"/>
                <w:szCs w:val="24"/>
              </w:rPr>
            </w:pPr>
            <w:r>
              <w:rPr>
                <w:rFonts w:hint="eastAsia"/>
                <w:b w:val="0"/>
                <w:bCs/>
                <w:color w:val="000000"/>
                <w:sz w:val="24"/>
                <w:szCs w:val="24"/>
              </w:rPr>
              <w:t>策略核心字段</w:t>
            </w:r>
            <w:r>
              <w:rPr>
                <w:rFonts w:hint="eastAsia"/>
                <w:b w:val="0"/>
                <w:color w:val="000000"/>
                <w:sz w:val="24"/>
                <w:szCs w:val="24"/>
              </w:rPr>
              <w:t>，用于动量、均线、收益率</w:t>
            </w:r>
          </w:p>
        </w:tc>
      </w:tr>
      <w:tr w14:paraId="4206553D">
        <w:tc>
          <w:tcPr>
            <w:tcBorders>
              <w:top w:val="nil"/>
              <w:left w:val="nil"/>
              <w:bottom w:val="nil"/>
              <w:right w:val="nil"/>
            </w:tcBorders>
            <w:shd w:val="clear" w:color="auto" w:fill="FFFFFF"/>
          </w:tcPr>
          <w:p w14:paraId="65186547">
            <w:pPr>
              <w:pStyle w:val="24"/>
              <w:jc w:val="left"/>
              <w:rPr>
                <w:b w:val="0"/>
                <w:color w:val="000000"/>
                <w:sz w:val="24"/>
                <w:szCs w:val="24"/>
              </w:rPr>
            </w:pPr>
            <w:r>
              <w:rPr>
                <w:b w:val="0"/>
                <w:color w:val="000000"/>
                <w:sz w:val="24"/>
                <w:szCs w:val="24"/>
              </w:rPr>
              <w:t>pct_chg_qfq</w:t>
            </w:r>
          </w:p>
        </w:tc>
        <w:tc>
          <w:tcPr>
            <w:tcBorders>
              <w:top w:val="nil"/>
              <w:left w:val="nil"/>
              <w:bottom w:val="nil"/>
              <w:right w:val="nil"/>
            </w:tcBorders>
            <w:shd w:val="clear" w:color="auto" w:fill="FFFFFF"/>
          </w:tcPr>
          <w:p w14:paraId="6604F206">
            <w:pPr>
              <w:pStyle w:val="24"/>
              <w:jc w:val="left"/>
              <w:rPr>
                <w:b w:val="0"/>
                <w:color w:val="000000"/>
                <w:sz w:val="24"/>
                <w:szCs w:val="24"/>
              </w:rPr>
            </w:pPr>
            <w:r>
              <w:rPr>
                <w:rFonts w:hint="eastAsia"/>
                <w:b w:val="0"/>
                <w:color w:val="000000"/>
                <w:sz w:val="24"/>
                <w:szCs w:val="24"/>
              </w:rPr>
              <w:t>前复权涨跌幅</w:t>
            </w:r>
          </w:p>
        </w:tc>
        <w:tc>
          <w:tcPr>
            <w:tcBorders>
              <w:top w:val="nil"/>
              <w:left w:val="nil"/>
              <w:bottom w:val="nil"/>
              <w:right w:val="nil"/>
            </w:tcBorders>
            <w:shd w:val="clear" w:color="auto" w:fill="FFFFFF"/>
          </w:tcPr>
          <w:p w14:paraId="658C79BF">
            <w:pPr>
              <w:pStyle w:val="24"/>
              <w:jc w:val="left"/>
              <w:rPr>
                <w:b w:val="0"/>
                <w:color w:val="000000"/>
                <w:sz w:val="24"/>
                <w:szCs w:val="24"/>
              </w:rPr>
            </w:pPr>
            <w:r>
              <w:rPr>
                <w:b w:val="0"/>
                <w:color w:val="000000"/>
                <w:sz w:val="24"/>
                <w:szCs w:val="24"/>
              </w:rPr>
              <w:t>%</w:t>
            </w:r>
          </w:p>
        </w:tc>
        <w:tc>
          <w:tcPr>
            <w:tcBorders>
              <w:top w:val="nil"/>
              <w:left w:val="nil"/>
              <w:bottom w:val="nil"/>
              <w:right w:val="nil"/>
            </w:tcBorders>
            <w:shd w:val="clear" w:color="auto" w:fill="FFFFFF"/>
          </w:tcPr>
          <w:p w14:paraId="5E5A170F">
            <w:pPr>
              <w:pStyle w:val="24"/>
              <w:jc w:val="left"/>
              <w:rPr>
                <w:b w:val="0"/>
                <w:color w:val="000000"/>
                <w:sz w:val="24"/>
                <w:szCs w:val="24"/>
              </w:rPr>
            </w:pPr>
            <w:r>
              <w:rPr>
                <w:b w:val="0"/>
                <w:color w:val="000000"/>
                <w:sz w:val="24"/>
                <w:szCs w:val="24"/>
              </w:rPr>
              <w:t>—</w:t>
            </w:r>
          </w:p>
        </w:tc>
      </w:tr>
      <w:tr w14:paraId="44C4DA1C">
        <w:tc>
          <w:tcPr>
            <w:tcBorders>
              <w:top w:val="nil"/>
              <w:left w:val="nil"/>
              <w:bottom w:val="nil"/>
              <w:right w:val="nil"/>
            </w:tcBorders>
            <w:shd w:val="clear" w:color="auto" w:fill="FFFFFF"/>
          </w:tcPr>
          <w:p w14:paraId="70116D40">
            <w:pPr>
              <w:pStyle w:val="24"/>
              <w:jc w:val="left"/>
              <w:rPr>
                <w:b w:val="0"/>
                <w:color w:val="000000"/>
                <w:sz w:val="24"/>
                <w:szCs w:val="24"/>
              </w:rPr>
            </w:pPr>
            <w:r>
              <w:rPr>
                <w:b w:val="0"/>
                <w:color w:val="000000"/>
                <w:sz w:val="24"/>
                <w:szCs w:val="24"/>
              </w:rPr>
              <w:t>close_hfq</w:t>
            </w:r>
          </w:p>
        </w:tc>
        <w:tc>
          <w:tcPr>
            <w:tcBorders>
              <w:top w:val="nil"/>
              <w:left w:val="nil"/>
              <w:bottom w:val="nil"/>
              <w:right w:val="nil"/>
            </w:tcBorders>
            <w:shd w:val="clear" w:color="auto" w:fill="FFFFFF"/>
          </w:tcPr>
          <w:p w14:paraId="10472156">
            <w:pPr>
              <w:pStyle w:val="24"/>
              <w:jc w:val="left"/>
              <w:rPr>
                <w:b w:val="0"/>
                <w:color w:val="000000"/>
                <w:sz w:val="24"/>
                <w:szCs w:val="24"/>
              </w:rPr>
            </w:pPr>
            <w:r>
              <w:rPr>
                <w:rFonts w:hint="eastAsia"/>
                <w:b w:val="0"/>
                <w:color w:val="000000"/>
                <w:sz w:val="24"/>
                <w:szCs w:val="24"/>
              </w:rPr>
              <w:t>后复权收盘价</w:t>
            </w:r>
          </w:p>
        </w:tc>
        <w:tc>
          <w:tcPr>
            <w:tcBorders>
              <w:top w:val="nil"/>
              <w:left w:val="nil"/>
              <w:bottom w:val="nil"/>
              <w:right w:val="nil"/>
            </w:tcBorders>
            <w:shd w:val="clear" w:color="auto" w:fill="FFFFFF"/>
          </w:tcPr>
          <w:p w14:paraId="4C225F78">
            <w:pPr>
              <w:pStyle w:val="24"/>
              <w:jc w:val="left"/>
              <w:rPr>
                <w:b w:val="0"/>
                <w:color w:val="000000"/>
                <w:sz w:val="24"/>
                <w:szCs w:val="24"/>
              </w:rPr>
            </w:pPr>
            <w:r>
              <w:rPr>
                <w:rFonts w:hint="eastAsia"/>
                <w:b w:val="0"/>
                <w:color w:val="000000"/>
                <w:sz w:val="24"/>
                <w:szCs w:val="24"/>
              </w:rPr>
              <w:t>元</w:t>
            </w:r>
          </w:p>
        </w:tc>
        <w:tc>
          <w:tcPr>
            <w:tcBorders>
              <w:top w:val="nil"/>
              <w:left w:val="nil"/>
              <w:bottom w:val="nil"/>
              <w:right w:val="nil"/>
            </w:tcBorders>
            <w:shd w:val="clear" w:color="auto" w:fill="FFFFFF"/>
          </w:tcPr>
          <w:p w14:paraId="73FED965">
            <w:pPr>
              <w:pStyle w:val="24"/>
              <w:jc w:val="left"/>
              <w:rPr>
                <w:b w:val="0"/>
                <w:color w:val="000000"/>
                <w:sz w:val="24"/>
                <w:szCs w:val="24"/>
              </w:rPr>
            </w:pPr>
            <w:r>
              <w:rPr>
                <w:rFonts w:hint="eastAsia"/>
                <w:b w:val="0"/>
                <w:color w:val="000000"/>
                <w:sz w:val="24"/>
                <w:szCs w:val="24"/>
              </w:rPr>
              <w:t>港股/ETF为NaN</w:t>
            </w:r>
          </w:p>
        </w:tc>
      </w:tr>
      <w:tr w14:paraId="44C3543A">
        <w:tc>
          <w:tcPr>
            <w:tcBorders>
              <w:top w:val="nil"/>
              <w:left w:val="nil"/>
              <w:bottom w:val="nil"/>
              <w:right w:val="nil"/>
            </w:tcBorders>
            <w:shd w:val="clear" w:color="auto" w:fill="FFFFFF"/>
          </w:tcPr>
          <w:p w14:paraId="130BCECF">
            <w:pPr>
              <w:pStyle w:val="24"/>
              <w:jc w:val="left"/>
              <w:rPr>
                <w:b w:val="0"/>
                <w:color w:val="000000"/>
                <w:sz w:val="24"/>
                <w:szCs w:val="24"/>
              </w:rPr>
            </w:pPr>
            <w:r>
              <w:rPr>
                <w:b w:val="0"/>
                <w:color w:val="000000"/>
                <w:sz w:val="24"/>
                <w:szCs w:val="24"/>
              </w:rPr>
              <w:t>PE (TTM)</w:t>
            </w:r>
          </w:p>
        </w:tc>
        <w:tc>
          <w:tcPr>
            <w:tcBorders>
              <w:top w:val="nil"/>
              <w:left w:val="nil"/>
              <w:bottom w:val="nil"/>
              <w:right w:val="nil"/>
            </w:tcBorders>
            <w:shd w:val="clear" w:color="auto" w:fill="FFFFFF"/>
          </w:tcPr>
          <w:p w14:paraId="0B76453F">
            <w:pPr>
              <w:pStyle w:val="24"/>
              <w:jc w:val="left"/>
              <w:rPr>
                <w:b w:val="0"/>
                <w:color w:val="000000"/>
                <w:sz w:val="24"/>
                <w:szCs w:val="24"/>
              </w:rPr>
            </w:pPr>
            <w:r>
              <w:rPr>
                <w:rFonts w:hint="eastAsia"/>
                <w:b w:val="0"/>
                <w:color w:val="000000"/>
                <w:sz w:val="24"/>
                <w:szCs w:val="24"/>
              </w:rPr>
              <w:t>市盈率（滚动12个月）</w:t>
            </w:r>
          </w:p>
        </w:tc>
        <w:tc>
          <w:tcPr>
            <w:tcBorders>
              <w:top w:val="nil"/>
              <w:left w:val="nil"/>
              <w:bottom w:val="nil"/>
              <w:right w:val="nil"/>
            </w:tcBorders>
            <w:shd w:val="clear" w:color="auto" w:fill="FFFFFF"/>
          </w:tcPr>
          <w:p w14:paraId="1173FF09">
            <w:pPr>
              <w:pStyle w:val="24"/>
              <w:jc w:val="left"/>
              <w:rPr>
                <w:b w:val="0"/>
                <w:color w:val="000000"/>
                <w:sz w:val="24"/>
                <w:szCs w:val="24"/>
              </w:rPr>
            </w:pPr>
            <w:r>
              <w:rPr>
                <w:rFonts w:hint="eastAsia"/>
                <w:b w:val="0"/>
                <w:color w:val="000000"/>
                <w:sz w:val="24"/>
                <w:szCs w:val="24"/>
              </w:rPr>
              <w:t>倍</w:t>
            </w:r>
          </w:p>
        </w:tc>
        <w:tc>
          <w:tcPr>
            <w:tcBorders>
              <w:top w:val="nil"/>
              <w:left w:val="nil"/>
              <w:bottom w:val="nil"/>
              <w:right w:val="nil"/>
            </w:tcBorders>
            <w:shd w:val="clear" w:color="auto" w:fill="FFFFFF"/>
          </w:tcPr>
          <w:p w14:paraId="383A3572">
            <w:pPr>
              <w:pStyle w:val="24"/>
              <w:jc w:val="left"/>
              <w:rPr>
                <w:b w:val="0"/>
                <w:color w:val="000000"/>
                <w:sz w:val="24"/>
                <w:szCs w:val="24"/>
              </w:rPr>
            </w:pPr>
            <w:r>
              <w:rPr>
                <w:rFonts w:hint="eastAsia"/>
                <w:b w:val="0"/>
                <w:color w:val="000000"/>
                <w:sz w:val="24"/>
                <w:szCs w:val="24"/>
              </w:rPr>
              <w:t>在线获取，A股用</w:t>
            </w:r>
            <w:r>
              <w:rPr>
                <w:b w:val="0"/>
                <w:color w:val="000000"/>
                <w:sz w:val="24"/>
                <w:szCs w:val="24"/>
              </w:rPr>
              <w:t xml:space="preserve"> </w:t>
            </w:r>
            <w:r>
              <w:rPr>
                <w:rStyle w:val="48"/>
                <w:b w:val="0"/>
                <w:color w:val="000000"/>
                <w:sz w:val="24"/>
                <w:szCs w:val="24"/>
              </w:rPr>
              <w:t>stock_zh_valuation_baidu</w:t>
            </w:r>
            <w:r>
              <w:rPr>
                <w:rFonts w:hint="eastAsia"/>
                <w:b w:val="0"/>
                <w:color w:val="000000"/>
                <w:sz w:val="24"/>
                <w:szCs w:val="24"/>
              </w:rPr>
              <w:t>，港股用</w:t>
            </w:r>
            <w:r>
              <w:rPr>
                <w:b w:val="0"/>
                <w:color w:val="000000"/>
                <w:sz w:val="24"/>
                <w:szCs w:val="24"/>
              </w:rPr>
              <w:t xml:space="preserve"> </w:t>
            </w:r>
            <w:r>
              <w:rPr>
                <w:rStyle w:val="48"/>
                <w:b w:val="0"/>
                <w:color w:val="000000"/>
                <w:sz w:val="24"/>
                <w:szCs w:val="24"/>
              </w:rPr>
              <w:t>stock_hk_valuation_baidu</w:t>
            </w:r>
            <w:r>
              <w:rPr>
                <w:rFonts w:hint="eastAsia"/>
                <w:b w:val="0"/>
                <w:color w:val="000000"/>
                <w:sz w:val="24"/>
                <w:szCs w:val="24"/>
              </w:rPr>
              <w:t>，ETF无PE设为NaN</w:t>
            </w:r>
          </w:p>
        </w:tc>
      </w:tr>
      <w:tr w14:paraId="16B1F24B">
        <w:tc>
          <w:tcPr>
            <w:tcBorders>
              <w:top w:val="nil"/>
              <w:left w:val="nil"/>
              <w:bottom w:val="nil"/>
              <w:right w:val="nil"/>
            </w:tcBorders>
            <w:shd w:val="clear" w:color="auto" w:fill="FFFFFF"/>
          </w:tcPr>
          <w:p w14:paraId="58AF59BA">
            <w:pPr>
              <w:pStyle w:val="24"/>
              <w:jc w:val="left"/>
              <w:rPr>
                <w:b w:val="0"/>
                <w:color w:val="000000"/>
                <w:sz w:val="24"/>
                <w:szCs w:val="24"/>
              </w:rPr>
            </w:pPr>
            <w:r>
              <w:rPr>
                <w:b w:val="0"/>
                <w:color w:val="000000"/>
                <w:sz w:val="24"/>
                <w:szCs w:val="24"/>
              </w:rPr>
              <w:t>ROE</w:t>
            </w:r>
          </w:p>
        </w:tc>
        <w:tc>
          <w:tcPr>
            <w:tcBorders>
              <w:top w:val="nil"/>
              <w:left w:val="nil"/>
              <w:bottom w:val="nil"/>
              <w:right w:val="nil"/>
            </w:tcBorders>
            <w:shd w:val="clear" w:color="auto" w:fill="FFFFFF"/>
          </w:tcPr>
          <w:p w14:paraId="7B4B7EE2">
            <w:pPr>
              <w:pStyle w:val="24"/>
              <w:jc w:val="left"/>
              <w:rPr>
                <w:b w:val="0"/>
                <w:color w:val="000000"/>
                <w:sz w:val="24"/>
                <w:szCs w:val="24"/>
              </w:rPr>
            </w:pPr>
            <w:r>
              <w:rPr>
                <w:rFonts w:hint="eastAsia"/>
                <w:b w:val="0"/>
                <w:color w:val="000000"/>
                <w:sz w:val="24"/>
                <w:szCs w:val="24"/>
              </w:rPr>
              <w:t>净资产收益率</w:t>
            </w:r>
          </w:p>
        </w:tc>
        <w:tc>
          <w:tcPr>
            <w:tcBorders>
              <w:top w:val="nil"/>
              <w:left w:val="nil"/>
              <w:bottom w:val="nil"/>
              <w:right w:val="nil"/>
            </w:tcBorders>
            <w:shd w:val="clear" w:color="auto" w:fill="FFFFFF"/>
          </w:tcPr>
          <w:p w14:paraId="093DD715">
            <w:pPr>
              <w:pStyle w:val="24"/>
              <w:jc w:val="left"/>
              <w:rPr>
                <w:b w:val="0"/>
                <w:color w:val="000000"/>
                <w:sz w:val="24"/>
                <w:szCs w:val="24"/>
              </w:rPr>
            </w:pPr>
            <w:r>
              <w:rPr>
                <w:b w:val="0"/>
                <w:color w:val="000000"/>
                <w:sz w:val="24"/>
                <w:szCs w:val="24"/>
              </w:rPr>
              <w:t>%</w:t>
            </w:r>
          </w:p>
        </w:tc>
        <w:tc>
          <w:tcPr>
            <w:tcBorders>
              <w:top w:val="nil"/>
              <w:left w:val="nil"/>
              <w:bottom w:val="nil"/>
              <w:right w:val="nil"/>
            </w:tcBorders>
            <w:shd w:val="clear" w:color="auto" w:fill="FFFFFF"/>
          </w:tcPr>
          <w:p w14:paraId="372371C5">
            <w:pPr>
              <w:pStyle w:val="24"/>
              <w:jc w:val="left"/>
              <w:rPr>
                <w:b w:val="0"/>
                <w:color w:val="000000"/>
                <w:sz w:val="24"/>
                <w:szCs w:val="24"/>
              </w:rPr>
            </w:pPr>
            <w:r>
              <w:rPr>
                <w:rFonts w:hint="eastAsia"/>
                <w:b w:val="0"/>
                <w:color w:val="000000"/>
                <w:sz w:val="24"/>
                <w:szCs w:val="24"/>
              </w:rPr>
              <w:t>在线获取，A股用</w:t>
            </w:r>
            <w:r>
              <w:rPr>
                <w:b w:val="0"/>
                <w:color w:val="000000"/>
                <w:sz w:val="24"/>
                <w:szCs w:val="24"/>
              </w:rPr>
              <w:t xml:space="preserve"> </w:t>
            </w:r>
            <w:r>
              <w:rPr>
                <w:rStyle w:val="48"/>
                <w:b w:val="0"/>
                <w:color w:val="000000"/>
                <w:sz w:val="24"/>
                <w:szCs w:val="24"/>
              </w:rPr>
              <w:t>stock_financial_analysis_indicator(start_year="2023")</w:t>
            </w:r>
            <w:r>
              <w:rPr>
                <w:rFonts w:hint="eastAsia"/>
                <w:b w:val="0"/>
                <w:color w:val="000000"/>
                <w:sz w:val="24"/>
                <w:szCs w:val="24"/>
              </w:rPr>
              <w:t>，港股用</w:t>
            </w:r>
            <w:r>
              <w:rPr>
                <w:b w:val="0"/>
                <w:color w:val="000000"/>
                <w:sz w:val="24"/>
                <w:szCs w:val="24"/>
              </w:rPr>
              <w:t xml:space="preserve"> </w:t>
            </w:r>
            <w:r>
              <w:rPr>
                <w:rStyle w:val="48"/>
                <w:b w:val="0"/>
                <w:color w:val="000000"/>
                <w:sz w:val="24"/>
                <w:szCs w:val="24"/>
              </w:rPr>
              <w:t>stock_financial_hk_analysis_indicator_em</w:t>
            </w:r>
            <w:r>
              <w:rPr>
                <w:rFonts w:hint="eastAsia"/>
                <w:b w:val="0"/>
                <w:color w:val="000000"/>
                <w:sz w:val="24"/>
                <w:szCs w:val="24"/>
              </w:rPr>
              <w:t>，ETF无ROE设为NaN</w:t>
            </w:r>
          </w:p>
        </w:tc>
      </w:tr>
      <w:tr w14:paraId="31F2AD5D">
        <w:tc>
          <w:tcPr>
            <w:tcBorders>
              <w:top w:val="nil"/>
              <w:left w:val="nil"/>
              <w:bottom w:val="nil"/>
              <w:right w:val="nil"/>
            </w:tcBorders>
            <w:shd w:val="clear" w:color="auto" w:fill="FFFFFF"/>
          </w:tcPr>
          <w:p w14:paraId="2D9440F8">
            <w:pPr>
              <w:pStyle w:val="24"/>
              <w:jc w:val="left"/>
              <w:rPr>
                <w:b w:val="0"/>
                <w:color w:val="000000"/>
                <w:sz w:val="24"/>
                <w:szCs w:val="24"/>
              </w:rPr>
            </w:pPr>
            <w:r>
              <w:rPr>
                <w:b w:val="0"/>
                <w:color w:val="000000"/>
                <w:sz w:val="24"/>
                <w:szCs w:val="24"/>
              </w:rPr>
              <w:t>momentum</w:t>
            </w:r>
          </w:p>
        </w:tc>
        <w:tc>
          <w:tcPr>
            <w:tcBorders>
              <w:top w:val="nil"/>
              <w:left w:val="nil"/>
              <w:bottom w:val="nil"/>
              <w:right w:val="nil"/>
            </w:tcBorders>
            <w:shd w:val="clear" w:color="auto" w:fill="FFFFFF"/>
          </w:tcPr>
          <w:p w14:paraId="0C56D998">
            <w:pPr>
              <w:pStyle w:val="24"/>
              <w:jc w:val="left"/>
              <w:rPr>
                <w:b w:val="0"/>
                <w:color w:val="000000"/>
                <w:sz w:val="24"/>
                <w:szCs w:val="24"/>
              </w:rPr>
            </w:pPr>
            <w:r>
              <w:rPr>
                <w:rFonts w:hint="eastAsia"/>
                <w:b w:val="0"/>
                <w:color w:val="000000"/>
                <w:sz w:val="24"/>
                <w:szCs w:val="24"/>
              </w:rPr>
              <w:t>60日动量</w:t>
            </w:r>
          </w:p>
        </w:tc>
        <w:tc>
          <w:tcPr>
            <w:tcBorders>
              <w:top w:val="nil"/>
              <w:left w:val="nil"/>
              <w:bottom w:val="nil"/>
              <w:right w:val="nil"/>
            </w:tcBorders>
            <w:shd w:val="clear" w:color="auto" w:fill="FFFFFF"/>
          </w:tcPr>
          <w:p w14:paraId="6A53492D">
            <w:pPr>
              <w:pStyle w:val="24"/>
              <w:jc w:val="left"/>
              <w:rPr>
                <w:b w:val="0"/>
                <w:color w:val="000000"/>
                <w:sz w:val="24"/>
                <w:szCs w:val="24"/>
              </w:rPr>
            </w:pPr>
            <w:r>
              <w:rPr>
                <w:b w:val="0"/>
                <w:color w:val="000000"/>
                <w:sz w:val="24"/>
                <w:szCs w:val="24"/>
              </w:rPr>
              <w:t>—</w:t>
            </w:r>
          </w:p>
        </w:tc>
        <w:tc>
          <w:tcPr>
            <w:tcBorders>
              <w:top w:val="nil"/>
              <w:left w:val="nil"/>
              <w:bottom w:val="nil"/>
              <w:right w:val="nil"/>
            </w:tcBorders>
            <w:shd w:val="clear" w:color="auto" w:fill="FFFFFF"/>
          </w:tcPr>
          <w:p w14:paraId="16A6E177">
            <w:pPr>
              <w:pStyle w:val="24"/>
              <w:jc w:val="left"/>
              <w:rPr>
                <w:b w:val="0"/>
                <w:color w:val="000000"/>
                <w:sz w:val="24"/>
                <w:szCs w:val="24"/>
              </w:rPr>
            </w:pPr>
            <w:r>
              <w:rPr>
                <w:rFonts w:hint="eastAsia"/>
                <w:b w:val="0"/>
                <w:color w:val="000000"/>
                <w:sz w:val="24"/>
                <w:szCs w:val="24"/>
              </w:rPr>
              <w:t>策略运行时计算：</w:t>
            </w:r>
            <w:r>
              <w:rPr>
                <w:rStyle w:val="48"/>
                <w:b w:val="0"/>
                <w:color w:val="000000"/>
                <w:sz w:val="24"/>
                <w:szCs w:val="24"/>
              </w:rPr>
              <w:t>close_qfq.pct_change(60)</w:t>
            </w:r>
            <w:r>
              <w:rPr>
                <w:rFonts w:hint="eastAsia"/>
                <w:b w:val="0"/>
                <w:color w:val="000000"/>
                <w:sz w:val="24"/>
                <w:szCs w:val="24"/>
              </w:rPr>
              <w:t>，即当前前复权收盘价相对60个交易日前的收益率，用于动量因子</w:t>
            </w:r>
          </w:p>
        </w:tc>
      </w:tr>
      <w:tr w14:paraId="3757D8DD">
        <w:tc>
          <w:tcPr>
            <w:tcBorders>
              <w:top w:val="nil"/>
              <w:left w:val="nil"/>
              <w:bottom w:val="single" w:color="000000" w:sz="12" w:space="0"/>
              <w:right w:val="nil"/>
            </w:tcBorders>
            <w:shd w:val="clear" w:color="auto" w:fill="FFFFFF"/>
          </w:tcPr>
          <w:p w14:paraId="18A47E58">
            <w:pPr>
              <w:pStyle w:val="24"/>
              <w:jc w:val="left"/>
              <w:rPr>
                <w:b w:val="0"/>
                <w:color w:val="000000"/>
                <w:sz w:val="24"/>
                <w:szCs w:val="24"/>
              </w:rPr>
            </w:pPr>
            <w:r>
              <w:rPr>
                <w:b w:val="0"/>
                <w:color w:val="000000"/>
                <w:sz w:val="24"/>
                <w:szCs w:val="24"/>
              </w:rPr>
              <w:t>ma120</w:t>
            </w:r>
          </w:p>
        </w:tc>
        <w:tc>
          <w:tcPr>
            <w:tcBorders>
              <w:top w:val="nil"/>
              <w:left w:val="nil"/>
              <w:bottom w:val="single" w:color="000000" w:sz="12" w:space="0"/>
              <w:right w:val="nil"/>
            </w:tcBorders>
            <w:shd w:val="clear" w:color="auto" w:fill="FFFFFF"/>
          </w:tcPr>
          <w:p w14:paraId="41FB630E">
            <w:pPr>
              <w:pStyle w:val="24"/>
              <w:jc w:val="left"/>
              <w:rPr>
                <w:b w:val="0"/>
                <w:color w:val="000000"/>
                <w:sz w:val="24"/>
                <w:szCs w:val="24"/>
              </w:rPr>
            </w:pPr>
            <w:r>
              <w:rPr>
                <w:rFonts w:hint="eastAsia"/>
                <w:b w:val="0"/>
                <w:color w:val="000000"/>
                <w:sz w:val="24"/>
                <w:szCs w:val="24"/>
              </w:rPr>
              <w:t>120日均线</w:t>
            </w:r>
          </w:p>
        </w:tc>
        <w:tc>
          <w:tcPr>
            <w:tcBorders>
              <w:top w:val="nil"/>
              <w:left w:val="nil"/>
              <w:bottom w:val="single" w:color="000000" w:sz="12" w:space="0"/>
              <w:right w:val="nil"/>
            </w:tcBorders>
            <w:shd w:val="clear" w:color="auto" w:fill="FFFFFF"/>
          </w:tcPr>
          <w:p w14:paraId="48ED36DC">
            <w:pPr>
              <w:pStyle w:val="24"/>
              <w:jc w:val="left"/>
              <w:rPr>
                <w:b w:val="0"/>
                <w:color w:val="000000"/>
                <w:sz w:val="24"/>
                <w:szCs w:val="24"/>
              </w:rPr>
            </w:pPr>
            <w:r>
              <w:rPr>
                <w:rFonts w:hint="eastAsia"/>
                <w:b w:val="0"/>
                <w:color w:val="000000"/>
                <w:sz w:val="24"/>
                <w:szCs w:val="24"/>
              </w:rPr>
              <w:t>元</w:t>
            </w:r>
          </w:p>
        </w:tc>
        <w:tc>
          <w:tcPr>
            <w:tcBorders>
              <w:top w:val="nil"/>
              <w:left w:val="nil"/>
              <w:bottom w:val="single" w:color="000000" w:sz="12" w:space="0"/>
              <w:right w:val="nil"/>
            </w:tcBorders>
            <w:shd w:val="clear" w:color="auto" w:fill="FFFFFF"/>
          </w:tcPr>
          <w:p w14:paraId="019FBFC5">
            <w:pPr>
              <w:pStyle w:val="24"/>
              <w:jc w:val="left"/>
              <w:rPr>
                <w:b w:val="0"/>
                <w:color w:val="000000"/>
                <w:sz w:val="24"/>
                <w:szCs w:val="24"/>
              </w:rPr>
            </w:pPr>
            <w:r>
              <w:rPr>
                <w:rFonts w:hint="eastAsia"/>
                <w:b w:val="0"/>
                <w:color w:val="000000"/>
                <w:sz w:val="24"/>
                <w:szCs w:val="24"/>
              </w:rPr>
              <w:t>策略运行时计算：</w:t>
            </w:r>
            <w:r>
              <w:rPr>
                <w:rStyle w:val="48"/>
                <w:b w:val="0"/>
                <w:color w:val="000000"/>
                <w:sz w:val="24"/>
                <w:szCs w:val="24"/>
              </w:rPr>
              <w:t>close_qfq.rolling(120).mean()</w:t>
            </w:r>
            <w:r>
              <w:rPr>
                <w:rFonts w:hint="eastAsia"/>
                <w:b w:val="0"/>
                <w:color w:val="000000"/>
                <w:sz w:val="24"/>
                <w:szCs w:val="24"/>
              </w:rPr>
              <w:t>，即前120个交易日收盘价均值，用于均线过滤（跌破即剔除）</w:t>
            </w:r>
          </w:p>
        </w:tc>
      </w:tr>
    </w:tbl>
    <w:p w14:paraId="04D34220">
      <w:pPr>
        <w:pStyle w:val="13"/>
        <w:rPr>
          <w:sz w:val="24"/>
          <w:szCs w:val="24"/>
        </w:rPr>
      </w:pPr>
      <w:r>
        <w:rPr>
          <w:rFonts w:hint="eastAsia"/>
          <w:sz w:val="24"/>
          <w:szCs w:val="24"/>
        </w:rPr>
        <w:t>其余字段（open_qfq</w:t>
      </w:r>
      <w:r>
        <w:rPr>
          <w:sz w:val="24"/>
          <w:szCs w:val="24"/>
        </w:rPr>
        <w:t xml:space="preserve"> / high_qfq / low_hfq </w:t>
      </w:r>
      <w:r>
        <w:rPr>
          <w:rFonts w:hint="eastAsia"/>
          <w:sz w:val="24"/>
          <w:szCs w:val="24"/>
        </w:rPr>
        <w:t>等）结构与上表对应字段一致，此处省略。完整列名见</w:t>
      </w:r>
      <w:r>
        <w:rPr>
          <w:sz w:val="24"/>
          <w:szCs w:val="24"/>
        </w:rPr>
        <w:t xml:space="preserve"> CSV </w:t>
      </w:r>
      <w:r>
        <w:rPr>
          <w:rFonts w:hint="eastAsia"/>
          <w:sz w:val="24"/>
          <w:szCs w:val="24"/>
        </w:rPr>
        <w:t>文件表头。</w:t>
      </w:r>
    </w:p>
    <w:p w14:paraId="490DFE65">
      <w:pPr>
        <w:pStyle w:val="13"/>
        <w:rPr>
          <w:sz w:val="24"/>
          <w:szCs w:val="24"/>
        </w:rPr>
      </w:pPr>
      <w:r>
        <w:rPr>
          <w:sz w:val="24"/>
          <w:szCs w:val="24"/>
        </w:rPr>
        <w:t xml:space="preserve">PE </w:t>
      </w:r>
      <w:r>
        <w:rPr>
          <w:rFonts w:hint="eastAsia"/>
          <w:sz w:val="24"/>
          <w:szCs w:val="24"/>
        </w:rPr>
        <w:t>和</w:t>
      </w:r>
      <w:r>
        <w:rPr>
          <w:sz w:val="24"/>
          <w:szCs w:val="24"/>
        </w:rPr>
        <w:t xml:space="preserve"> ROE </w:t>
      </w:r>
      <w:r>
        <w:rPr>
          <w:rFonts w:hint="eastAsia"/>
          <w:sz w:val="24"/>
          <w:szCs w:val="24"/>
        </w:rPr>
        <w:t>不在</w:t>
      </w:r>
      <w:r>
        <w:rPr>
          <w:sz w:val="24"/>
          <w:szCs w:val="24"/>
        </w:rPr>
        <w:t xml:space="preserve"> CSV </w:t>
      </w:r>
      <w:r>
        <w:rPr>
          <w:rFonts w:hint="eastAsia"/>
          <w:sz w:val="24"/>
          <w:szCs w:val="24"/>
        </w:rPr>
        <w:t>文件中，而是在策略运行时通过</w:t>
      </w:r>
      <w:r>
        <w:rPr>
          <w:sz w:val="24"/>
          <w:szCs w:val="24"/>
        </w:rPr>
        <w:t xml:space="preserve"> AKShare </w:t>
      </w:r>
      <w:r>
        <w:rPr>
          <w:rFonts w:hint="eastAsia"/>
          <w:sz w:val="24"/>
          <w:szCs w:val="24"/>
        </w:rPr>
        <w:t>接口在线获取，再通过股票代码映射到日线数据上。ETF（515100）无</w:t>
      </w:r>
      <w:r>
        <w:rPr>
          <w:sz w:val="24"/>
          <w:szCs w:val="24"/>
        </w:rPr>
        <w:t xml:space="preserve"> PE </w:t>
      </w:r>
      <w:r>
        <w:rPr>
          <w:rFonts w:hint="eastAsia"/>
          <w:sz w:val="24"/>
          <w:szCs w:val="24"/>
        </w:rPr>
        <w:t>和</w:t>
      </w:r>
      <w:r>
        <w:rPr>
          <w:sz w:val="24"/>
          <w:szCs w:val="24"/>
        </w:rPr>
        <w:t xml:space="preserve"> ROE </w:t>
      </w:r>
      <w:r>
        <w:rPr>
          <w:rFonts w:hint="eastAsia"/>
          <w:sz w:val="24"/>
          <w:szCs w:val="24"/>
        </w:rPr>
        <w:t>概念，统一设为</w:t>
      </w:r>
      <w:r>
        <w:rPr>
          <w:sz w:val="24"/>
          <w:szCs w:val="24"/>
        </w:rPr>
        <w:t xml:space="preserve"> NaN。momentum </w:t>
      </w:r>
      <w:r>
        <w:rPr>
          <w:rFonts w:hint="eastAsia"/>
          <w:sz w:val="24"/>
          <w:szCs w:val="24"/>
        </w:rPr>
        <w:t>和</w:t>
      </w:r>
      <w:r>
        <w:rPr>
          <w:sz w:val="24"/>
          <w:szCs w:val="24"/>
        </w:rPr>
        <w:t xml:space="preserve"> ma120 </w:t>
      </w:r>
      <w:r>
        <w:rPr>
          <w:rFonts w:hint="eastAsia"/>
          <w:sz w:val="24"/>
          <w:szCs w:val="24"/>
        </w:rPr>
        <w:t>同样不在</w:t>
      </w:r>
      <w:r>
        <w:rPr>
          <w:sz w:val="24"/>
          <w:szCs w:val="24"/>
        </w:rPr>
        <w:t xml:space="preserve"> CSV </w:t>
      </w:r>
      <w:r>
        <w:rPr>
          <w:rFonts w:hint="eastAsia"/>
          <w:sz w:val="24"/>
          <w:szCs w:val="24"/>
        </w:rPr>
        <w:t>中，由策略代码从</w:t>
      </w:r>
      <w:r>
        <w:rPr>
          <w:sz w:val="24"/>
          <w:szCs w:val="24"/>
        </w:rPr>
        <w:t xml:space="preserve"> </w:t>
      </w:r>
      <w:r>
        <w:rPr>
          <w:rStyle w:val="48"/>
          <w:sz w:val="24"/>
          <w:szCs w:val="24"/>
        </w:rPr>
        <w:t>close_qfq</w:t>
      </w:r>
      <w:r>
        <w:rPr>
          <w:sz w:val="24"/>
          <w:szCs w:val="24"/>
        </w:rPr>
        <w:t xml:space="preserve"> </w:t>
      </w:r>
      <w:r>
        <w:rPr>
          <w:rFonts w:hint="eastAsia"/>
          <w:sz w:val="24"/>
          <w:szCs w:val="24"/>
        </w:rPr>
        <w:t>列实时计算。</w:t>
      </w:r>
    </w:p>
    <w:bookmarkEnd w:id="8"/>
    <w:bookmarkEnd w:id="10"/>
    <w:p w14:paraId="699BD4DE">
      <w:pPr>
        <w:pStyle w:val="4"/>
        <w:rPr>
          <w:sz w:val="24"/>
          <w:szCs w:val="24"/>
        </w:rPr>
      </w:pPr>
      <w:bookmarkStart w:id="11" w:name="文件说明"/>
      <w:r>
        <w:rPr>
          <w:sz w:val="24"/>
          <w:szCs w:val="24"/>
        </w:rPr>
        <w:t xml:space="preserve">2.3 </w:t>
      </w:r>
      <w:r>
        <w:rPr>
          <w:rFonts w:hint="eastAsia"/>
          <w:sz w:val="24"/>
          <w:szCs w:val="24"/>
        </w:rPr>
        <w:t>文件说明</w:t>
      </w:r>
    </w:p>
    <w:p w14:paraId="16A516D4">
      <w:pPr>
        <w:pStyle w:val="24"/>
        <w:numPr>
          <w:ilvl w:val="0"/>
          <w:numId w:val="1"/>
        </w:numPr>
        <w:rPr>
          <w:sz w:val="24"/>
          <w:szCs w:val="24"/>
        </w:rPr>
      </w:pPr>
      <w:r>
        <w:rPr>
          <w:rFonts w:hint="eastAsia"/>
          <w:b/>
          <w:bCs/>
          <w:sz w:val="24"/>
          <w:szCs w:val="24"/>
        </w:rPr>
        <w:t>文件名</w:t>
      </w:r>
      <w:r>
        <w:rPr>
          <w:rFonts w:hint="eastAsia"/>
          <w:sz w:val="24"/>
          <w:szCs w:val="24"/>
        </w:rPr>
        <w:t>：</w:t>
      </w:r>
      <w:r>
        <w:rPr>
          <w:rStyle w:val="48"/>
          <w:sz w:val="24"/>
          <w:szCs w:val="24"/>
        </w:rPr>
        <w:t>price_qfq_20240719_20260721.csv</w:t>
      </w:r>
    </w:p>
    <w:p w14:paraId="0D104ECA">
      <w:pPr>
        <w:pStyle w:val="24"/>
        <w:numPr>
          <w:ilvl w:val="0"/>
          <w:numId w:val="1"/>
        </w:numPr>
        <w:rPr>
          <w:sz w:val="24"/>
          <w:szCs w:val="24"/>
        </w:rPr>
      </w:pPr>
      <w:r>
        <w:rPr>
          <w:rFonts w:hint="eastAsia"/>
          <w:b/>
          <w:bCs/>
          <w:sz w:val="24"/>
          <w:szCs w:val="24"/>
        </w:rPr>
        <w:t>记录数</w:t>
      </w:r>
      <w:r>
        <w:rPr>
          <w:rFonts w:hint="eastAsia"/>
          <w:sz w:val="24"/>
          <w:szCs w:val="24"/>
        </w:rPr>
        <w:t>：9,702</w:t>
      </w:r>
      <w:r>
        <w:rPr>
          <w:sz w:val="24"/>
          <w:szCs w:val="24"/>
        </w:rPr>
        <w:t xml:space="preserve"> </w:t>
      </w:r>
      <w:r>
        <w:rPr>
          <w:rFonts w:hint="eastAsia"/>
          <w:sz w:val="24"/>
          <w:szCs w:val="24"/>
        </w:rPr>
        <w:t>行（20只股票</w:t>
      </w:r>
      <w:r>
        <w:rPr>
          <w:sz w:val="24"/>
          <w:szCs w:val="24"/>
        </w:rPr>
        <w:t xml:space="preserve"> × </w:t>
      </w:r>
      <w:r>
        <w:rPr>
          <w:rFonts w:hint="eastAsia"/>
          <w:sz w:val="24"/>
          <w:szCs w:val="24"/>
        </w:rPr>
        <w:t>约485交易日）</w:t>
      </w:r>
    </w:p>
    <w:p w14:paraId="3A7CF818">
      <w:pPr>
        <w:pStyle w:val="24"/>
        <w:numPr>
          <w:ilvl w:val="0"/>
          <w:numId w:val="1"/>
        </w:numPr>
        <w:rPr>
          <w:sz w:val="24"/>
          <w:szCs w:val="24"/>
        </w:rPr>
      </w:pPr>
      <w:r>
        <w:rPr>
          <w:rFonts w:hint="eastAsia"/>
          <w:b/>
          <w:bCs/>
          <w:sz w:val="24"/>
          <w:szCs w:val="24"/>
        </w:rPr>
        <w:t>列数</w:t>
      </w:r>
      <w:r>
        <w:rPr>
          <w:rFonts w:hint="eastAsia"/>
          <w:sz w:val="24"/>
          <w:szCs w:val="24"/>
        </w:rPr>
        <w:t>：29</w:t>
      </w:r>
      <w:r>
        <w:rPr>
          <w:sz w:val="24"/>
          <w:szCs w:val="24"/>
        </w:rPr>
        <w:t xml:space="preserve"> </w:t>
      </w:r>
      <w:r>
        <w:rPr>
          <w:rFonts w:hint="eastAsia"/>
          <w:sz w:val="24"/>
          <w:szCs w:val="24"/>
        </w:rPr>
        <w:t>列</w:t>
      </w:r>
    </w:p>
    <w:p w14:paraId="385D13A1">
      <w:pPr>
        <w:pStyle w:val="24"/>
        <w:numPr>
          <w:ilvl w:val="0"/>
          <w:numId w:val="1"/>
        </w:numPr>
        <w:rPr>
          <w:sz w:val="24"/>
          <w:szCs w:val="24"/>
        </w:rPr>
      </w:pPr>
      <w:r>
        <w:rPr>
          <w:rFonts w:hint="eastAsia"/>
          <w:b/>
          <w:bCs/>
          <w:sz w:val="24"/>
          <w:szCs w:val="24"/>
        </w:rPr>
        <w:t>时间范围</w:t>
      </w:r>
      <w:r>
        <w:rPr>
          <w:rFonts w:hint="eastAsia"/>
          <w:sz w:val="24"/>
          <w:szCs w:val="24"/>
        </w:rPr>
        <w:t>：2024-07-19</w:t>
      </w:r>
      <w:r>
        <w:rPr>
          <w:sz w:val="24"/>
          <w:szCs w:val="24"/>
        </w:rPr>
        <w:t xml:space="preserve"> </w:t>
      </w:r>
      <w:r>
        <w:rPr>
          <w:rFonts w:hint="eastAsia"/>
          <w:sz w:val="24"/>
          <w:szCs w:val="24"/>
        </w:rPr>
        <w:t>至</w:t>
      </w:r>
      <w:r>
        <w:rPr>
          <w:sz w:val="24"/>
          <w:szCs w:val="24"/>
        </w:rPr>
        <w:t xml:space="preserve"> 2026-07-21</w:t>
      </w:r>
    </w:p>
    <w:p w14:paraId="1E015592">
      <w:pPr>
        <w:pStyle w:val="24"/>
        <w:numPr>
          <w:ilvl w:val="0"/>
          <w:numId w:val="1"/>
        </w:numPr>
        <w:rPr>
          <w:sz w:val="24"/>
          <w:szCs w:val="24"/>
        </w:rPr>
      </w:pPr>
      <w:r>
        <w:rPr>
          <w:rFonts w:hint="eastAsia"/>
          <w:b/>
          <w:bCs/>
          <w:sz w:val="24"/>
          <w:szCs w:val="24"/>
        </w:rPr>
        <w:t>数据源</w:t>
      </w:r>
      <w:r>
        <w:rPr>
          <w:rFonts w:hint="eastAsia"/>
          <w:sz w:val="24"/>
          <w:szCs w:val="24"/>
        </w:rPr>
        <w:t>：A股17只为本地</w:t>
      </w:r>
      <w:r>
        <w:rPr>
          <w:sz w:val="24"/>
          <w:szCs w:val="24"/>
        </w:rPr>
        <w:t xml:space="preserve"> Tushare </w:t>
      </w:r>
      <w:r>
        <w:rPr>
          <w:rFonts w:hint="eastAsia"/>
          <w:sz w:val="24"/>
          <w:szCs w:val="24"/>
        </w:rPr>
        <w:t>导出</w:t>
      </w:r>
      <w:r>
        <w:rPr>
          <w:sz w:val="24"/>
          <w:szCs w:val="24"/>
        </w:rPr>
        <w:t xml:space="preserve"> </w:t>
      </w:r>
      <w:r>
        <w:rPr>
          <w:rFonts w:hint="eastAsia"/>
          <w:sz w:val="24"/>
          <w:szCs w:val="24"/>
        </w:rPr>
        <w:t>CSV，港股2只为</w:t>
      </w:r>
      <w:r>
        <w:rPr>
          <w:sz w:val="24"/>
          <w:szCs w:val="24"/>
        </w:rPr>
        <w:t xml:space="preserve"> AKShare </w:t>
      </w:r>
      <w:r>
        <w:rPr>
          <w:rStyle w:val="48"/>
          <w:sz w:val="24"/>
          <w:szCs w:val="24"/>
        </w:rPr>
        <w:t>stock_hk_daily(adjust="qfq")</w:t>
      </w:r>
      <w:r>
        <w:rPr>
          <w:sz w:val="24"/>
          <w:szCs w:val="24"/>
        </w:rPr>
        <w:t xml:space="preserve"> </w:t>
      </w:r>
      <w:r>
        <w:rPr>
          <w:rFonts w:hint="eastAsia"/>
          <w:sz w:val="24"/>
          <w:szCs w:val="24"/>
        </w:rPr>
        <w:t>在线获取，ETF</w:t>
      </w:r>
      <w:r>
        <w:rPr>
          <w:sz w:val="24"/>
          <w:szCs w:val="24"/>
        </w:rPr>
        <w:t xml:space="preserve"> </w:t>
      </w:r>
      <w:r>
        <w:rPr>
          <w:rFonts w:hint="eastAsia"/>
          <w:sz w:val="24"/>
          <w:szCs w:val="24"/>
        </w:rPr>
        <w:t>1只为</w:t>
      </w:r>
      <w:r>
        <w:rPr>
          <w:sz w:val="24"/>
          <w:szCs w:val="24"/>
        </w:rPr>
        <w:t xml:space="preserve"> AKShare </w:t>
      </w:r>
      <w:r>
        <w:rPr>
          <w:rStyle w:val="48"/>
          <w:sz w:val="24"/>
          <w:szCs w:val="24"/>
        </w:rPr>
        <w:t>fund_etf_hist_sina</w:t>
      </w:r>
      <w:r>
        <w:rPr>
          <w:sz w:val="24"/>
          <w:szCs w:val="24"/>
        </w:rPr>
        <w:t xml:space="preserve"> + </w:t>
      </w:r>
      <w:r>
        <w:rPr>
          <w:rFonts w:hint="eastAsia"/>
          <w:sz w:val="24"/>
          <w:szCs w:val="24"/>
        </w:rPr>
        <w:t>分红数据手动前复权</w:t>
      </w:r>
    </w:p>
    <w:bookmarkEnd w:id="11"/>
    <w:p w14:paraId="12DB2EF8">
      <w:pPr>
        <w:pStyle w:val="4"/>
        <w:rPr>
          <w:sz w:val="24"/>
          <w:szCs w:val="24"/>
        </w:rPr>
      </w:pPr>
      <w:bookmarkStart w:id="12" w:name="质量处理"/>
      <w:r>
        <w:rPr>
          <w:sz w:val="24"/>
          <w:szCs w:val="24"/>
        </w:rPr>
        <w:t xml:space="preserve">2.4 </w:t>
      </w:r>
      <w:r>
        <w:rPr>
          <w:rFonts w:hint="eastAsia"/>
          <w:sz w:val="24"/>
          <w:szCs w:val="24"/>
        </w:rPr>
        <w:t>质量处理</w:t>
      </w:r>
    </w:p>
    <w:p w14:paraId="7F06FF25">
      <w:pPr>
        <w:pStyle w:val="24"/>
        <w:numPr>
          <w:ilvl w:val="0"/>
          <w:numId w:val="1"/>
        </w:numPr>
        <w:rPr>
          <w:sz w:val="24"/>
          <w:szCs w:val="24"/>
        </w:rPr>
      </w:pPr>
      <w:r>
        <w:rPr>
          <w:rFonts w:hint="eastAsia"/>
          <w:b/>
          <w:bCs/>
          <w:sz w:val="24"/>
          <w:szCs w:val="24"/>
        </w:rPr>
        <w:t>复权方式</w:t>
      </w:r>
      <w:r>
        <w:rPr>
          <w:rFonts w:hint="eastAsia"/>
          <w:sz w:val="24"/>
          <w:szCs w:val="24"/>
        </w:rPr>
        <w:t>：采用前复权（qfq）价格，保证收益率计算的连续性。港股通过</w:t>
      </w:r>
      <w:r>
        <w:rPr>
          <w:sz w:val="24"/>
          <w:szCs w:val="24"/>
        </w:rPr>
        <w:t xml:space="preserve"> AKShare </w:t>
      </w:r>
      <w:r>
        <w:rPr>
          <w:rFonts w:hint="eastAsia"/>
          <w:sz w:val="24"/>
          <w:szCs w:val="24"/>
        </w:rPr>
        <w:t>接口直接获取前复权数据；ETF</w:t>
      </w:r>
      <w:r>
        <w:rPr>
          <w:sz w:val="24"/>
          <w:szCs w:val="24"/>
        </w:rPr>
        <w:t xml:space="preserve"> </w:t>
      </w:r>
      <w:r>
        <w:rPr>
          <w:rFonts w:hint="eastAsia"/>
          <w:sz w:val="24"/>
          <w:szCs w:val="24"/>
        </w:rPr>
        <w:t>因接口不支持复权参数，通过分红数据手动计算复权因子并乘法调整。</w:t>
      </w:r>
    </w:p>
    <w:p w14:paraId="7E7B87E6">
      <w:pPr>
        <w:pStyle w:val="24"/>
        <w:numPr>
          <w:ilvl w:val="0"/>
          <w:numId w:val="1"/>
        </w:numPr>
        <w:rPr>
          <w:sz w:val="24"/>
          <w:szCs w:val="24"/>
        </w:rPr>
      </w:pPr>
      <w:r>
        <w:rPr>
          <w:rFonts w:hint="eastAsia"/>
          <w:b/>
          <w:bCs/>
          <w:sz w:val="24"/>
          <w:szCs w:val="24"/>
        </w:rPr>
        <w:t>缺失值处理</w:t>
      </w:r>
      <w:r>
        <w:rPr>
          <w:rFonts w:hint="eastAsia"/>
          <w:sz w:val="24"/>
          <w:szCs w:val="24"/>
        </w:rPr>
        <w:t>：港股（2只）和</w:t>
      </w:r>
      <w:r>
        <w:rPr>
          <w:sz w:val="24"/>
          <w:szCs w:val="24"/>
        </w:rPr>
        <w:t xml:space="preserve"> </w:t>
      </w:r>
      <w:r>
        <w:rPr>
          <w:rFonts w:hint="eastAsia"/>
          <w:sz w:val="24"/>
          <w:szCs w:val="24"/>
        </w:rPr>
        <w:t>ETF（1只）的</w:t>
      </w:r>
      <w:r>
        <w:rPr>
          <w:sz w:val="24"/>
          <w:szCs w:val="24"/>
        </w:rPr>
        <w:t xml:space="preserve"> </w:t>
      </w:r>
      <w:r>
        <w:rPr>
          <w:rStyle w:val="48"/>
          <w:sz w:val="24"/>
          <w:szCs w:val="24"/>
        </w:rPr>
        <w:t>adj_factor</w:t>
      </w:r>
      <w:r>
        <w:rPr>
          <w:sz w:val="24"/>
          <w:szCs w:val="24"/>
        </w:rPr>
        <w:t>、</w:t>
      </w:r>
      <w:r>
        <w:rPr>
          <w:rStyle w:val="48"/>
          <w:sz w:val="24"/>
          <w:szCs w:val="24"/>
        </w:rPr>
        <w:t>pre_close</w:t>
      </w:r>
      <w:r>
        <w:rPr>
          <w:sz w:val="24"/>
          <w:szCs w:val="24"/>
        </w:rPr>
        <w:t>、</w:t>
      </w:r>
      <w:r>
        <w:rPr>
          <w:rStyle w:val="48"/>
          <w:sz w:val="24"/>
          <w:szCs w:val="24"/>
        </w:rPr>
        <w:t>change</w:t>
      </w:r>
      <w:r>
        <w:rPr>
          <w:sz w:val="24"/>
          <w:szCs w:val="24"/>
        </w:rPr>
        <w:t xml:space="preserve"> </w:t>
      </w:r>
      <w:r>
        <w:rPr>
          <w:rFonts w:hint="eastAsia"/>
          <w:sz w:val="24"/>
          <w:szCs w:val="24"/>
        </w:rPr>
        <w:t>及全部后复权（hfq）列为</w:t>
      </w:r>
      <w:r>
        <w:rPr>
          <w:sz w:val="24"/>
          <w:szCs w:val="24"/>
        </w:rPr>
        <w:t xml:space="preserve"> </w:t>
      </w:r>
      <w:r>
        <w:rPr>
          <w:rFonts w:hint="eastAsia"/>
          <w:sz w:val="24"/>
          <w:szCs w:val="24"/>
        </w:rPr>
        <w:t>NaN，共影响</w:t>
      </w:r>
      <w:r>
        <w:rPr>
          <w:sz w:val="24"/>
          <w:szCs w:val="24"/>
        </w:rPr>
        <w:t xml:space="preserve"> 1,468 </w:t>
      </w:r>
      <w:r>
        <w:rPr>
          <w:rFonts w:hint="eastAsia"/>
          <w:sz w:val="24"/>
          <w:szCs w:val="24"/>
        </w:rPr>
        <w:t>行（占15.1%），原因是对应数据源不支持这些字段。策略仅使用</w:t>
      </w:r>
      <w:r>
        <w:rPr>
          <w:sz w:val="24"/>
          <w:szCs w:val="24"/>
        </w:rPr>
        <w:t xml:space="preserve"> </w:t>
      </w:r>
      <w:r>
        <w:rPr>
          <w:rStyle w:val="48"/>
          <w:sz w:val="24"/>
          <w:szCs w:val="24"/>
        </w:rPr>
        <w:t>close_qfq</w:t>
      </w:r>
      <w:r>
        <w:rPr>
          <w:sz w:val="24"/>
          <w:szCs w:val="24"/>
        </w:rPr>
        <w:t xml:space="preserve"> </w:t>
      </w:r>
      <w:r>
        <w:rPr>
          <w:rFonts w:hint="eastAsia"/>
          <w:sz w:val="24"/>
          <w:szCs w:val="24"/>
        </w:rPr>
        <w:t>列，不受缺失值影响。</w:t>
      </w:r>
    </w:p>
    <w:p w14:paraId="234AA7DC">
      <w:pPr>
        <w:pStyle w:val="24"/>
        <w:numPr>
          <w:ilvl w:val="0"/>
          <w:numId w:val="1"/>
        </w:numPr>
        <w:rPr>
          <w:sz w:val="24"/>
          <w:szCs w:val="24"/>
        </w:rPr>
      </w:pPr>
      <w:r>
        <w:rPr>
          <w:rFonts w:hint="eastAsia"/>
          <w:b/>
          <w:bCs/>
          <w:sz w:val="24"/>
          <w:szCs w:val="24"/>
        </w:rPr>
        <w:t>交易日对齐</w:t>
      </w:r>
      <w:r>
        <w:rPr>
          <w:rFonts w:hint="eastAsia"/>
          <w:sz w:val="24"/>
          <w:szCs w:val="24"/>
        </w:rPr>
        <w:t>：A股与港股交易日历不完全一致（如港股有半天交易日），通过</w:t>
      </w:r>
      <w:r>
        <w:rPr>
          <w:sz w:val="24"/>
          <w:szCs w:val="24"/>
        </w:rPr>
        <w:t xml:space="preserve"> </w:t>
      </w:r>
      <w:r>
        <w:rPr>
          <w:rStyle w:val="48"/>
          <w:sz w:val="24"/>
          <w:szCs w:val="24"/>
        </w:rPr>
        <w:t>last_common_date()</w:t>
      </w:r>
      <w:r>
        <w:rPr>
          <w:sz w:val="24"/>
          <w:szCs w:val="24"/>
        </w:rPr>
        <w:t xml:space="preserve"> </w:t>
      </w:r>
      <w:r>
        <w:rPr>
          <w:rFonts w:hint="eastAsia"/>
          <w:sz w:val="24"/>
          <w:szCs w:val="24"/>
        </w:rPr>
        <w:t>函数取每月所有股票共有交易日的最后一日作为调仓日，避免因交易日错位导致的伪信号。</w:t>
      </w:r>
    </w:p>
    <w:p w14:paraId="032352B4">
      <w:pPr>
        <w:pStyle w:val="24"/>
        <w:numPr>
          <w:ilvl w:val="0"/>
          <w:numId w:val="1"/>
        </w:numPr>
        <w:rPr>
          <w:sz w:val="24"/>
          <w:szCs w:val="24"/>
        </w:rPr>
      </w:pPr>
      <w:r>
        <w:rPr>
          <w:rFonts w:hint="eastAsia"/>
          <w:b/>
          <w:bCs/>
          <w:sz w:val="24"/>
          <w:szCs w:val="24"/>
        </w:rPr>
        <w:t>基准</w:t>
      </w:r>
      <w:r>
        <w:rPr>
          <w:rFonts w:hint="eastAsia"/>
          <w:sz w:val="24"/>
          <w:szCs w:val="24"/>
        </w:rPr>
        <w:t>：沪深300指数（sh000300）日线数据取自</w:t>
      </w:r>
      <w:r>
        <w:rPr>
          <w:sz w:val="24"/>
          <w:szCs w:val="24"/>
        </w:rPr>
        <w:t xml:space="preserve"> AKShare </w:t>
      </w:r>
      <w:r>
        <w:rPr>
          <w:rStyle w:val="48"/>
          <w:sz w:val="24"/>
          <w:szCs w:val="24"/>
        </w:rPr>
        <w:t>stock_zh_index_daily</w:t>
      </w:r>
      <w:r>
        <w:rPr>
          <w:rFonts w:hint="eastAsia"/>
          <w:sz w:val="24"/>
          <w:szCs w:val="24"/>
        </w:rPr>
        <w:t>，与组合净值同期归一化至1。</w:t>
      </w:r>
    </w:p>
    <w:bookmarkEnd w:id="12"/>
    <w:p w14:paraId="2964C4D4">
      <w:pPr>
        <w:pStyle w:val="4"/>
        <w:rPr>
          <w:sz w:val="24"/>
          <w:szCs w:val="24"/>
        </w:rPr>
      </w:pPr>
      <w:bookmarkStart w:id="13" w:name="回测区间"/>
      <w:r>
        <w:rPr>
          <w:sz w:val="24"/>
          <w:szCs w:val="24"/>
        </w:rPr>
        <w:t xml:space="preserve">2.5 </w:t>
      </w:r>
      <w:r>
        <w:rPr>
          <w:rFonts w:hint="eastAsia"/>
          <w:sz w:val="24"/>
          <w:szCs w:val="24"/>
        </w:rPr>
        <w:t>回测区间</w:t>
      </w:r>
    </w:p>
    <w:p w14:paraId="6B71DDDF">
      <w:pPr>
        <w:pStyle w:val="24"/>
        <w:numPr>
          <w:ilvl w:val="0"/>
          <w:numId w:val="1"/>
        </w:numPr>
        <w:rPr>
          <w:sz w:val="24"/>
          <w:szCs w:val="24"/>
        </w:rPr>
      </w:pPr>
      <w:r>
        <w:rPr>
          <w:rFonts w:hint="eastAsia"/>
          <w:b/>
          <w:bCs/>
          <w:sz w:val="24"/>
          <w:szCs w:val="24"/>
        </w:rPr>
        <w:t>数据准备期</w:t>
      </w:r>
      <w:r>
        <w:rPr>
          <w:rFonts w:hint="eastAsia"/>
          <w:sz w:val="24"/>
          <w:szCs w:val="24"/>
        </w:rPr>
        <w:t>：2024-07-19</w:t>
      </w:r>
      <w:r>
        <w:rPr>
          <w:sz w:val="24"/>
          <w:szCs w:val="24"/>
        </w:rPr>
        <w:t xml:space="preserve"> ~ </w:t>
      </w:r>
      <w:r>
        <w:rPr>
          <w:rFonts w:hint="eastAsia"/>
          <w:sz w:val="24"/>
          <w:szCs w:val="24"/>
        </w:rPr>
        <w:t>2025-01-26（用于计算60日动量和120日均线）</w:t>
      </w:r>
    </w:p>
    <w:p w14:paraId="38CD2974">
      <w:pPr>
        <w:pStyle w:val="24"/>
        <w:numPr>
          <w:ilvl w:val="0"/>
          <w:numId w:val="1"/>
        </w:numPr>
        <w:rPr>
          <w:sz w:val="24"/>
          <w:szCs w:val="24"/>
        </w:rPr>
      </w:pPr>
      <w:r>
        <w:rPr>
          <w:rFonts w:hint="eastAsia"/>
          <w:b/>
          <w:bCs/>
          <w:sz w:val="24"/>
          <w:szCs w:val="24"/>
        </w:rPr>
        <w:t>策略回测期</w:t>
      </w:r>
      <w:r>
        <w:rPr>
          <w:rFonts w:hint="eastAsia"/>
          <w:sz w:val="24"/>
          <w:szCs w:val="24"/>
        </w:rPr>
        <w:t>：2025-01-27</w:t>
      </w:r>
      <w:r>
        <w:rPr>
          <w:sz w:val="24"/>
          <w:szCs w:val="24"/>
        </w:rPr>
        <w:t xml:space="preserve"> ~ </w:t>
      </w:r>
      <w:r>
        <w:rPr>
          <w:rFonts w:hint="eastAsia"/>
          <w:sz w:val="24"/>
          <w:szCs w:val="24"/>
        </w:rPr>
        <w:t>2026-07-21（19个调仓月，366个交易日）</w:t>
      </w:r>
    </w:p>
    <w:p w14:paraId="1BC3B56E">
      <w:pPr>
        <w:pStyle w:val="24"/>
        <w:numPr>
          <w:ilvl w:val="0"/>
          <w:numId w:val="1"/>
        </w:numPr>
        <w:rPr>
          <w:sz w:val="24"/>
          <w:szCs w:val="24"/>
        </w:rPr>
      </w:pPr>
      <w:r>
        <w:rPr>
          <w:rFonts w:hint="eastAsia"/>
          <w:b/>
          <w:bCs/>
          <w:sz w:val="24"/>
          <w:szCs w:val="24"/>
        </w:rPr>
        <w:t>调仓频率</w:t>
      </w:r>
      <w:r>
        <w:rPr>
          <w:rFonts w:hint="eastAsia"/>
          <w:sz w:val="24"/>
          <w:szCs w:val="24"/>
        </w:rPr>
        <w:t>：月度（每月最后一个所有股票共有的交易日）</w:t>
      </w:r>
    </w:p>
    <w:p w14:paraId="2CE350BB">
      <w:pPr>
        <w:pStyle w:val="24"/>
        <w:numPr>
          <w:ilvl w:val="0"/>
          <w:numId w:val="1"/>
        </w:numPr>
        <w:rPr>
          <w:sz w:val="24"/>
          <w:szCs w:val="24"/>
        </w:rPr>
      </w:pPr>
      <w:r>
        <w:rPr>
          <w:rFonts w:hint="eastAsia"/>
          <w:b/>
          <w:bCs/>
          <w:sz w:val="24"/>
          <w:szCs w:val="24"/>
        </w:rPr>
        <w:t>持仓数量</w:t>
      </w:r>
      <w:r>
        <w:rPr>
          <w:rFonts w:hint="eastAsia"/>
          <w:sz w:val="24"/>
          <w:szCs w:val="24"/>
        </w:rPr>
        <w:t>：每月5只，等权配置（各20%）</w:t>
      </w:r>
    </w:p>
    <w:bookmarkEnd w:id="5"/>
    <w:bookmarkEnd w:id="13"/>
    <w:p w14:paraId="60297414">
      <w:pPr>
        <w:pStyle w:val="2"/>
        <w:rPr>
          <w:sz w:val="24"/>
          <w:szCs w:val="24"/>
        </w:rPr>
      </w:pPr>
      <w:bookmarkStart w:id="14" w:name="第3章-策略设计"/>
      <w:r>
        <w:rPr>
          <w:rFonts w:hint="eastAsia"/>
          <w:sz w:val="24"/>
          <w:szCs w:val="24"/>
        </w:rPr>
        <w:t>第3章</w:t>
      </w:r>
      <w:r>
        <w:rPr>
          <w:sz w:val="24"/>
          <w:szCs w:val="24"/>
        </w:rPr>
        <w:t xml:space="preserve"> </w:t>
      </w:r>
      <w:r>
        <w:rPr>
          <w:rFonts w:hint="eastAsia"/>
          <w:sz w:val="24"/>
          <w:szCs w:val="24"/>
        </w:rPr>
        <w:t>策略设计</w:t>
      </w:r>
    </w:p>
    <w:p w14:paraId="591A451D">
      <w:pPr>
        <w:pStyle w:val="4"/>
        <w:jc w:val="center"/>
        <w:rPr>
          <w:sz w:val="24"/>
          <w:szCs w:val="24"/>
        </w:rPr>
      </w:pPr>
      <w:bookmarkStart w:id="15" w:name="关键设定"/>
      <w:r>
        <w:rPr>
          <w:sz w:val="24"/>
          <w:szCs w:val="24"/>
        </w:rPr>
        <w:t xml:space="preserve">3.1 </w:t>
      </w:r>
      <w:r>
        <w:rPr>
          <w:rFonts w:hint="eastAsia"/>
          <w:sz w:val="24"/>
          <w:szCs w:val="24"/>
        </w:rPr>
        <w:t>关键设定</w:t>
      </w:r>
    </w:p>
    <w:tbl>
      <w:tblPr>
        <w:tblStyle w:val="41"/>
        <w:tblW w:w="5000" w:type="pct"/>
        <w:tblInd w:w="0" w:type="dxa"/>
        <w:tblLayout w:type="fixed"/>
        <w:tblCellMar>
          <w:top w:w="0" w:type="dxa"/>
          <w:left w:w="108" w:type="dxa"/>
          <w:bottom w:w="0" w:type="dxa"/>
          <w:right w:w="108" w:type="dxa"/>
        </w:tblCellMar>
      </w:tblPr>
      <w:tblGrid>
        <w:gridCol w:w="4428"/>
        <w:gridCol w:w="4428"/>
      </w:tblGrid>
      <w:tr w14:paraId="567440D7">
        <w:trPr>
          <w:tblHeader/>
        </w:trPr>
        <w:tc>
          <w:tcPr>
            <w:tcBorders>
              <w:top w:val="single" w:color="000000" w:sz="12" w:space="0"/>
              <w:left w:val="nil"/>
              <w:bottom w:val="single" w:color="000000" w:sz="4" w:space="0"/>
              <w:right w:val="nil"/>
              <w:tl2br w:val="nil"/>
            </w:tcBorders>
            <w:shd w:val="clear" w:color="auto" w:fill="FFFFFF"/>
          </w:tcPr>
          <w:p w14:paraId="550BF4FC">
            <w:pPr>
              <w:pStyle w:val="24"/>
              <w:jc w:val="left"/>
              <w:rPr>
                <w:b w:val="0"/>
                <w:color w:val="000000"/>
                <w:sz w:val="24"/>
                <w:szCs w:val="24"/>
              </w:rPr>
            </w:pPr>
            <w:r>
              <w:rPr>
                <w:rFonts w:hint="eastAsia"/>
                <w:b w:val="0"/>
                <w:color w:val="000000"/>
                <w:sz w:val="24"/>
                <w:szCs w:val="24"/>
              </w:rPr>
              <w:t>项目</w:t>
            </w:r>
          </w:p>
        </w:tc>
        <w:tc>
          <w:tcPr>
            <w:tcBorders>
              <w:top w:val="single" w:color="000000" w:sz="12" w:space="0"/>
              <w:left w:val="nil"/>
              <w:bottom w:val="single" w:color="000000" w:sz="4" w:space="0"/>
              <w:right w:val="nil"/>
            </w:tcBorders>
            <w:shd w:val="clear" w:color="auto" w:fill="FFFFFF"/>
          </w:tcPr>
          <w:p w14:paraId="08CE87D6">
            <w:pPr>
              <w:pStyle w:val="24"/>
              <w:jc w:val="left"/>
              <w:rPr>
                <w:b w:val="0"/>
                <w:color w:val="000000"/>
                <w:sz w:val="24"/>
                <w:szCs w:val="24"/>
              </w:rPr>
            </w:pPr>
            <w:r>
              <w:rPr>
                <w:rFonts w:hint="eastAsia"/>
                <w:b w:val="0"/>
                <w:color w:val="000000"/>
                <w:sz w:val="24"/>
                <w:szCs w:val="24"/>
              </w:rPr>
              <w:t>设定</w:t>
            </w:r>
          </w:p>
        </w:tc>
      </w:tr>
      <w:tr w14:paraId="61F7DEC5">
        <w:tc>
          <w:tcPr>
            <w:tcBorders>
              <w:top w:val="single" w:color="000000" w:sz="4" w:space="0"/>
              <w:left w:val="nil"/>
              <w:bottom w:val="nil"/>
              <w:right w:val="nil"/>
            </w:tcBorders>
            <w:shd w:val="clear" w:color="auto" w:fill="FFFFFF"/>
          </w:tcPr>
          <w:p w14:paraId="5BC17185">
            <w:pPr>
              <w:pStyle w:val="24"/>
              <w:jc w:val="left"/>
              <w:rPr>
                <w:b w:val="0"/>
                <w:color w:val="000000"/>
                <w:sz w:val="24"/>
                <w:szCs w:val="24"/>
              </w:rPr>
            </w:pPr>
            <w:r>
              <w:rPr>
                <w:rFonts w:hint="eastAsia"/>
                <w:b w:val="0"/>
                <w:color w:val="000000"/>
                <w:sz w:val="24"/>
                <w:szCs w:val="24"/>
              </w:rPr>
              <w:t>样本</w:t>
            </w:r>
          </w:p>
        </w:tc>
        <w:tc>
          <w:tcPr>
            <w:tcBorders>
              <w:top w:val="single" w:color="000000" w:sz="4" w:space="0"/>
              <w:left w:val="nil"/>
              <w:bottom w:val="nil"/>
              <w:right w:val="nil"/>
            </w:tcBorders>
            <w:shd w:val="clear" w:color="auto" w:fill="FFFFFF"/>
          </w:tcPr>
          <w:p w14:paraId="4B6DF627">
            <w:pPr>
              <w:pStyle w:val="24"/>
              <w:jc w:val="left"/>
              <w:rPr>
                <w:b w:val="0"/>
                <w:color w:val="000000"/>
                <w:sz w:val="24"/>
                <w:szCs w:val="24"/>
              </w:rPr>
            </w:pPr>
            <w:r>
              <w:rPr>
                <w:rFonts w:hint="eastAsia"/>
                <w:b w:val="0"/>
                <w:color w:val="000000"/>
                <w:sz w:val="24"/>
                <w:szCs w:val="24"/>
              </w:rPr>
              <w:t>从候选20只股票池中，每月底计算</w:t>
            </w:r>
            <w:r>
              <w:rPr>
                <w:b w:val="0"/>
                <w:color w:val="000000"/>
                <w:sz w:val="24"/>
                <w:szCs w:val="24"/>
              </w:rPr>
              <w:t xml:space="preserve"> </w:t>
            </w:r>
            <w:r>
              <w:rPr>
                <w:rFonts w:hint="eastAsia"/>
                <w:b w:val="0"/>
                <w:bCs/>
                <w:color w:val="000000"/>
                <w:sz w:val="24"/>
                <w:szCs w:val="24"/>
              </w:rPr>
              <w:t>PE、ROE、60日动量</w:t>
            </w:r>
            <w:r>
              <w:rPr>
                <w:rFonts w:hint="eastAsia"/>
                <w:b w:val="0"/>
                <w:color w:val="000000"/>
                <w:sz w:val="24"/>
                <w:szCs w:val="24"/>
              </w:rPr>
              <w:t>，经120日均线过滤后标准化排序，选择得分最高的</w:t>
            </w:r>
            <w:r>
              <w:rPr>
                <w:b w:val="0"/>
                <w:color w:val="000000"/>
                <w:sz w:val="24"/>
                <w:szCs w:val="24"/>
              </w:rPr>
              <w:t xml:space="preserve"> </w:t>
            </w:r>
            <w:r>
              <w:rPr>
                <w:rFonts w:hint="eastAsia"/>
                <w:b w:val="0"/>
                <w:bCs/>
                <w:color w:val="000000"/>
                <w:sz w:val="24"/>
                <w:szCs w:val="24"/>
              </w:rPr>
              <w:t>前5只</w:t>
            </w:r>
            <w:r>
              <w:rPr>
                <w:b w:val="0"/>
                <w:color w:val="000000"/>
                <w:sz w:val="24"/>
                <w:szCs w:val="24"/>
              </w:rPr>
              <w:t xml:space="preserve"> </w:t>
            </w:r>
            <w:r>
              <w:rPr>
                <w:rFonts w:hint="eastAsia"/>
                <w:b w:val="0"/>
                <w:color w:val="000000"/>
                <w:sz w:val="24"/>
                <w:szCs w:val="24"/>
              </w:rPr>
              <w:t>构建组合</w:t>
            </w:r>
          </w:p>
        </w:tc>
      </w:tr>
      <w:tr w14:paraId="4DDD7DED">
        <w:tc>
          <w:tcPr>
            <w:tcBorders>
              <w:top w:val="nil"/>
              <w:left w:val="nil"/>
              <w:bottom w:val="nil"/>
              <w:right w:val="nil"/>
            </w:tcBorders>
            <w:shd w:val="clear" w:color="auto" w:fill="FFFFFF"/>
          </w:tcPr>
          <w:p w14:paraId="0333B042">
            <w:pPr>
              <w:pStyle w:val="24"/>
              <w:jc w:val="left"/>
              <w:rPr>
                <w:b w:val="0"/>
                <w:color w:val="000000"/>
                <w:sz w:val="24"/>
                <w:szCs w:val="24"/>
              </w:rPr>
            </w:pPr>
            <w:r>
              <w:rPr>
                <w:rFonts w:hint="eastAsia"/>
                <w:b w:val="0"/>
                <w:color w:val="000000"/>
                <w:sz w:val="24"/>
                <w:szCs w:val="24"/>
              </w:rPr>
              <w:t>组合构建</w:t>
            </w:r>
          </w:p>
        </w:tc>
        <w:tc>
          <w:tcPr>
            <w:tcBorders>
              <w:top w:val="nil"/>
              <w:left w:val="nil"/>
              <w:bottom w:val="nil"/>
              <w:right w:val="nil"/>
            </w:tcBorders>
            <w:shd w:val="clear" w:color="auto" w:fill="FFFFFF"/>
          </w:tcPr>
          <w:p w14:paraId="663DB848">
            <w:pPr>
              <w:pStyle w:val="24"/>
              <w:jc w:val="left"/>
              <w:rPr>
                <w:b w:val="0"/>
                <w:color w:val="000000"/>
                <w:sz w:val="24"/>
                <w:szCs w:val="24"/>
              </w:rPr>
            </w:pPr>
            <w:r>
              <w:rPr>
                <w:rFonts w:hint="eastAsia"/>
                <w:b w:val="0"/>
                <w:color w:val="000000"/>
                <w:sz w:val="24"/>
                <w:szCs w:val="24"/>
              </w:rPr>
              <w:t>等权配置（各20%），月初建仓，持有至下月调仓日</w:t>
            </w:r>
          </w:p>
        </w:tc>
      </w:tr>
      <w:tr w14:paraId="15D5C1F7">
        <w:tc>
          <w:tcPr>
            <w:tcBorders>
              <w:top w:val="nil"/>
              <w:left w:val="nil"/>
              <w:bottom w:val="nil"/>
              <w:right w:val="nil"/>
            </w:tcBorders>
            <w:shd w:val="clear" w:color="auto" w:fill="FFFFFF"/>
          </w:tcPr>
          <w:p w14:paraId="2097733C">
            <w:pPr>
              <w:pStyle w:val="24"/>
              <w:jc w:val="left"/>
              <w:rPr>
                <w:b w:val="0"/>
                <w:color w:val="000000"/>
                <w:sz w:val="24"/>
                <w:szCs w:val="24"/>
              </w:rPr>
            </w:pPr>
            <w:r>
              <w:rPr>
                <w:rFonts w:hint="eastAsia"/>
                <w:b w:val="0"/>
                <w:color w:val="000000"/>
                <w:sz w:val="24"/>
                <w:szCs w:val="24"/>
              </w:rPr>
              <w:t>再平衡</w:t>
            </w:r>
          </w:p>
        </w:tc>
        <w:tc>
          <w:tcPr>
            <w:tcBorders>
              <w:top w:val="nil"/>
              <w:left w:val="nil"/>
              <w:bottom w:val="nil"/>
              <w:right w:val="nil"/>
            </w:tcBorders>
            <w:shd w:val="clear" w:color="auto" w:fill="FFFFFF"/>
          </w:tcPr>
          <w:p w14:paraId="5C022AF0">
            <w:pPr>
              <w:pStyle w:val="24"/>
              <w:jc w:val="left"/>
              <w:rPr>
                <w:b w:val="0"/>
                <w:color w:val="000000"/>
                <w:sz w:val="24"/>
                <w:szCs w:val="24"/>
              </w:rPr>
            </w:pPr>
            <w:r>
              <w:rPr>
                <w:rFonts w:hint="eastAsia"/>
                <w:b w:val="0"/>
                <w:color w:val="000000"/>
                <w:sz w:val="24"/>
                <w:szCs w:val="24"/>
              </w:rPr>
              <w:t>月度调仓（每月最后一个所有股票共有交易日重新计算因子并调整持仓）</w:t>
            </w:r>
          </w:p>
        </w:tc>
      </w:tr>
      <w:tr w14:paraId="08DBA1C4">
        <w:tc>
          <w:tcPr>
            <w:tcBorders>
              <w:top w:val="nil"/>
              <w:left w:val="nil"/>
              <w:bottom w:val="nil"/>
              <w:right w:val="nil"/>
            </w:tcBorders>
            <w:shd w:val="clear" w:color="auto" w:fill="FFFFFF"/>
          </w:tcPr>
          <w:p w14:paraId="4528FCC2">
            <w:pPr>
              <w:pStyle w:val="24"/>
              <w:jc w:val="left"/>
              <w:rPr>
                <w:b w:val="0"/>
                <w:color w:val="000000"/>
                <w:sz w:val="24"/>
                <w:szCs w:val="24"/>
              </w:rPr>
            </w:pPr>
            <w:r>
              <w:rPr>
                <w:rFonts w:hint="eastAsia"/>
                <w:b w:val="0"/>
                <w:color w:val="000000"/>
                <w:sz w:val="24"/>
                <w:szCs w:val="24"/>
              </w:rPr>
              <w:t>收益计算</w:t>
            </w:r>
          </w:p>
        </w:tc>
        <w:tc>
          <w:tcPr>
            <w:tcBorders>
              <w:top w:val="nil"/>
              <w:left w:val="nil"/>
              <w:bottom w:val="nil"/>
              <w:right w:val="nil"/>
            </w:tcBorders>
            <w:shd w:val="clear" w:color="auto" w:fill="FFFFFF"/>
          </w:tcPr>
          <w:p w14:paraId="0D981174">
            <w:pPr>
              <w:pStyle w:val="24"/>
              <w:jc w:val="left"/>
              <w:rPr>
                <w:b w:val="0"/>
                <w:color w:val="000000"/>
                <w:sz w:val="24"/>
                <w:szCs w:val="24"/>
              </w:rPr>
            </w:pPr>
            <w:r>
              <w:rPr>
                <w:rFonts w:hint="eastAsia"/>
                <w:b w:val="0"/>
                <w:color w:val="000000"/>
                <w:sz w:val="24"/>
                <w:szCs w:val="24"/>
              </w:rPr>
              <w:t>简单收益率（Simple</w:t>
            </w:r>
            <w:r>
              <w:rPr>
                <w:b w:val="0"/>
                <w:color w:val="000000"/>
                <w:sz w:val="24"/>
                <w:szCs w:val="24"/>
              </w:rPr>
              <w:t xml:space="preserve"> </w:t>
            </w:r>
            <w:r>
              <w:rPr>
                <w:rFonts w:hint="eastAsia"/>
                <w:b w:val="0"/>
                <w:color w:val="000000"/>
                <w:sz w:val="24"/>
                <w:szCs w:val="24"/>
              </w:rPr>
              <w:t>Return），基于前复权收盘价</w:t>
            </w:r>
          </w:p>
        </w:tc>
      </w:tr>
      <w:tr w14:paraId="1DC12EB6">
        <w:tc>
          <w:tcPr>
            <w:tcBorders>
              <w:top w:val="nil"/>
              <w:left w:val="nil"/>
              <w:bottom w:val="nil"/>
              <w:right w:val="nil"/>
            </w:tcBorders>
            <w:shd w:val="clear" w:color="auto" w:fill="FFFFFF"/>
          </w:tcPr>
          <w:p w14:paraId="5A298C8F">
            <w:pPr>
              <w:pStyle w:val="24"/>
              <w:jc w:val="left"/>
              <w:rPr>
                <w:b w:val="0"/>
                <w:color w:val="000000"/>
                <w:sz w:val="24"/>
                <w:szCs w:val="24"/>
              </w:rPr>
            </w:pPr>
            <w:r>
              <w:rPr>
                <w:rFonts w:hint="eastAsia"/>
                <w:b w:val="0"/>
                <w:color w:val="000000"/>
                <w:sz w:val="24"/>
                <w:szCs w:val="24"/>
              </w:rPr>
              <w:t>无风险利率</w:t>
            </w:r>
          </w:p>
        </w:tc>
        <w:tc>
          <w:tcPr>
            <w:tcBorders>
              <w:top w:val="nil"/>
              <w:left w:val="nil"/>
              <w:bottom w:val="nil"/>
              <w:right w:val="nil"/>
            </w:tcBorders>
            <w:shd w:val="clear" w:color="auto" w:fill="FFFFFF"/>
          </w:tcPr>
          <w:p w14:paraId="0E89E30E">
            <w:pPr>
              <w:pStyle w:val="24"/>
              <w:jc w:val="left"/>
              <w:rPr>
                <w:b w:val="0"/>
                <w:color w:val="000000"/>
                <w:sz w:val="24"/>
                <w:szCs w:val="24"/>
              </w:rPr>
            </w:pPr>
            <w:r>
              <w:rPr>
                <w:rFonts w:hint="eastAsia"/>
                <w:b w:val="0"/>
                <w:color w:val="000000"/>
                <w:sz w:val="24"/>
                <w:szCs w:val="24"/>
              </w:rPr>
              <w:t>年化</w:t>
            </w:r>
            <w:r>
              <w:rPr>
                <w:b w:val="0"/>
                <w:color w:val="000000"/>
                <w:sz w:val="24"/>
                <w:szCs w:val="24"/>
              </w:rPr>
              <w:t xml:space="preserve"> </w:t>
            </w:r>
            <w:r>
              <w:rPr>
                <w:rFonts w:hint="eastAsia"/>
                <w:b w:val="0"/>
                <w:color w:val="000000"/>
                <w:sz w:val="24"/>
                <w:szCs w:val="24"/>
              </w:rPr>
              <w:t>2%（用于夏普比率计算）</w:t>
            </w:r>
          </w:p>
        </w:tc>
      </w:tr>
      <w:tr w14:paraId="6E490D03">
        <w:tc>
          <w:tcPr>
            <w:tcBorders>
              <w:top w:val="nil"/>
              <w:left w:val="nil"/>
              <w:bottom w:val="nil"/>
              <w:right w:val="nil"/>
            </w:tcBorders>
            <w:shd w:val="clear" w:color="auto" w:fill="FFFFFF"/>
          </w:tcPr>
          <w:p w14:paraId="48980F7C">
            <w:pPr>
              <w:pStyle w:val="24"/>
              <w:jc w:val="left"/>
              <w:rPr>
                <w:b w:val="0"/>
                <w:color w:val="000000"/>
                <w:sz w:val="24"/>
                <w:szCs w:val="24"/>
              </w:rPr>
            </w:pPr>
            <w:r>
              <w:rPr>
                <w:rFonts w:hint="eastAsia"/>
                <w:b w:val="0"/>
                <w:color w:val="000000"/>
                <w:sz w:val="24"/>
                <w:szCs w:val="24"/>
              </w:rPr>
              <w:t>交易成本</w:t>
            </w:r>
          </w:p>
        </w:tc>
        <w:tc>
          <w:tcPr>
            <w:tcBorders>
              <w:top w:val="nil"/>
              <w:left w:val="nil"/>
              <w:bottom w:val="nil"/>
              <w:right w:val="nil"/>
            </w:tcBorders>
            <w:shd w:val="clear" w:color="auto" w:fill="FFFFFF"/>
          </w:tcPr>
          <w:p w14:paraId="7C9C1ED6">
            <w:pPr>
              <w:pStyle w:val="24"/>
              <w:jc w:val="left"/>
              <w:rPr>
                <w:b w:val="0"/>
                <w:color w:val="000000"/>
                <w:sz w:val="24"/>
                <w:szCs w:val="24"/>
              </w:rPr>
            </w:pPr>
            <w:r>
              <w:rPr>
                <w:rFonts w:hint="eastAsia"/>
                <w:b w:val="0"/>
                <w:color w:val="000000"/>
                <w:sz w:val="24"/>
                <w:szCs w:val="24"/>
              </w:rPr>
              <w:t>不考虑冲击成本、滑点、税费</w:t>
            </w:r>
          </w:p>
        </w:tc>
      </w:tr>
      <w:tr w14:paraId="539CD452">
        <w:tc>
          <w:tcPr>
            <w:tcBorders>
              <w:top w:val="nil"/>
              <w:left w:val="nil"/>
              <w:bottom w:val="single" w:color="000000" w:sz="12" w:space="0"/>
              <w:right w:val="nil"/>
            </w:tcBorders>
            <w:shd w:val="clear" w:color="auto" w:fill="FFFFFF"/>
          </w:tcPr>
          <w:p w14:paraId="050FF31D">
            <w:pPr>
              <w:pStyle w:val="24"/>
              <w:jc w:val="left"/>
              <w:rPr>
                <w:b w:val="0"/>
                <w:color w:val="000000"/>
                <w:sz w:val="24"/>
                <w:szCs w:val="24"/>
              </w:rPr>
            </w:pPr>
            <w:r>
              <w:rPr>
                <w:rFonts w:hint="eastAsia"/>
                <w:b w:val="0"/>
                <w:color w:val="000000"/>
                <w:sz w:val="24"/>
                <w:szCs w:val="24"/>
              </w:rPr>
              <w:t>基准</w:t>
            </w:r>
          </w:p>
        </w:tc>
        <w:tc>
          <w:tcPr>
            <w:tcBorders>
              <w:top w:val="nil"/>
              <w:left w:val="nil"/>
              <w:bottom w:val="single" w:color="000000" w:sz="12" w:space="0"/>
              <w:right w:val="nil"/>
            </w:tcBorders>
            <w:shd w:val="clear" w:color="auto" w:fill="FFFFFF"/>
          </w:tcPr>
          <w:p w14:paraId="4D7445B6">
            <w:pPr>
              <w:pStyle w:val="24"/>
              <w:jc w:val="left"/>
              <w:rPr>
                <w:b w:val="0"/>
                <w:color w:val="000000"/>
                <w:sz w:val="24"/>
                <w:szCs w:val="24"/>
              </w:rPr>
            </w:pPr>
            <w:r>
              <w:rPr>
                <w:rFonts w:hint="eastAsia"/>
                <w:b w:val="0"/>
                <w:color w:val="000000"/>
                <w:sz w:val="24"/>
                <w:szCs w:val="24"/>
              </w:rPr>
              <w:t>沪深300指数（CSI</w:t>
            </w:r>
            <w:r>
              <w:rPr>
                <w:b w:val="0"/>
                <w:color w:val="000000"/>
                <w:sz w:val="24"/>
                <w:szCs w:val="24"/>
              </w:rPr>
              <w:t xml:space="preserve"> </w:t>
            </w:r>
            <w:r>
              <w:rPr>
                <w:rFonts w:hint="eastAsia"/>
                <w:b w:val="0"/>
                <w:color w:val="000000"/>
                <w:sz w:val="24"/>
                <w:szCs w:val="24"/>
              </w:rPr>
              <w:t>300，sh000300），同期归一化至1</w:t>
            </w:r>
          </w:p>
        </w:tc>
      </w:tr>
    </w:tbl>
    <w:p w14:paraId="3E3878E5">
      <w:pPr>
        <w:pStyle w:val="5"/>
        <w:rPr>
          <w:sz w:val="24"/>
          <w:szCs w:val="24"/>
        </w:rPr>
      </w:pPr>
      <w:bookmarkStart w:id="16" w:name="三因子定义"/>
      <w:r>
        <w:rPr>
          <w:rFonts w:hint="eastAsia"/>
          <w:sz w:val="24"/>
          <w:szCs w:val="24"/>
        </w:rPr>
        <w:t>三因子定义</w:t>
      </w:r>
    </w:p>
    <w:tbl>
      <w:tblPr>
        <w:tblStyle w:val="41"/>
        <w:tblW w:w="5000" w:type="pct"/>
        <w:tblInd w:w="0" w:type="dxa"/>
        <w:tblLayout w:type="fixed"/>
        <w:tblCellMar>
          <w:top w:w="0" w:type="dxa"/>
          <w:left w:w="108" w:type="dxa"/>
          <w:bottom w:w="0" w:type="dxa"/>
          <w:right w:w="108" w:type="dxa"/>
        </w:tblCellMar>
      </w:tblPr>
      <w:tblGrid>
        <w:gridCol w:w="1771"/>
        <w:gridCol w:w="1771"/>
        <w:gridCol w:w="1771"/>
        <w:gridCol w:w="1771"/>
        <w:gridCol w:w="1771"/>
      </w:tblGrid>
      <w:tr w14:paraId="4DB00DCC">
        <w:trPr>
          <w:tblHeader/>
        </w:trPr>
        <w:tc>
          <w:p w14:paraId="0B88FA55">
            <w:pPr>
              <w:pStyle w:val="24"/>
              <w:jc w:val="left"/>
              <w:rPr>
                <w:sz w:val="24"/>
                <w:szCs w:val="24"/>
              </w:rPr>
            </w:pPr>
            <w:r>
              <w:rPr>
                <w:rFonts w:hint="eastAsia"/>
                <w:sz w:val="24"/>
                <w:szCs w:val="24"/>
              </w:rPr>
              <w:t>因子</w:t>
            </w:r>
          </w:p>
        </w:tc>
        <w:tc>
          <w:p w14:paraId="0D53B647">
            <w:pPr>
              <w:pStyle w:val="24"/>
              <w:jc w:val="left"/>
              <w:rPr>
                <w:sz w:val="24"/>
                <w:szCs w:val="24"/>
              </w:rPr>
            </w:pPr>
            <w:r>
              <w:rPr>
                <w:rFonts w:hint="eastAsia"/>
                <w:sz w:val="24"/>
                <w:szCs w:val="24"/>
              </w:rPr>
              <w:t>计算公式</w:t>
            </w:r>
          </w:p>
        </w:tc>
        <w:tc>
          <w:p w14:paraId="35119DA9">
            <w:pPr>
              <w:pStyle w:val="24"/>
              <w:jc w:val="left"/>
              <w:rPr>
                <w:sz w:val="24"/>
                <w:szCs w:val="24"/>
              </w:rPr>
            </w:pPr>
            <w:r>
              <w:rPr>
                <w:rFonts w:hint="eastAsia"/>
                <w:sz w:val="24"/>
                <w:szCs w:val="24"/>
              </w:rPr>
              <w:t>方向</w:t>
            </w:r>
          </w:p>
        </w:tc>
        <w:tc>
          <w:p w14:paraId="5BE6D24F">
            <w:pPr>
              <w:pStyle w:val="24"/>
              <w:jc w:val="right"/>
              <w:rPr>
                <w:sz w:val="24"/>
                <w:szCs w:val="24"/>
              </w:rPr>
            </w:pPr>
            <w:r>
              <w:rPr>
                <w:rFonts w:hint="eastAsia"/>
                <w:sz w:val="24"/>
                <w:szCs w:val="24"/>
              </w:rPr>
              <w:t>权重</w:t>
            </w:r>
          </w:p>
        </w:tc>
        <w:tc>
          <w:p w14:paraId="0C011214">
            <w:pPr>
              <w:pStyle w:val="24"/>
              <w:jc w:val="left"/>
              <w:rPr>
                <w:sz w:val="24"/>
                <w:szCs w:val="24"/>
              </w:rPr>
            </w:pPr>
            <w:r>
              <w:rPr>
                <w:rFonts w:hint="eastAsia"/>
                <w:sz w:val="24"/>
                <w:szCs w:val="24"/>
              </w:rPr>
              <w:t>参考文献</w:t>
            </w:r>
          </w:p>
        </w:tc>
      </w:tr>
      <w:tr w14:paraId="5A52709D">
        <w:tc>
          <w:p w14:paraId="530D4AA1">
            <w:pPr>
              <w:pStyle w:val="24"/>
              <w:jc w:val="left"/>
              <w:rPr>
                <w:sz w:val="24"/>
                <w:szCs w:val="24"/>
              </w:rPr>
            </w:pPr>
            <w:r>
              <w:rPr>
                <w:rFonts w:hint="eastAsia"/>
                <w:sz w:val="24"/>
                <w:szCs w:val="24"/>
              </w:rPr>
              <w:t>动量</w:t>
            </w:r>
            <w:r>
              <w:rPr>
                <w:sz w:val="24"/>
                <w:szCs w:val="24"/>
              </w:rPr>
              <w:t xml:space="preserve"> (Momentum)</w:t>
            </w:r>
          </w:p>
        </w:tc>
        <w:tc>
          <w:p w14:paraId="43E40F2B">
            <w:pPr>
              <w:pStyle w:val="24"/>
              <w:jc w:val="left"/>
              <w:rPr>
                <w:sz w:val="24"/>
                <w:szCs w:val="24"/>
              </w:rPr>
            </w:pPr>
            <m:oMathPara>
              <m:oMathParaPr>
                <m:jc m:val="center"/>
              </m:oMathParaPr>
              <m:oMath>
                <m:sSub>
                  <m:sSubPr>
                    <m:ctrlPr>
                      <w:rPr>
                        <w:sz w:val="24"/>
                        <w:szCs w:val="24"/>
                      </w:rPr>
                    </m:ctrlPr>
                  </m:sSubPr>
                  <m:e>
                    <m:r>
                      <m:rPr>
                        <m:nor/>
                        <m:sty m:val="p"/>
                      </m:rPr>
                      <w:rPr>
                        <w:b w:val="0"/>
                        <w:i w:val="0"/>
                        <w:sz w:val="24"/>
                        <w:szCs w:val="24"/>
                      </w:rPr>
                      <m:t>MOM</m:t>
                    </m:r>
                    <m:ctrlPr>
                      <w:rPr>
                        <w:sz w:val="24"/>
                        <w:szCs w:val="24"/>
                      </w:rPr>
                    </m:ctrlPr>
                  </m:e>
                  <m:sub>
                    <m:r>
                      <m:rPr/>
                      <w:rPr>
                        <w:sz w:val="24"/>
                        <w:szCs w:val="24"/>
                      </w:rPr>
                      <m:t>i</m:t>
                    </m:r>
                    <m:ctrlPr>
                      <w:rPr>
                        <w:sz w:val="24"/>
                        <w:szCs w:val="24"/>
                      </w:rPr>
                    </m:ctrlPr>
                  </m:sub>
                </m:sSub>
                <m:r>
                  <m:rPr>
                    <m:sty m:val="p"/>
                  </m:rPr>
                  <w:rPr>
                    <w:sz w:val="24"/>
                    <w:szCs w:val="24"/>
                  </w:rPr>
                  <m:t>=</m:t>
                </m:r>
                <m:f>
                  <m:fPr>
                    <m:ctrlPr>
                      <w:rPr>
                        <w:sz w:val="24"/>
                        <w:szCs w:val="24"/>
                      </w:rPr>
                    </m:ctrlPr>
                  </m:fPr>
                  <m:num>
                    <m:sSub>
                      <m:sSubPr>
                        <m:ctrlPr>
                          <w:rPr>
                            <w:sz w:val="24"/>
                            <w:szCs w:val="24"/>
                          </w:rPr>
                        </m:ctrlPr>
                      </m:sSubPr>
                      <m:e>
                        <m:r>
                          <m:rPr/>
                          <w:rPr>
                            <w:sz w:val="24"/>
                            <w:szCs w:val="24"/>
                          </w:rPr>
                          <m:t>P</m:t>
                        </m:r>
                        <m:ctrlPr>
                          <w:rPr>
                            <w:sz w:val="24"/>
                            <w:szCs w:val="24"/>
                          </w:rPr>
                        </m:ctrlPr>
                      </m:e>
                      <m:sub>
                        <m:r>
                          <m:rPr/>
                          <w:rPr>
                            <w:sz w:val="24"/>
                            <w:szCs w:val="24"/>
                          </w:rPr>
                          <m:t>i</m:t>
                        </m:r>
                        <m:r>
                          <m:rPr>
                            <m:sty m:val="p"/>
                          </m:rPr>
                          <w:rPr>
                            <w:sz w:val="24"/>
                            <w:szCs w:val="24"/>
                          </w:rPr>
                          <m:t>,</m:t>
                        </m:r>
                        <m:r>
                          <m:rPr/>
                          <w:rPr>
                            <w:sz w:val="24"/>
                            <w:szCs w:val="24"/>
                          </w:rPr>
                          <m:t>t</m:t>
                        </m:r>
                        <m:ctrlPr>
                          <w:rPr>
                            <w:sz w:val="24"/>
                            <w:szCs w:val="24"/>
                          </w:rPr>
                        </m:ctrlPr>
                      </m:sub>
                    </m:sSub>
                    <m:ctrlPr>
                      <w:rPr>
                        <w:sz w:val="24"/>
                        <w:szCs w:val="24"/>
                      </w:rPr>
                    </m:ctrlPr>
                  </m:num>
                  <m:den>
                    <m:sSub>
                      <m:sSubPr>
                        <m:ctrlPr>
                          <w:rPr>
                            <w:sz w:val="24"/>
                            <w:szCs w:val="24"/>
                          </w:rPr>
                        </m:ctrlPr>
                      </m:sSubPr>
                      <m:e>
                        <m:r>
                          <m:rPr/>
                          <w:rPr>
                            <w:sz w:val="24"/>
                            <w:szCs w:val="24"/>
                          </w:rPr>
                          <m:t>P</m:t>
                        </m:r>
                        <m:ctrlPr>
                          <w:rPr>
                            <w:sz w:val="24"/>
                            <w:szCs w:val="24"/>
                          </w:rPr>
                        </m:ctrlPr>
                      </m:e>
                      <m:sub>
                        <m:r>
                          <m:rPr/>
                          <w:rPr>
                            <w:sz w:val="24"/>
                            <w:szCs w:val="24"/>
                          </w:rPr>
                          <m:t>i</m:t>
                        </m:r>
                        <m:r>
                          <m:rPr>
                            <m:sty m:val="p"/>
                          </m:rPr>
                          <w:rPr>
                            <w:sz w:val="24"/>
                            <w:szCs w:val="24"/>
                          </w:rPr>
                          <m:t>,</m:t>
                        </m:r>
                        <m:r>
                          <m:rPr/>
                          <w:rPr>
                            <w:sz w:val="24"/>
                            <w:szCs w:val="24"/>
                          </w:rPr>
                          <m:t>t</m:t>
                        </m:r>
                        <m:r>
                          <m:rPr>
                            <m:sty m:val="p"/>
                          </m:rPr>
                          <w:rPr>
                            <w:sz w:val="24"/>
                            <w:szCs w:val="24"/>
                          </w:rPr>
                          <m:t>−</m:t>
                        </m:r>
                        <m:r>
                          <m:rPr/>
                          <w:rPr>
                            <w:sz w:val="24"/>
                            <w:szCs w:val="24"/>
                          </w:rPr>
                          <m:t>60</m:t>
                        </m:r>
                        <m:ctrlPr>
                          <w:rPr>
                            <w:sz w:val="24"/>
                            <w:szCs w:val="24"/>
                          </w:rPr>
                        </m:ctrlPr>
                      </m:sub>
                    </m:sSub>
                    <m:ctrlPr>
                      <w:rPr>
                        <w:sz w:val="24"/>
                        <w:szCs w:val="24"/>
                      </w:rPr>
                    </m:ctrlPr>
                  </m:den>
                </m:f>
                <m:r>
                  <m:rPr>
                    <m:sty m:val="p"/>
                  </m:rPr>
                  <w:rPr>
                    <w:sz w:val="24"/>
                    <w:szCs w:val="24"/>
                  </w:rPr>
                  <m:t>−</m:t>
                </m:r>
                <m:r>
                  <m:rPr/>
                  <w:rPr>
                    <w:sz w:val="24"/>
                    <w:szCs w:val="24"/>
                  </w:rPr>
                  <m:t>1</m:t>
                </m:r>
              </m:oMath>
            </m:oMathPara>
          </w:p>
        </w:tc>
        <w:tc>
          <w:p w14:paraId="02D485C2">
            <w:pPr>
              <w:pStyle w:val="24"/>
              <w:jc w:val="left"/>
              <w:rPr>
                <w:sz w:val="24"/>
                <w:szCs w:val="24"/>
              </w:rPr>
            </w:pPr>
            <w:r>
              <w:rPr>
                <w:rFonts w:hint="eastAsia"/>
                <w:sz w:val="24"/>
                <w:szCs w:val="24"/>
              </w:rPr>
              <w:t>越高越好</w:t>
            </w:r>
          </w:p>
        </w:tc>
        <w:tc>
          <w:p w14:paraId="45376862">
            <w:pPr>
              <w:pStyle w:val="24"/>
              <w:jc w:val="right"/>
              <w:rPr>
                <w:sz w:val="24"/>
                <w:szCs w:val="24"/>
              </w:rPr>
            </w:pPr>
            <w:r>
              <w:rPr>
                <w:sz w:val="24"/>
                <w:szCs w:val="24"/>
              </w:rPr>
              <w:t>0.4</w:t>
            </w:r>
          </w:p>
        </w:tc>
        <w:tc>
          <w:p w14:paraId="38F108F1">
            <w:pPr>
              <w:pStyle w:val="24"/>
              <w:jc w:val="left"/>
              <w:rPr>
                <w:sz w:val="24"/>
                <w:szCs w:val="24"/>
              </w:rPr>
            </w:pPr>
            <w:r>
              <w:rPr>
                <w:sz w:val="24"/>
                <w:szCs w:val="24"/>
              </w:rPr>
              <w:t>Jegadeesh &amp; Titman (1993); Asness, Moskowitz &amp; Pedersen (2013)</w:t>
            </w:r>
          </w:p>
        </w:tc>
      </w:tr>
      <w:tr w14:paraId="15A19F40">
        <w:tc>
          <w:p w14:paraId="401FD3FA">
            <w:pPr>
              <w:pStyle w:val="24"/>
              <w:jc w:val="left"/>
              <w:rPr>
                <w:sz w:val="24"/>
                <w:szCs w:val="24"/>
              </w:rPr>
            </w:pPr>
            <w:r>
              <w:rPr>
                <w:rFonts w:hint="eastAsia"/>
                <w:sz w:val="24"/>
                <w:szCs w:val="24"/>
              </w:rPr>
              <w:t>质量</w:t>
            </w:r>
            <w:r>
              <w:rPr>
                <w:sz w:val="24"/>
                <w:szCs w:val="24"/>
              </w:rPr>
              <w:t xml:space="preserve"> (Quality)</w:t>
            </w:r>
          </w:p>
        </w:tc>
        <w:tc>
          <w:p w14:paraId="19451EDF">
            <w:pPr>
              <w:pStyle w:val="24"/>
              <w:jc w:val="left"/>
              <w:rPr>
                <w:sz w:val="24"/>
                <w:szCs w:val="24"/>
              </w:rPr>
            </w:pPr>
            <m:oMathPara>
              <m:oMathParaPr>
                <m:jc m:val="center"/>
              </m:oMathParaPr>
              <m:oMath>
                <m:sSub>
                  <m:sSubPr>
                    <m:ctrlPr>
                      <w:rPr>
                        <w:sz w:val="24"/>
                        <w:szCs w:val="24"/>
                      </w:rPr>
                    </m:ctrlPr>
                  </m:sSubPr>
                  <m:e>
                    <m:r>
                      <m:rPr>
                        <m:nor/>
                        <m:sty m:val="p"/>
                      </m:rPr>
                      <w:rPr>
                        <w:b w:val="0"/>
                        <w:i w:val="0"/>
                        <w:sz w:val="24"/>
                        <w:szCs w:val="24"/>
                      </w:rPr>
                      <m:t>ROE</m:t>
                    </m:r>
                    <m:ctrlPr>
                      <w:rPr>
                        <w:sz w:val="24"/>
                        <w:szCs w:val="24"/>
                      </w:rPr>
                    </m:ctrlPr>
                  </m:e>
                  <m:sub>
                    <m:r>
                      <m:rPr/>
                      <w:rPr>
                        <w:sz w:val="24"/>
                        <w:szCs w:val="24"/>
                      </w:rPr>
                      <m:t>i</m:t>
                    </m:r>
                    <m:ctrlPr>
                      <w:rPr>
                        <w:sz w:val="24"/>
                        <w:szCs w:val="24"/>
                      </w:rPr>
                    </m:ctrlPr>
                  </m:sub>
                </m:sSub>
                <m:r>
                  <m:rPr>
                    <m:sty m:val="p"/>
                  </m:rPr>
                  <w:rPr>
                    <w:sz w:val="24"/>
                    <w:szCs w:val="24"/>
                  </w:rPr>
                  <m:t>=</m:t>
                </m:r>
                <m:f>
                  <m:fPr>
                    <m:ctrlPr>
                      <w:rPr>
                        <w:sz w:val="24"/>
                        <w:szCs w:val="24"/>
                      </w:rPr>
                    </m:ctrlPr>
                  </m:fPr>
                  <m:num>
                    <m:sSub>
                      <m:sSubPr>
                        <m:ctrlPr>
                          <w:rPr>
                            <w:sz w:val="24"/>
                            <w:szCs w:val="24"/>
                          </w:rPr>
                        </m:ctrlPr>
                      </m:sSubPr>
                      <m:e>
                        <m:r>
                          <m:rPr>
                            <m:nor/>
                            <m:sty m:val="p"/>
                          </m:rPr>
                          <w:rPr>
                            <w:b w:val="0"/>
                            <w:i w:val="0"/>
                            <w:sz w:val="24"/>
                            <w:szCs w:val="24"/>
                          </w:rPr>
                          <m:t>净利润</m:t>
                        </m:r>
                        <m:ctrlPr>
                          <w:rPr>
                            <w:sz w:val="24"/>
                            <w:szCs w:val="24"/>
                          </w:rPr>
                        </m:ctrlPr>
                      </m:e>
                      <m:sub>
                        <m:r>
                          <m:rPr/>
                          <w:rPr>
                            <w:sz w:val="24"/>
                            <w:szCs w:val="24"/>
                          </w:rPr>
                          <m:t>i</m:t>
                        </m:r>
                        <m:ctrlPr>
                          <w:rPr>
                            <w:sz w:val="24"/>
                            <w:szCs w:val="24"/>
                          </w:rPr>
                        </m:ctrlPr>
                      </m:sub>
                    </m:sSub>
                    <m:ctrlPr>
                      <w:rPr>
                        <w:sz w:val="24"/>
                        <w:szCs w:val="24"/>
                      </w:rPr>
                    </m:ctrlPr>
                  </m:num>
                  <m:den>
                    <m:sSub>
                      <m:sSubPr>
                        <m:ctrlPr>
                          <w:rPr>
                            <w:sz w:val="24"/>
                            <w:szCs w:val="24"/>
                          </w:rPr>
                        </m:ctrlPr>
                      </m:sSubPr>
                      <m:e>
                        <m:r>
                          <m:rPr>
                            <m:nor/>
                            <m:sty m:val="p"/>
                          </m:rPr>
                          <w:rPr>
                            <w:b w:val="0"/>
                            <w:i w:val="0"/>
                            <w:sz w:val="24"/>
                            <w:szCs w:val="24"/>
                          </w:rPr>
                          <m:t>股东权益</m:t>
                        </m:r>
                        <m:ctrlPr>
                          <w:rPr>
                            <w:sz w:val="24"/>
                            <w:szCs w:val="24"/>
                          </w:rPr>
                        </m:ctrlPr>
                      </m:e>
                      <m:sub>
                        <m:r>
                          <m:rPr/>
                          <w:rPr>
                            <w:sz w:val="24"/>
                            <w:szCs w:val="24"/>
                          </w:rPr>
                          <m:t>i</m:t>
                        </m:r>
                        <m:ctrlPr>
                          <w:rPr>
                            <w:sz w:val="24"/>
                            <w:szCs w:val="24"/>
                          </w:rPr>
                        </m:ctrlPr>
                      </m:sub>
                    </m:sSub>
                    <m:ctrlPr>
                      <w:rPr>
                        <w:sz w:val="24"/>
                        <w:szCs w:val="24"/>
                      </w:rPr>
                    </m:ctrlPr>
                  </m:den>
                </m:f>
                <m:r>
                  <m:rPr>
                    <m:sty m:val="p"/>
                  </m:rPr>
                  <w:rPr>
                    <w:sz w:val="24"/>
                    <w:szCs w:val="24"/>
                  </w:rPr>
                  <m:t>×</m:t>
                </m:r>
                <m:r>
                  <m:rPr/>
                  <w:rPr>
                    <w:sz w:val="24"/>
                    <w:szCs w:val="24"/>
                  </w:rPr>
                  <m:t>100</m:t>
                </m:r>
                <m:r>
                  <m:rPr>
                    <m:sty m:val="p"/>
                  </m:rPr>
                  <w:rPr>
                    <w:sz w:val="24"/>
                    <w:szCs w:val="24"/>
                  </w:rPr>
                  <m:t>%</m:t>
                </m:r>
              </m:oMath>
            </m:oMathPara>
          </w:p>
        </w:tc>
        <w:tc>
          <w:p w14:paraId="76FCF4E1">
            <w:pPr>
              <w:pStyle w:val="24"/>
              <w:jc w:val="left"/>
              <w:rPr>
                <w:sz w:val="24"/>
                <w:szCs w:val="24"/>
              </w:rPr>
            </w:pPr>
            <w:r>
              <w:rPr>
                <w:rFonts w:hint="eastAsia"/>
                <w:sz w:val="24"/>
                <w:szCs w:val="24"/>
              </w:rPr>
              <w:t>越高越好</w:t>
            </w:r>
          </w:p>
        </w:tc>
        <w:tc>
          <w:p w14:paraId="2CE99C49">
            <w:pPr>
              <w:pStyle w:val="24"/>
              <w:jc w:val="right"/>
              <w:rPr>
                <w:sz w:val="24"/>
                <w:szCs w:val="24"/>
              </w:rPr>
            </w:pPr>
            <w:r>
              <w:rPr>
                <w:sz w:val="24"/>
                <w:szCs w:val="24"/>
              </w:rPr>
              <w:t>0.3</w:t>
            </w:r>
          </w:p>
        </w:tc>
        <w:tc>
          <w:p w14:paraId="30508E35">
            <w:pPr>
              <w:pStyle w:val="24"/>
              <w:jc w:val="left"/>
              <w:rPr>
                <w:sz w:val="24"/>
                <w:szCs w:val="24"/>
              </w:rPr>
            </w:pPr>
            <w:r>
              <w:rPr>
                <w:sz w:val="24"/>
                <w:szCs w:val="24"/>
              </w:rPr>
              <w:t>Novy-Marx (2013); Asness, Frazzini &amp; Pedersen (2019)</w:t>
            </w:r>
          </w:p>
        </w:tc>
      </w:tr>
      <w:tr w14:paraId="7B82CF6E">
        <w:tc>
          <w:p w14:paraId="5AAF7AD6">
            <w:pPr>
              <w:pStyle w:val="24"/>
              <w:jc w:val="left"/>
              <w:rPr>
                <w:sz w:val="24"/>
                <w:szCs w:val="24"/>
              </w:rPr>
            </w:pPr>
            <w:r>
              <w:rPr>
                <w:rFonts w:hint="eastAsia"/>
                <w:sz w:val="24"/>
                <w:szCs w:val="24"/>
              </w:rPr>
              <w:t>价值</w:t>
            </w:r>
            <w:r>
              <w:rPr>
                <w:sz w:val="24"/>
                <w:szCs w:val="24"/>
              </w:rPr>
              <w:t xml:space="preserve"> (Value)</w:t>
            </w:r>
          </w:p>
        </w:tc>
        <w:tc>
          <w:p w14:paraId="61DD45D0">
            <w:pPr>
              <w:pStyle w:val="24"/>
              <w:jc w:val="left"/>
              <w:rPr>
                <w:sz w:val="24"/>
                <w:szCs w:val="24"/>
              </w:rPr>
            </w:pPr>
            <m:oMathPara>
              <m:oMathParaPr>
                <m:jc m:val="center"/>
              </m:oMathParaPr>
              <m:oMath>
                <m:sSub>
                  <m:sSubPr>
                    <m:ctrlPr>
                      <w:rPr>
                        <w:sz w:val="24"/>
                        <w:szCs w:val="24"/>
                      </w:rPr>
                    </m:ctrlPr>
                  </m:sSubPr>
                  <m:e>
                    <m:r>
                      <m:rPr>
                        <m:nor/>
                        <m:sty m:val="p"/>
                      </m:rPr>
                      <w:rPr>
                        <w:b w:val="0"/>
                        <w:i w:val="0"/>
                        <w:sz w:val="24"/>
                        <w:szCs w:val="24"/>
                      </w:rPr>
                      <m:t>PE</m:t>
                    </m:r>
                    <m:ctrlPr>
                      <w:rPr>
                        <w:sz w:val="24"/>
                        <w:szCs w:val="24"/>
                      </w:rPr>
                    </m:ctrlPr>
                  </m:e>
                  <m:sub>
                    <m:r>
                      <m:rPr/>
                      <w:rPr>
                        <w:sz w:val="24"/>
                        <w:szCs w:val="24"/>
                      </w:rPr>
                      <m:t>i</m:t>
                    </m:r>
                    <m:ctrlPr>
                      <w:rPr>
                        <w:sz w:val="24"/>
                        <w:szCs w:val="24"/>
                      </w:rPr>
                    </m:ctrlPr>
                  </m:sub>
                </m:sSub>
                <m:r>
                  <m:rPr>
                    <m:sty m:val="p"/>
                  </m:rPr>
                  <w:rPr>
                    <w:sz w:val="24"/>
                    <w:szCs w:val="24"/>
                  </w:rPr>
                  <m:t>=</m:t>
                </m:r>
                <m:f>
                  <m:fPr>
                    <m:ctrlPr>
                      <w:rPr>
                        <w:sz w:val="24"/>
                        <w:szCs w:val="24"/>
                      </w:rPr>
                    </m:ctrlPr>
                  </m:fPr>
                  <m:num>
                    <m:sSub>
                      <m:sSubPr>
                        <m:ctrlPr>
                          <w:rPr>
                            <w:sz w:val="24"/>
                            <w:szCs w:val="24"/>
                          </w:rPr>
                        </m:ctrlPr>
                      </m:sSubPr>
                      <m:e>
                        <m:r>
                          <m:rPr/>
                          <w:rPr>
                            <w:sz w:val="24"/>
                            <w:szCs w:val="24"/>
                          </w:rPr>
                          <m:t>P</m:t>
                        </m:r>
                        <m:ctrlPr>
                          <w:rPr>
                            <w:sz w:val="24"/>
                            <w:szCs w:val="24"/>
                          </w:rPr>
                        </m:ctrlPr>
                      </m:e>
                      <m:sub>
                        <m:r>
                          <m:rPr/>
                          <w:rPr>
                            <w:sz w:val="24"/>
                            <w:szCs w:val="24"/>
                          </w:rPr>
                          <m:t>i</m:t>
                        </m:r>
                        <m:ctrlPr>
                          <w:rPr>
                            <w:sz w:val="24"/>
                            <w:szCs w:val="24"/>
                          </w:rPr>
                        </m:ctrlPr>
                      </m:sub>
                    </m:sSub>
                    <m:ctrlPr>
                      <w:rPr>
                        <w:sz w:val="24"/>
                        <w:szCs w:val="24"/>
                      </w:rPr>
                    </m:ctrlPr>
                  </m:num>
                  <m:den>
                    <m:sSub>
                      <m:sSubPr>
                        <m:ctrlPr>
                          <w:rPr>
                            <w:sz w:val="24"/>
                            <w:szCs w:val="24"/>
                          </w:rPr>
                        </m:ctrlPr>
                      </m:sSubPr>
                      <m:e>
                        <m:r>
                          <m:rPr>
                            <m:nor/>
                            <m:sty m:val="p"/>
                          </m:rPr>
                          <w:rPr>
                            <w:b w:val="0"/>
                            <w:i w:val="0"/>
                            <w:sz w:val="24"/>
                            <w:szCs w:val="24"/>
                          </w:rPr>
                          <m:t>EPS</m:t>
                        </m:r>
                        <m:ctrlPr>
                          <w:rPr>
                            <w:sz w:val="24"/>
                            <w:szCs w:val="24"/>
                          </w:rPr>
                        </m:ctrlPr>
                      </m:e>
                      <m:sub>
                        <m:r>
                          <m:rPr/>
                          <w:rPr>
                            <w:sz w:val="24"/>
                            <w:szCs w:val="24"/>
                          </w:rPr>
                          <m:t>i</m:t>
                        </m:r>
                        <m:ctrlPr>
                          <w:rPr>
                            <w:sz w:val="24"/>
                            <w:szCs w:val="24"/>
                          </w:rPr>
                        </m:ctrlPr>
                      </m:sub>
                    </m:sSub>
                    <m:ctrlPr>
                      <w:rPr>
                        <w:sz w:val="24"/>
                        <w:szCs w:val="24"/>
                      </w:rPr>
                    </m:ctrlPr>
                  </m:den>
                </m:f>
              </m:oMath>
            </m:oMathPara>
          </w:p>
          <w:p w14:paraId="28190D1B">
            <w:pPr>
              <w:pStyle w:val="24"/>
              <w:jc w:val="left"/>
              <w:rPr>
                <w:sz w:val="24"/>
                <w:szCs w:val="24"/>
              </w:rPr>
            </w:pPr>
            <w:r>
              <w:rPr>
                <w:rFonts w:hint="eastAsia"/>
                <w:sz w:val="24"/>
                <w:szCs w:val="24"/>
              </w:rPr>
              <w:t>，取负值参与评分</w:t>
            </w:r>
          </w:p>
        </w:tc>
        <w:tc>
          <w:p w14:paraId="4A9118ED">
            <w:pPr>
              <w:pStyle w:val="24"/>
              <w:jc w:val="left"/>
              <w:rPr>
                <w:sz w:val="24"/>
                <w:szCs w:val="24"/>
              </w:rPr>
            </w:pPr>
            <w:r>
              <w:rPr>
                <w:rFonts w:hint="eastAsia"/>
                <w:sz w:val="24"/>
                <w:szCs w:val="24"/>
              </w:rPr>
              <w:t>越低越好</w:t>
            </w:r>
          </w:p>
        </w:tc>
        <w:tc>
          <w:p w14:paraId="3B117052">
            <w:pPr>
              <w:pStyle w:val="24"/>
              <w:jc w:val="right"/>
              <w:rPr>
                <w:sz w:val="24"/>
                <w:szCs w:val="24"/>
              </w:rPr>
            </w:pPr>
            <w:r>
              <w:rPr>
                <w:sz w:val="24"/>
                <w:szCs w:val="24"/>
              </w:rPr>
              <w:t>0.3</w:t>
            </w:r>
          </w:p>
        </w:tc>
        <w:tc>
          <w:p w14:paraId="0F335D7A">
            <w:pPr>
              <w:pStyle w:val="24"/>
              <w:jc w:val="left"/>
              <w:rPr>
                <w:sz w:val="24"/>
                <w:szCs w:val="24"/>
              </w:rPr>
            </w:pPr>
            <w:r>
              <w:rPr>
                <w:sz w:val="24"/>
                <w:szCs w:val="24"/>
              </w:rPr>
              <w:t>Fama &amp; French (1993); Lakonishok, Shleifer &amp; Vishny (1994)</w:t>
            </w:r>
          </w:p>
        </w:tc>
      </w:tr>
    </w:tbl>
    <w:p w14:paraId="240CF0FE">
      <w:pPr>
        <w:pStyle w:val="3"/>
        <w:rPr>
          <w:sz w:val="24"/>
          <w:szCs w:val="24"/>
        </w:rPr>
      </w:pPr>
      <w:r>
        <w:rPr>
          <w:rFonts w:hint="eastAsia"/>
          <w:sz w:val="24"/>
          <w:szCs w:val="24"/>
        </w:rPr>
        <w:t>其中</w:t>
      </w:r>
      <w:r>
        <w:rPr>
          <w:sz w:val="24"/>
          <w:szCs w:val="24"/>
        </w:rPr>
        <w:t xml:space="preserve"> </w:t>
      </w:r>
      <m:oMath>
        <m:sSub>
          <m:sSubPr>
            <m:ctrlPr>
              <w:rPr>
                <w:sz w:val="24"/>
                <w:szCs w:val="24"/>
              </w:rPr>
            </m:ctrlPr>
          </m:sSubPr>
          <m:e>
            <m:r>
              <m:rPr/>
              <w:rPr>
                <w:sz w:val="24"/>
                <w:szCs w:val="24"/>
              </w:rPr>
              <m:t>P</m:t>
            </m:r>
            <m:ctrlPr>
              <w:rPr>
                <w:sz w:val="24"/>
                <w:szCs w:val="24"/>
              </w:rPr>
            </m:ctrlPr>
          </m:e>
          <m:sub>
            <m:r>
              <m:rPr/>
              <w:rPr>
                <w:sz w:val="24"/>
                <w:szCs w:val="24"/>
              </w:rPr>
              <m:t>i</m:t>
            </m:r>
            <m:r>
              <m:rPr>
                <m:sty m:val="p"/>
              </m:rPr>
              <w:rPr>
                <w:sz w:val="24"/>
                <w:szCs w:val="24"/>
              </w:rPr>
              <m:t>,</m:t>
            </m:r>
            <m:r>
              <m:rPr/>
              <w:rPr>
                <w:sz w:val="24"/>
                <w:szCs w:val="24"/>
              </w:rPr>
              <m:t>t</m:t>
            </m:r>
            <m:ctrlPr>
              <w:rPr>
                <w:sz w:val="24"/>
                <w:szCs w:val="24"/>
              </w:rPr>
            </m:ctrlPr>
          </m:sub>
        </m:sSub>
      </m:oMath>
      <w:r>
        <w:rPr>
          <w:sz w:val="24"/>
          <w:szCs w:val="24"/>
        </w:rPr>
        <w:t xml:space="preserve"> </w:t>
      </w:r>
      <w:r>
        <w:rPr>
          <w:rFonts w:hint="eastAsia"/>
          <w:sz w:val="24"/>
          <w:szCs w:val="24"/>
        </w:rPr>
        <w:t>为股票</w:t>
      </w:r>
      <w:r>
        <w:rPr>
          <w:sz w:val="24"/>
          <w:szCs w:val="24"/>
        </w:rPr>
        <w:t xml:space="preserve"> </w:t>
      </w:r>
      <m:oMath>
        <m:r>
          <m:rPr/>
          <w:rPr>
            <w:sz w:val="24"/>
            <w:szCs w:val="24"/>
          </w:rPr>
          <m:t>i</m:t>
        </m:r>
      </m:oMath>
      <w:r>
        <w:rPr>
          <w:sz w:val="24"/>
          <w:szCs w:val="24"/>
        </w:rPr>
        <w:t xml:space="preserve"> </w:t>
      </w:r>
      <w:r>
        <w:rPr>
          <w:rFonts w:hint="eastAsia"/>
          <w:sz w:val="24"/>
          <w:szCs w:val="24"/>
        </w:rPr>
        <w:t>在第</w:t>
      </w:r>
      <w:r>
        <w:rPr>
          <w:sz w:val="24"/>
          <w:szCs w:val="24"/>
        </w:rPr>
        <w:t xml:space="preserve"> </w:t>
      </w:r>
      <m:oMath>
        <m:r>
          <m:rPr/>
          <w:rPr>
            <w:sz w:val="24"/>
            <w:szCs w:val="24"/>
          </w:rPr>
          <m:t>t</m:t>
        </m:r>
      </m:oMath>
      <w:r>
        <w:rPr>
          <w:sz w:val="24"/>
          <w:szCs w:val="24"/>
        </w:rPr>
        <w:t xml:space="preserve"> </w:t>
      </w:r>
      <w:r>
        <w:rPr>
          <w:rFonts w:hint="eastAsia"/>
          <w:sz w:val="24"/>
          <w:szCs w:val="24"/>
        </w:rPr>
        <w:t>日的前复权收盘价，</w:t>
      </w:r>
      <m:oMath>
        <m:sSub>
          <m:sSubPr>
            <m:ctrlPr>
              <w:rPr>
                <w:sz w:val="24"/>
                <w:szCs w:val="24"/>
              </w:rPr>
            </m:ctrlPr>
          </m:sSubPr>
          <m:e>
            <m:r>
              <m:rPr/>
              <w:rPr>
                <w:sz w:val="24"/>
                <w:szCs w:val="24"/>
              </w:rPr>
              <m:t>P</m:t>
            </m:r>
            <m:ctrlPr>
              <w:rPr>
                <w:sz w:val="24"/>
                <w:szCs w:val="24"/>
              </w:rPr>
            </m:ctrlPr>
          </m:e>
          <m:sub>
            <m:r>
              <m:rPr/>
              <w:rPr>
                <w:sz w:val="24"/>
                <w:szCs w:val="24"/>
              </w:rPr>
              <m:t>i</m:t>
            </m:r>
            <m:r>
              <m:rPr>
                <m:sty m:val="p"/>
              </m:rPr>
              <w:rPr>
                <w:sz w:val="24"/>
                <w:szCs w:val="24"/>
              </w:rPr>
              <m:t>,</m:t>
            </m:r>
            <m:r>
              <m:rPr/>
              <w:rPr>
                <w:sz w:val="24"/>
                <w:szCs w:val="24"/>
              </w:rPr>
              <m:t>t</m:t>
            </m:r>
            <m:r>
              <m:rPr>
                <m:sty m:val="p"/>
              </m:rPr>
              <w:rPr>
                <w:sz w:val="24"/>
                <w:szCs w:val="24"/>
              </w:rPr>
              <m:t>−</m:t>
            </m:r>
            <m:r>
              <m:rPr/>
              <w:rPr>
                <w:sz w:val="24"/>
                <w:szCs w:val="24"/>
              </w:rPr>
              <m:t>60</m:t>
            </m:r>
            <m:ctrlPr>
              <w:rPr>
                <w:sz w:val="24"/>
                <w:szCs w:val="24"/>
              </w:rPr>
            </m:ctrlPr>
          </m:sub>
        </m:sSub>
      </m:oMath>
      <w:r>
        <w:rPr>
          <w:sz w:val="24"/>
          <w:szCs w:val="24"/>
        </w:rPr>
        <w:t xml:space="preserve"> </w:t>
      </w:r>
      <w:r>
        <w:rPr>
          <w:rFonts w:hint="eastAsia"/>
          <w:sz w:val="24"/>
          <w:szCs w:val="24"/>
        </w:rPr>
        <w:t>为60个交易日前的收盘价。EPS</w:t>
      </w:r>
      <w:r>
        <w:rPr>
          <w:sz w:val="24"/>
          <w:szCs w:val="24"/>
        </w:rPr>
        <w:t xml:space="preserve"> </w:t>
      </w:r>
      <w:r>
        <w:rPr>
          <w:rFonts w:hint="eastAsia"/>
          <w:sz w:val="24"/>
          <w:szCs w:val="24"/>
        </w:rPr>
        <w:t>为滚动12个月每股收益（TTM）。</w:t>
      </w:r>
    </w:p>
    <w:p w14:paraId="37A5A060">
      <w:pPr>
        <w:pStyle w:val="3"/>
        <w:rPr>
          <w:sz w:val="24"/>
          <w:szCs w:val="24"/>
        </w:rPr>
      </w:pPr>
      <w:r>
        <w:rPr>
          <w:rFonts w:hint="eastAsia"/>
          <w:b/>
          <w:bCs/>
          <w:sz w:val="24"/>
          <w:szCs w:val="24"/>
        </w:rPr>
        <w:t>原始取值范围</w:t>
      </w:r>
      <w:r>
        <w:rPr>
          <w:rFonts w:hint="eastAsia"/>
          <w:sz w:val="24"/>
          <w:szCs w:val="24"/>
        </w:rPr>
        <w:t>（回测期间实际数据）：</w:t>
      </w:r>
    </w:p>
    <w:tbl>
      <w:tblPr>
        <w:tblStyle w:val="41"/>
        <w:tblW w:w="0" w:type="auto"/>
        <w:tblInd w:w="0" w:type="dxa"/>
        <w:tblLayout w:type="autofit"/>
        <w:tblCellMar>
          <w:top w:w="0" w:type="dxa"/>
          <w:left w:w="108" w:type="dxa"/>
          <w:bottom w:w="0" w:type="dxa"/>
          <w:right w:w="108" w:type="dxa"/>
        </w:tblCellMar>
      </w:tblPr>
      <w:tblGrid>
        <w:gridCol w:w="2168"/>
        <w:gridCol w:w="696"/>
        <w:gridCol w:w="1017"/>
        <w:gridCol w:w="1201"/>
        <w:gridCol w:w="1068"/>
      </w:tblGrid>
      <w:tr w14:paraId="19E5F5D6">
        <w:trPr>
          <w:tblHeader/>
        </w:trPr>
        <w:tc>
          <w:tcPr>
            <w:tcBorders>
              <w:top w:val="single" w:color="000000" w:sz="12" w:space="0"/>
              <w:left w:val="nil"/>
              <w:bottom w:val="single" w:color="000000" w:sz="4" w:space="0"/>
              <w:right w:val="nil"/>
              <w:tl2br w:val="nil"/>
            </w:tcBorders>
            <w:shd w:val="clear" w:color="auto" w:fill="FFFFFF"/>
          </w:tcPr>
          <w:p w14:paraId="3A0474B9">
            <w:pPr>
              <w:pStyle w:val="24"/>
              <w:jc w:val="left"/>
              <w:rPr>
                <w:b w:val="0"/>
                <w:color w:val="000000"/>
                <w:sz w:val="24"/>
                <w:szCs w:val="24"/>
              </w:rPr>
            </w:pPr>
            <w:r>
              <w:rPr>
                <w:rFonts w:hint="eastAsia"/>
                <w:b w:val="0"/>
                <w:color w:val="000000"/>
                <w:sz w:val="24"/>
                <w:szCs w:val="24"/>
              </w:rPr>
              <w:t>因子</w:t>
            </w:r>
          </w:p>
        </w:tc>
        <w:tc>
          <w:tcPr>
            <w:tcBorders>
              <w:top w:val="single" w:color="000000" w:sz="12" w:space="0"/>
              <w:left w:val="nil"/>
              <w:bottom w:val="single" w:color="000000" w:sz="4" w:space="0"/>
              <w:right w:val="nil"/>
            </w:tcBorders>
            <w:shd w:val="clear" w:color="auto" w:fill="FFFFFF"/>
          </w:tcPr>
          <w:p w14:paraId="2A6078FB">
            <w:pPr>
              <w:pStyle w:val="24"/>
              <w:jc w:val="left"/>
              <w:rPr>
                <w:b w:val="0"/>
                <w:color w:val="000000"/>
                <w:sz w:val="24"/>
                <w:szCs w:val="24"/>
              </w:rPr>
            </w:pPr>
            <w:r>
              <w:rPr>
                <w:rFonts w:hint="eastAsia"/>
                <w:b w:val="0"/>
                <w:color w:val="000000"/>
                <w:sz w:val="24"/>
                <w:szCs w:val="24"/>
              </w:rPr>
              <w:t>单位</w:t>
            </w:r>
          </w:p>
        </w:tc>
        <w:tc>
          <w:tcPr>
            <w:tcBorders>
              <w:top w:val="single" w:color="000000" w:sz="12" w:space="0"/>
              <w:left w:val="nil"/>
              <w:bottom w:val="single" w:color="000000" w:sz="4" w:space="0"/>
              <w:right w:val="nil"/>
            </w:tcBorders>
            <w:shd w:val="clear" w:color="auto" w:fill="FFFFFF"/>
          </w:tcPr>
          <w:p w14:paraId="2579B1AF">
            <w:pPr>
              <w:pStyle w:val="24"/>
              <w:jc w:val="right"/>
              <w:rPr>
                <w:b w:val="0"/>
                <w:color w:val="000000"/>
                <w:sz w:val="24"/>
                <w:szCs w:val="24"/>
              </w:rPr>
            </w:pPr>
            <w:r>
              <w:rPr>
                <w:rFonts w:hint="eastAsia"/>
                <w:b w:val="0"/>
                <w:color w:val="000000"/>
                <w:sz w:val="24"/>
                <w:szCs w:val="24"/>
              </w:rPr>
              <w:t>最小值</w:t>
            </w:r>
          </w:p>
        </w:tc>
        <w:tc>
          <w:tcPr>
            <w:tcBorders>
              <w:top w:val="single" w:color="000000" w:sz="12" w:space="0"/>
              <w:left w:val="nil"/>
              <w:bottom w:val="single" w:color="000000" w:sz="4" w:space="0"/>
              <w:right w:val="nil"/>
            </w:tcBorders>
            <w:shd w:val="clear" w:color="auto" w:fill="FFFFFF"/>
          </w:tcPr>
          <w:p w14:paraId="525DBD09">
            <w:pPr>
              <w:pStyle w:val="24"/>
              <w:jc w:val="right"/>
              <w:rPr>
                <w:b w:val="0"/>
                <w:color w:val="000000"/>
                <w:sz w:val="24"/>
                <w:szCs w:val="24"/>
              </w:rPr>
            </w:pPr>
            <w:r>
              <w:rPr>
                <w:rFonts w:hint="eastAsia"/>
                <w:b w:val="0"/>
                <w:color w:val="000000"/>
                <w:sz w:val="24"/>
                <w:szCs w:val="24"/>
              </w:rPr>
              <w:t>最大值</w:t>
            </w:r>
          </w:p>
        </w:tc>
        <w:tc>
          <w:tcPr>
            <w:tcBorders>
              <w:top w:val="single" w:color="000000" w:sz="12" w:space="0"/>
              <w:left w:val="nil"/>
              <w:bottom w:val="single" w:color="000000" w:sz="4" w:space="0"/>
              <w:right w:val="nil"/>
            </w:tcBorders>
            <w:shd w:val="clear" w:color="auto" w:fill="FFFFFF"/>
          </w:tcPr>
          <w:p w14:paraId="0A4B8CCA">
            <w:pPr>
              <w:pStyle w:val="24"/>
              <w:jc w:val="right"/>
              <w:rPr>
                <w:b w:val="0"/>
                <w:color w:val="000000"/>
                <w:sz w:val="24"/>
                <w:szCs w:val="24"/>
              </w:rPr>
            </w:pPr>
            <w:r>
              <w:rPr>
                <w:rFonts w:hint="eastAsia"/>
                <w:b w:val="0"/>
                <w:color w:val="000000"/>
                <w:sz w:val="24"/>
                <w:szCs w:val="24"/>
              </w:rPr>
              <w:t>均值</w:t>
            </w:r>
          </w:p>
        </w:tc>
      </w:tr>
      <w:tr w14:paraId="3D649BD4">
        <w:tc>
          <w:tcPr>
            <w:tcBorders>
              <w:top w:val="single" w:color="000000" w:sz="4" w:space="0"/>
              <w:left w:val="nil"/>
              <w:bottom w:val="nil"/>
              <w:right w:val="nil"/>
            </w:tcBorders>
            <w:shd w:val="clear" w:color="auto" w:fill="FFFFFF"/>
          </w:tcPr>
          <w:p w14:paraId="4FE0F94F">
            <w:pPr>
              <w:pStyle w:val="24"/>
              <w:jc w:val="left"/>
              <w:rPr>
                <w:b w:val="0"/>
                <w:color w:val="000000"/>
                <w:sz w:val="24"/>
                <w:szCs w:val="24"/>
              </w:rPr>
            </w:pPr>
            <w:r>
              <w:rPr>
                <w:rFonts w:hint="eastAsia"/>
                <w:b w:val="0"/>
                <w:color w:val="000000"/>
                <w:sz w:val="24"/>
                <w:szCs w:val="24"/>
              </w:rPr>
              <w:t>动量</w:t>
            </w:r>
            <w:r>
              <w:rPr>
                <w:b w:val="0"/>
                <w:color w:val="000000"/>
                <w:sz w:val="24"/>
                <w:szCs w:val="24"/>
              </w:rPr>
              <w:t xml:space="preserve"> </w:t>
            </w:r>
            <w:r>
              <w:rPr>
                <w:rFonts w:hint="eastAsia"/>
                <w:b w:val="0"/>
                <w:color w:val="000000"/>
                <w:sz w:val="24"/>
                <w:szCs w:val="24"/>
              </w:rPr>
              <w:t>(60日收益率)</w:t>
            </w:r>
          </w:p>
        </w:tc>
        <w:tc>
          <w:tcPr>
            <w:tcBorders>
              <w:top w:val="single" w:color="000000" w:sz="4" w:space="0"/>
              <w:left w:val="nil"/>
              <w:bottom w:val="nil"/>
              <w:right w:val="nil"/>
            </w:tcBorders>
            <w:shd w:val="clear" w:color="auto" w:fill="FFFFFF"/>
          </w:tcPr>
          <w:p w14:paraId="20D0EDF5">
            <w:pPr>
              <w:pStyle w:val="24"/>
              <w:jc w:val="left"/>
              <w:rPr>
                <w:b w:val="0"/>
                <w:color w:val="000000"/>
                <w:sz w:val="24"/>
                <w:szCs w:val="24"/>
              </w:rPr>
            </w:pPr>
            <w:r>
              <w:rPr>
                <w:b w:val="0"/>
                <w:color w:val="000000"/>
                <w:sz w:val="24"/>
                <w:szCs w:val="24"/>
              </w:rPr>
              <w:t>—</w:t>
            </w:r>
          </w:p>
        </w:tc>
        <w:tc>
          <w:tcPr>
            <w:tcBorders>
              <w:top w:val="single" w:color="000000" w:sz="4" w:space="0"/>
              <w:left w:val="nil"/>
              <w:bottom w:val="nil"/>
              <w:right w:val="nil"/>
            </w:tcBorders>
            <w:shd w:val="clear" w:color="auto" w:fill="FFFFFF"/>
          </w:tcPr>
          <w:p w14:paraId="08600529">
            <w:pPr>
              <w:pStyle w:val="24"/>
              <w:jc w:val="right"/>
              <w:rPr>
                <w:b w:val="0"/>
                <w:color w:val="000000"/>
                <w:sz w:val="24"/>
                <w:szCs w:val="24"/>
              </w:rPr>
            </w:pPr>
            <w:r>
              <w:rPr>
                <w:b w:val="0"/>
                <w:color w:val="000000"/>
                <w:sz w:val="24"/>
                <w:szCs w:val="24"/>
              </w:rPr>
              <w:t>-23.8%</w:t>
            </w:r>
          </w:p>
        </w:tc>
        <w:tc>
          <w:tcPr>
            <w:tcBorders>
              <w:top w:val="single" w:color="000000" w:sz="4" w:space="0"/>
              <w:left w:val="nil"/>
              <w:bottom w:val="nil"/>
              <w:right w:val="nil"/>
            </w:tcBorders>
            <w:shd w:val="clear" w:color="auto" w:fill="FFFFFF"/>
          </w:tcPr>
          <w:p w14:paraId="2F7DAA2A">
            <w:pPr>
              <w:pStyle w:val="24"/>
              <w:jc w:val="right"/>
              <w:rPr>
                <w:b w:val="0"/>
                <w:color w:val="000000"/>
                <w:sz w:val="24"/>
                <w:szCs w:val="24"/>
              </w:rPr>
            </w:pPr>
            <w:r>
              <w:rPr>
                <w:b w:val="0"/>
                <w:color w:val="000000"/>
                <w:sz w:val="24"/>
                <w:szCs w:val="24"/>
              </w:rPr>
              <w:t>+242.8%</w:t>
            </w:r>
          </w:p>
        </w:tc>
        <w:tc>
          <w:tcPr>
            <w:tcBorders>
              <w:top w:val="single" w:color="000000" w:sz="4" w:space="0"/>
              <w:left w:val="nil"/>
              <w:bottom w:val="nil"/>
              <w:right w:val="nil"/>
            </w:tcBorders>
            <w:shd w:val="clear" w:color="auto" w:fill="FFFFFF"/>
          </w:tcPr>
          <w:p w14:paraId="3A10CD23">
            <w:pPr>
              <w:pStyle w:val="24"/>
              <w:jc w:val="right"/>
              <w:rPr>
                <w:b w:val="0"/>
                <w:color w:val="000000"/>
                <w:sz w:val="24"/>
                <w:szCs w:val="24"/>
              </w:rPr>
            </w:pPr>
            <w:r>
              <w:rPr>
                <w:b w:val="0"/>
                <w:color w:val="000000"/>
                <w:sz w:val="24"/>
                <w:szCs w:val="24"/>
              </w:rPr>
              <w:t>+29.8%</w:t>
            </w:r>
          </w:p>
        </w:tc>
      </w:tr>
      <w:tr w14:paraId="3A9B022C">
        <w:tc>
          <w:tcPr>
            <w:tcBorders>
              <w:top w:val="nil"/>
              <w:left w:val="nil"/>
              <w:bottom w:val="nil"/>
              <w:right w:val="nil"/>
            </w:tcBorders>
            <w:shd w:val="clear" w:color="auto" w:fill="FFFFFF"/>
          </w:tcPr>
          <w:p w14:paraId="51FB51C5">
            <w:pPr>
              <w:pStyle w:val="24"/>
              <w:jc w:val="left"/>
              <w:rPr>
                <w:b w:val="0"/>
                <w:color w:val="000000"/>
                <w:sz w:val="24"/>
                <w:szCs w:val="24"/>
              </w:rPr>
            </w:pPr>
            <w:r>
              <w:rPr>
                <w:b w:val="0"/>
                <w:color w:val="000000"/>
                <w:sz w:val="24"/>
                <w:szCs w:val="24"/>
              </w:rPr>
              <w:t>ROE</w:t>
            </w:r>
          </w:p>
        </w:tc>
        <w:tc>
          <w:tcPr>
            <w:tcBorders>
              <w:top w:val="nil"/>
              <w:left w:val="nil"/>
              <w:bottom w:val="nil"/>
              <w:right w:val="nil"/>
            </w:tcBorders>
            <w:shd w:val="clear" w:color="auto" w:fill="FFFFFF"/>
          </w:tcPr>
          <w:p w14:paraId="52E47BB1">
            <w:pPr>
              <w:pStyle w:val="24"/>
              <w:jc w:val="left"/>
              <w:rPr>
                <w:b w:val="0"/>
                <w:color w:val="000000"/>
                <w:sz w:val="24"/>
                <w:szCs w:val="24"/>
              </w:rPr>
            </w:pPr>
            <w:r>
              <w:rPr>
                <w:b w:val="0"/>
                <w:color w:val="000000"/>
                <w:sz w:val="24"/>
                <w:szCs w:val="24"/>
              </w:rPr>
              <w:t>%</w:t>
            </w:r>
          </w:p>
        </w:tc>
        <w:tc>
          <w:tcPr>
            <w:tcBorders>
              <w:top w:val="nil"/>
              <w:left w:val="nil"/>
              <w:bottom w:val="nil"/>
              <w:right w:val="nil"/>
            </w:tcBorders>
            <w:shd w:val="clear" w:color="auto" w:fill="FFFFFF"/>
          </w:tcPr>
          <w:p w14:paraId="567C5331">
            <w:pPr>
              <w:pStyle w:val="24"/>
              <w:jc w:val="right"/>
              <w:rPr>
                <w:b w:val="0"/>
                <w:color w:val="000000"/>
                <w:sz w:val="24"/>
                <w:szCs w:val="24"/>
              </w:rPr>
            </w:pPr>
            <w:r>
              <w:rPr>
                <w:b w:val="0"/>
                <w:color w:val="000000"/>
                <w:sz w:val="24"/>
                <w:szCs w:val="24"/>
              </w:rPr>
              <w:t>1.84</w:t>
            </w:r>
          </w:p>
        </w:tc>
        <w:tc>
          <w:tcPr>
            <w:tcBorders>
              <w:top w:val="nil"/>
              <w:left w:val="nil"/>
              <w:bottom w:val="nil"/>
              <w:right w:val="nil"/>
            </w:tcBorders>
            <w:shd w:val="clear" w:color="auto" w:fill="FFFFFF"/>
          </w:tcPr>
          <w:p w14:paraId="38C4BBDA">
            <w:pPr>
              <w:pStyle w:val="24"/>
              <w:jc w:val="right"/>
              <w:rPr>
                <w:b w:val="0"/>
                <w:color w:val="000000"/>
                <w:sz w:val="24"/>
                <w:szCs w:val="24"/>
              </w:rPr>
            </w:pPr>
            <w:r>
              <w:rPr>
                <w:b w:val="0"/>
                <w:color w:val="000000"/>
                <w:sz w:val="24"/>
                <w:szCs w:val="24"/>
              </w:rPr>
              <w:t>50.52</w:t>
            </w:r>
          </w:p>
        </w:tc>
        <w:tc>
          <w:tcPr>
            <w:tcBorders>
              <w:top w:val="nil"/>
              <w:left w:val="nil"/>
              <w:bottom w:val="nil"/>
              <w:right w:val="nil"/>
            </w:tcBorders>
            <w:shd w:val="clear" w:color="auto" w:fill="FFFFFF"/>
          </w:tcPr>
          <w:p w14:paraId="205E62E0">
            <w:pPr>
              <w:pStyle w:val="24"/>
              <w:jc w:val="right"/>
              <w:rPr>
                <w:b w:val="0"/>
                <w:color w:val="000000"/>
                <w:sz w:val="24"/>
                <w:szCs w:val="24"/>
              </w:rPr>
            </w:pPr>
            <w:r>
              <w:rPr>
                <w:b w:val="0"/>
                <w:color w:val="000000"/>
                <w:sz w:val="24"/>
                <w:szCs w:val="24"/>
              </w:rPr>
              <w:t>13.97</w:t>
            </w:r>
          </w:p>
        </w:tc>
      </w:tr>
      <w:tr w14:paraId="504E9058">
        <w:tc>
          <w:tcPr>
            <w:tcBorders>
              <w:top w:val="nil"/>
              <w:left w:val="nil"/>
              <w:bottom w:val="single" w:color="000000" w:sz="12" w:space="0"/>
              <w:right w:val="nil"/>
            </w:tcBorders>
            <w:shd w:val="clear" w:color="auto" w:fill="FFFFFF"/>
          </w:tcPr>
          <w:p w14:paraId="45A96881">
            <w:pPr>
              <w:pStyle w:val="24"/>
              <w:jc w:val="left"/>
              <w:rPr>
                <w:b w:val="0"/>
                <w:color w:val="000000"/>
                <w:sz w:val="24"/>
                <w:szCs w:val="24"/>
              </w:rPr>
            </w:pPr>
            <w:r>
              <w:rPr>
                <w:b w:val="0"/>
                <w:color w:val="000000"/>
                <w:sz w:val="24"/>
                <w:szCs w:val="24"/>
              </w:rPr>
              <w:t>PE (TTM)</w:t>
            </w:r>
          </w:p>
        </w:tc>
        <w:tc>
          <w:tcPr>
            <w:tcBorders>
              <w:top w:val="nil"/>
              <w:left w:val="nil"/>
              <w:bottom w:val="single" w:color="000000" w:sz="12" w:space="0"/>
              <w:right w:val="nil"/>
            </w:tcBorders>
            <w:shd w:val="clear" w:color="auto" w:fill="FFFFFF"/>
          </w:tcPr>
          <w:p w14:paraId="0F981B65">
            <w:pPr>
              <w:pStyle w:val="24"/>
              <w:jc w:val="left"/>
              <w:rPr>
                <w:b w:val="0"/>
                <w:color w:val="000000"/>
                <w:sz w:val="24"/>
                <w:szCs w:val="24"/>
              </w:rPr>
            </w:pPr>
            <w:r>
              <w:rPr>
                <w:rFonts w:hint="eastAsia"/>
                <w:b w:val="0"/>
                <w:color w:val="000000"/>
                <w:sz w:val="24"/>
                <w:szCs w:val="24"/>
              </w:rPr>
              <w:t>倍</w:t>
            </w:r>
          </w:p>
        </w:tc>
        <w:tc>
          <w:tcPr>
            <w:tcBorders>
              <w:top w:val="nil"/>
              <w:left w:val="nil"/>
              <w:bottom w:val="single" w:color="000000" w:sz="12" w:space="0"/>
              <w:right w:val="nil"/>
            </w:tcBorders>
            <w:shd w:val="clear" w:color="auto" w:fill="FFFFFF"/>
          </w:tcPr>
          <w:p w14:paraId="5C783A8C">
            <w:pPr>
              <w:pStyle w:val="24"/>
              <w:jc w:val="right"/>
              <w:rPr>
                <w:b w:val="0"/>
                <w:color w:val="000000"/>
                <w:sz w:val="24"/>
                <w:szCs w:val="24"/>
              </w:rPr>
            </w:pPr>
            <w:r>
              <w:rPr>
                <w:b w:val="0"/>
                <w:color w:val="000000"/>
                <w:sz w:val="24"/>
                <w:szCs w:val="24"/>
              </w:rPr>
              <w:t>13.46</w:t>
            </w:r>
          </w:p>
        </w:tc>
        <w:tc>
          <w:tcPr>
            <w:tcBorders>
              <w:top w:val="nil"/>
              <w:left w:val="nil"/>
              <w:bottom w:val="single" w:color="000000" w:sz="12" w:space="0"/>
              <w:right w:val="nil"/>
            </w:tcBorders>
            <w:shd w:val="clear" w:color="auto" w:fill="FFFFFF"/>
          </w:tcPr>
          <w:p w14:paraId="17E7956B">
            <w:pPr>
              <w:pStyle w:val="24"/>
              <w:jc w:val="right"/>
              <w:rPr>
                <w:b w:val="0"/>
                <w:color w:val="000000"/>
                <w:sz w:val="24"/>
                <w:szCs w:val="24"/>
              </w:rPr>
            </w:pPr>
            <w:r>
              <w:rPr>
                <w:b w:val="0"/>
                <w:color w:val="000000"/>
                <w:sz w:val="24"/>
                <w:szCs w:val="24"/>
              </w:rPr>
              <w:t>158.79</w:t>
            </w:r>
          </w:p>
        </w:tc>
        <w:tc>
          <w:tcPr>
            <w:tcBorders>
              <w:top w:val="nil"/>
              <w:left w:val="nil"/>
              <w:bottom w:val="single" w:color="000000" w:sz="12" w:space="0"/>
              <w:right w:val="nil"/>
            </w:tcBorders>
            <w:shd w:val="clear" w:color="auto" w:fill="FFFFFF"/>
          </w:tcPr>
          <w:p w14:paraId="68B8931F">
            <w:pPr>
              <w:pStyle w:val="24"/>
              <w:jc w:val="right"/>
              <w:rPr>
                <w:b w:val="0"/>
                <w:color w:val="000000"/>
                <w:sz w:val="24"/>
                <w:szCs w:val="24"/>
              </w:rPr>
            </w:pPr>
            <w:r>
              <w:rPr>
                <w:b w:val="0"/>
                <w:color w:val="000000"/>
                <w:sz w:val="24"/>
                <w:szCs w:val="24"/>
              </w:rPr>
              <w:t>55.72</w:t>
            </w:r>
          </w:p>
        </w:tc>
      </w:tr>
    </w:tbl>
    <w:p w14:paraId="4D142537">
      <w:pPr>
        <w:pStyle w:val="3"/>
        <w:rPr>
          <w:sz w:val="24"/>
          <w:szCs w:val="24"/>
        </w:rPr>
      </w:pPr>
      <w:r>
        <w:rPr>
          <w:rFonts w:hint="eastAsia"/>
          <w:sz w:val="24"/>
          <w:szCs w:val="24"/>
        </w:rPr>
        <w:t>三个因子的量纲差异极大（动量为比率、ROE</w:t>
      </w:r>
      <w:r>
        <w:rPr>
          <w:sz w:val="24"/>
          <w:szCs w:val="24"/>
        </w:rPr>
        <w:t xml:space="preserve"> </w:t>
      </w:r>
      <w:r>
        <w:rPr>
          <w:rFonts w:hint="eastAsia"/>
          <w:sz w:val="24"/>
          <w:szCs w:val="24"/>
        </w:rPr>
        <w:t>为百分比、PE</w:t>
      </w:r>
      <w:r>
        <w:rPr>
          <w:sz w:val="24"/>
          <w:szCs w:val="24"/>
        </w:rPr>
        <w:t xml:space="preserve"> </w:t>
      </w:r>
      <w:r>
        <w:rPr>
          <w:rFonts w:hint="eastAsia"/>
          <w:sz w:val="24"/>
          <w:szCs w:val="24"/>
        </w:rPr>
        <w:t>为倍数），直接相加无意义，因此每个调仓日截面内做</w:t>
      </w:r>
      <w:r>
        <w:rPr>
          <w:sz w:val="24"/>
          <w:szCs w:val="24"/>
        </w:rPr>
        <w:t xml:space="preserve"> Z-score </w:t>
      </w:r>
      <w:r>
        <w:rPr>
          <w:rFonts w:hint="eastAsia"/>
          <w:sz w:val="24"/>
          <w:szCs w:val="24"/>
        </w:rPr>
        <w:t>标准化</w:t>
      </w:r>
      <w:r>
        <w:rPr>
          <w:sz w:val="24"/>
          <w:szCs w:val="24"/>
        </w:rPr>
        <w:t xml:space="preserve"> (Wilks, 1938; Bachelet et al., </w:t>
      </w:r>
      <w:r>
        <w:rPr>
          <w:rFonts w:hint="eastAsia"/>
          <w:sz w:val="24"/>
          <w:szCs w:val="24"/>
        </w:rPr>
        <w:t>2024)：</w:t>
      </w:r>
    </w:p>
    <w:p w14:paraId="5168D304">
      <w:pPr>
        <w:pStyle w:val="3"/>
        <w:rPr>
          <w:sz w:val="24"/>
          <w:szCs w:val="24"/>
        </w:rPr>
      </w:pPr>
      <m:oMathPara>
        <m:oMathParaPr>
          <m:jc m:val="center"/>
        </m:oMathParaPr>
        <m:oMath>
          <m:sSub>
            <m:sSubPr>
              <m:ctrlPr>
                <w:rPr>
                  <w:sz w:val="24"/>
                  <w:szCs w:val="24"/>
                </w:rPr>
              </m:ctrlPr>
            </m:sSubPr>
            <m:e>
              <m:r>
                <m:rPr/>
                <w:rPr>
                  <w:sz w:val="24"/>
                  <w:szCs w:val="24"/>
                </w:rPr>
                <m:t>Z</m:t>
              </m:r>
              <m:ctrlPr>
                <w:rPr>
                  <w:sz w:val="24"/>
                  <w:szCs w:val="24"/>
                </w:rPr>
              </m:ctrlPr>
            </m:e>
            <m:sub>
              <m:r>
                <m:rPr/>
                <w:rPr>
                  <w:sz w:val="24"/>
                  <w:szCs w:val="24"/>
                </w:rPr>
                <m:t>i</m:t>
              </m:r>
              <m:ctrlPr>
                <w:rPr>
                  <w:sz w:val="24"/>
                  <w:szCs w:val="24"/>
                </w:rPr>
              </m:ctrlPr>
            </m:sub>
          </m:sSub>
          <m:r>
            <m:rPr>
              <m:sty m:val="p"/>
            </m:rPr>
            <w:rPr>
              <w:sz w:val="24"/>
              <w:szCs w:val="24"/>
            </w:rPr>
            <m:t>=</m:t>
          </m:r>
          <m:f>
            <m:fPr>
              <m:ctrlPr>
                <w:rPr>
                  <w:sz w:val="24"/>
                  <w:szCs w:val="24"/>
                </w:rPr>
              </m:ctrlPr>
            </m:fPr>
            <m:num>
              <m:sSub>
                <m:sSubPr>
                  <m:ctrlPr>
                    <w:rPr>
                      <w:sz w:val="24"/>
                      <w:szCs w:val="24"/>
                    </w:rPr>
                  </m:ctrlPr>
                </m:sSubPr>
                <m:e>
                  <m:r>
                    <m:rPr/>
                    <w:rPr>
                      <w:sz w:val="24"/>
                      <w:szCs w:val="24"/>
                    </w:rPr>
                    <m:t>x</m:t>
                  </m:r>
                  <m:ctrlPr>
                    <w:rPr>
                      <w:sz w:val="24"/>
                      <w:szCs w:val="24"/>
                    </w:rPr>
                  </m:ctrlPr>
                </m:e>
                <m:sub>
                  <m:r>
                    <m:rPr/>
                    <w:rPr>
                      <w:sz w:val="24"/>
                      <w:szCs w:val="24"/>
                    </w:rPr>
                    <m:t>i</m:t>
                  </m:r>
                  <m:ctrlPr>
                    <w:rPr>
                      <w:sz w:val="24"/>
                      <w:szCs w:val="24"/>
                    </w:rPr>
                  </m:ctrlPr>
                </m:sub>
              </m:sSub>
              <m:r>
                <m:rPr>
                  <m:sty m:val="p"/>
                </m:rPr>
                <w:rPr>
                  <w:sz w:val="24"/>
                  <w:szCs w:val="24"/>
                </w:rPr>
                <m:t>−</m:t>
              </m:r>
              <m:acc>
                <m:accPr>
                  <m:chr m:val="‾"/>
                  <m:ctrlPr>
                    <w:rPr>
                      <w:sz w:val="24"/>
                      <w:szCs w:val="24"/>
                    </w:rPr>
                  </m:ctrlPr>
                </m:accPr>
                <m:e>
                  <m:r>
                    <m:rPr/>
                    <w:rPr>
                      <w:sz w:val="24"/>
                      <w:szCs w:val="24"/>
                    </w:rPr>
                    <m:t>x</m:t>
                  </m:r>
                  <m:ctrlPr>
                    <w:rPr>
                      <w:sz w:val="24"/>
                      <w:szCs w:val="24"/>
                    </w:rPr>
                  </m:ctrlPr>
                </m:e>
              </m:acc>
              <m:ctrlPr>
                <w:rPr>
                  <w:sz w:val="24"/>
                  <w:szCs w:val="24"/>
                </w:rPr>
              </m:ctrlPr>
            </m:num>
            <m:den>
              <m:sSub>
                <m:sSubPr>
                  <m:ctrlPr>
                    <w:rPr>
                      <w:sz w:val="24"/>
                      <w:szCs w:val="24"/>
                    </w:rPr>
                  </m:ctrlPr>
                </m:sSubPr>
                <m:e>
                  <m:r>
                    <m:rPr/>
                    <w:rPr>
                      <w:sz w:val="24"/>
                      <w:szCs w:val="24"/>
                    </w:rPr>
                    <m:t>σ</m:t>
                  </m:r>
                  <m:ctrlPr>
                    <w:rPr>
                      <w:sz w:val="24"/>
                      <w:szCs w:val="24"/>
                    </w:rPr>
                  </m:ctrlPr>
                </m:e>
                <m:sub>
                  <m:r>
                    <m:rPr/>
                    <w:rPr>
                      <w:sz w:val="24"/>
                      <w:szCs w:val="24"/>
                    </w:rPr>
                    <m:t>x</m:t>
                  </m:r>
                  <m:ctrlPr>
                    <w:rPr>
                      <w:sz w:val="24"/>
                      <w:szCs w:val="24"/>
                    </w:rPr>
                  </m:ctrlPr>
                </m:sub>
              </m:sSub>
              <m:ctrlPr>
                <w:rPr>
                  <w:sz w:val="24"/>
                  <w:szCs w:val="24"/>
                </w:rPr>
              </m:ctrlPr>
            </m:den>
          </m:f>
        </m:oMath>
      </m:oMathPara>
    </w:p>
    <w:p w14:paraId="665FF23A">
      <w:pPr>
        <w:pStyle w:val="23"/>
        <w:rPr>
          <w:sz w:val="24"/>
          <w:szCs w:val="24"/>
        </w:rPr>
      </w:pPr>
      <w:r>
        <w:rPr>
          <w:rFonts w:hint="eastAsia"/>
          <w:sz w:val="24"/>
          <w:szCs w:val="24"/>
        </w:rPr>
        <w:t>标准化后各因子均值约为0、标准差约为1，取值范围约在</w:t>
      </w:r>
      <w:r>
        <w:rPr>
          <w:sz w:val="24"/>
          <w:szCs w:val="24"/>
        </w:rPr>
        <w:t xml:space="preserve"> </w:t>
      </w:r>
      <m:oMath>
        <m:r>
          <m:rPr>
            <m:sty m:val="p"/>
          </m:rPr>
          <w:rPr>
            <w:sz w:val="24"/>
            <w:szCs w:val="24"/>
          </w:rPr>
          <m:t>[−</m:t>
        </m:r>
        <m:r>
          <m:rPr/>
          <w:rPr>
            <w:sz w:val="24"/>
            <w:szCs w:val="24"/>
          </w:rPr>
          <m:t>3</m:t>
        </m:r>
        <m:r>
          <m:rPr>
            <m:sty m:val="p"/>
          </m:rPr>
          <w:rPr>
            <w:sz w:val="24"/>
            <w:szCs w:val="24"/>
          </w:rPr>
          <m:t>,+</m:t>
        </m:r>
        <m:r>
          <m:rPr/>
          <w:rPr>
            <w:sz w:val="24"/>
            <w:szCs w:val="24"/>
          </w:rPr>
          <m:t>3</m:t>
        </m:r>
        <m:r>
          <m:rPr>
            <m:sty m:val="p"/>
          </m:rPr>
          <w:rPr>
            <w:sz w:val="24"/>
            <w:szCs w:val="24"/>
          </w:rPr>
          <m:t>]</m:t>
        </m:r>
      </m:oMath>
      <w:r>
        <w:rPr>
          <w:rFonts w:hint="eastAsia"/>
          <w:sz w:val="24"/>
          <w:szCs w:val="24"/>
        </w:rPr>
        <w:t>。综合评分为：</w:t>
      </w:r>
    </w:p>
    <w:p w14:paraId="3A6EE202">
      <w:pPr>
        <w:pStyle w:val="3"/>
        <w:rPr>
          <w:sz w:val="24"/>
          <w:szCs w:val="24"/>
        </w:rPr>
      </w:pPr>
      <m:oMathPara>
        <m:oMathParaPr>
          <m:jc m:val="center"/>
        </m:oMathParaPr>
        <m:oMath>
          <m:sSub>
            <m:sSubPr>
              <m:ctrlPr>
                <w:rPr>
                  <w:sz w:val="24"/>
                  <w:szCs w:val="24"/>
                </w:rPr>
              </m:ctrlPr>
            </m:sSubPr>
            <m:e>
              <m:r>
                <m:rPr>
                  <m:nor/>
                  <m:sty m:val="p"/>
                </m:rPr>
                <w:rPr>
                  <w:b w:val="0"/>
                  <w:i w:val="0"/>
                  <w:sz w:val="24"/>
                  <w:szCs w:val="24"/>
                </w:rPr>
                <m:t>Score</m:t>
              </m:r>
              <m:ctrlPr>
                <w:rPr>
                  <w:sz w:val="24"/>
                  <w:szCs w:val="24"/>
                </w:rPr>
              </m:ctrlPr>
            </m:e>
            <m:sub>
              <m:r>
                <m:rPr/>
                <w:rPr>
                  <w:sz w:val="24"/>
                  <w:szCs w:val="24"/>
                </w:rPr>
                <m:t>i</m:t>
              </m:r>
              <m:ctrlPr>
                <w:rPr>
                  <w:sz w:val="24"/>
                  <w:szCs w:val="24"/>
                </w:rPr>
              </m:ctrlPr>
            </m:sub>
          </m:sSub>
          <m:r>
            <m:rPr>
              <m:sty m:val="p"/>
            </m:rPr>
            <w:rPr>
              <w:sz w:val="24"/>
              <w:szCs w:val="24"/>
            </w:rPr>
            <m:t>=</m:t>
          </m:r>
          <m:r>
            <m:rPr/>
            <w:rPr>
              <w:sz w:val="24"/>
              <w:szCs w:val="24"/>
            </w:rPr>
            <m:t>0.4</m:t>
          </m:r>
          <m:r>
            <m:rPr>
              <m:sty m:val="p"/>
            </m:rPr>
            <w:rPr>
              <w:sz w:val="24"/>
              <w:szCs w:val="24"/>
            </w:rPr>
            <m:t>×</m:t>
          </m:r>
          <m:sSub>
            <m:sSubPr>
              <m:ctrlPr>
                <w:rPr>
                  <w:sz w:val="24"/>
                  <w:szCs w:val="24"/>
                </w:rPr>
              </m:ctrlPr>
            </m:sSubPr>
            <m:e>
              <m:r>
                <m:rPr/>
                <w:rPr>
                  <w:sz w:val="24"/>
                  <w:szCs w:val="24"/>
                </w:rPr>
                <m:t>Z</m:t>
              </m:r>
              <m:ctrlPr>
                <w:rPr>
                  <w:sz w:val="24"/>
                  <w:szCs w:val="24"/>
                </w:rPr>
              </m:ctrlPr>
            </m:e>
            <m:sub>
              <m:r>
                <m:rPr>
                  <m:nor/>
                  <m:sty m:val="p"/>
                </m:rPr>
                <w:rPr>
                  <w:b w:val="0"/>
                  <w:i w:val="0"/>
                  <w:sz w:val="24"/>
                  <w:szCs w:val="24"/>
                </w:rPr>
                <m:t>MOM</m:t>
              </m:r>
              <m:r>
                <m:rPr>
                  <m:nor/>
                  <m:sty m:val="p"/>
                </m:rPr>
                <w:rPr>
                  <w:b w:val="0"/>
                  <w:i w:val="0"/>
                  <w:sz w:val="24"/>
                  <w:szCs w:val="24"/>
                </w:rPr>
                <m:t>,</m:t>
              </m:r>
              <m:r>
                <m:rPr/>
                <w:rPr>
                  <w:sz w:val="24"/>
                  <w:szCs w:val="24"/>
                </w:rPr>
                <m:t>i</m:t>
              </m:r>
              <m:ctrlPr>
                <w:rPr>
                  <w:sz w:val="24"/>
                  <w:szCs w:val="24"/>
                </w:rPr>
              </m:ctrlPr>
            </m:sub>
          </m:sSub>
          <m:r>
            <m:rPr>
              <m:sty m:val="p"/>
            </m:rPr>
            <w:rPr>
              <w:sz w:val="24"/>
              <w:szCs w:val="24"/>
            </w:rPr>
            <m:t>+</m:t>
          </m:r>
          <m:r>
            <m:rPr/>
            <w:rPr>
              <w:sz w:val="24"/>
              <w:szCs w:val="24"/>
            </w:rPr>
            <m:t>0.3</m:t>
          </m:r>
          <m:r>
            <m:rPr>
              <m:sty m:val="p"/>
            </m:rPr>
            <w:rPr>
              <w:sz w:val="24"/>
              <w:szCs w:val="24"/>
            </w:rPr>
            <m:t>×</m:t>
          </m:r>
          <m:sSub>
            <m:sSubPr>
              <m:ctrlPr>
                <w:rPr>
                  <w:sz w:val="24"/>
                  <w:szCs w:val="24"/>
                </w:rPr>
              </m:ctrlPr>
            </m:sSubPr>
            <m:e>
              <m:r>
                <m:rPr/>
                <w:rPr>
                  <w:sz w:val="24"/>
                  <w:szCs w:val="24"/>
                </w:rPr>
                <m:t>Z</m:t>
              </m:r>
              <m:ctrlPr>
                <w:rPr>
                  <w:sz w:val="24"/>
                  <w:szCs w:val="24"/>
                </w:rPr>
              </m:ctrlPr>
            </m:e>
            <m:sub>
              <m:r>
                <m:rPr>
                  <m:nor/>
                  <m:sty m:val="p"/>
                </m:rPr>
                <w:rPr>
                  <w:b w:val="0"/>
                  <w:i w:val="0"/>
                  <w:sz w:val="24"/>
                  <w:szCs w:val="24"/>
                </w:rPr>
                <m:t>ROE</m:t>
              </m:r>
              <m:r>
                <m:rPr>
                  <m:nor/>
                  <m:sty m:val="p"/>
                </m:rPr>
                <w:rPr>
                  <w:b w:val="0"/>
                  <w:i w:val="0"/>
                  <w:sz w:val="24"/>
                  <w:szCs w:val="24"/>
                </w:rPr>
                <m:t>,</m:t>
              </m:r>
              <m:r>
                <m:rPr/>
                <w:rPr>
                  <w:sz w:val="24"/>
                  <w:szCs w:val="24"/>
                </w:rPr>
                <m:t>i</m:t>
              </m:r>
              <m:ctrlPr>
                <w:rPr>
                  <w:sz w:val="24"/>
                  <w:szCs w:val="24"/>
                </w:rPr>
              </m:ctrlPr>
            </m:sub>
          </m:sSub>
          <m:r>
            <m:rPr>
              <m:sty m:val="p"/>
            </m:rPr>
            <w:rPr>
              <w:sz w:val="24"/>
              <w:szCs w:val="24"/>
            </w:rPr>
            <m:t>+</m:t>
          </m:r>
          <m:r>
            <m:rPr/>
            <w:rPr>
              <w:sz w:val="24"/>
              <w:szCs w:val="24"/>
            </w:rPr>
            <m:t>0.3</m:t>
          </m:r>
          <m:r>
            <m:rPr>
              <m:sty m:val="p"/>
            </m:rPr>
            <w:rPr>
              <w:sz w:val="24"/>
              <w:szCs w:val="24"/>
            </w:rPr>
            <m:t>×</m:t>
          </m:r>
          <m:sSub>
            <m:sSubPr>
              <m:ctrlPr>
                <w:rPr>
                  <w:sz w:val="24"/>
                  <w:szCs w:val="24"/>
                </w:rPr>
              </m:ctrlPr>
            </m:sSubPr>
            <m:e>
              <m:r>
                <m:rPr/>
                <w:rPr>
                  <w:sz w:val="24"/>
                  <w:szCs w:val="24"/>
                </w:rPr>
                <m:t>Z</m:t>
              </m:r>
              <m:ctrlPr>
                <w:rPr>
                  <w:sz w:val="24"/>
                  <w:szCs w:val="24"/>
                </w:rPr>
              </m:ctrlPr>
            </m:e>
            <m:sub>
              <m:r>
                <m:rPr>
                  <m:nor/>
                  <m:sty m:val="p"/>
                </m:rPr>
                <w:rPr>
                  <w:b w:val="0"/>
                  <w:i w:val="0"/>
                  <w:sz w:val="24"/>
                  <w:szCs w:val="24"/>
                </w:rPr>
                <m:t>-PE</m:t>
              </m:r>
              <m:r>
                <m:rPr>
                  <m:nor/>
                  <m:sty m:val="p"/>
                </m:rPr>
                <w:rPr>
                  <w:b w:val="0"/>
                  <w:i w:val="0"/>
                  <w:sz w:val="24"/>
                  <w:szCs w:val="24"/>
                </w:rPr>
                <m:t>,</m:t>
              </m:r>
              <m:r>
                <m:rPr/>
                <w:rPr>
                  <w:sz w:val="24"/>
                  <w:szCs w:val="24"/>
                </w:rPr>
                <m:t>i</m:t>
              </m:r>
              <m:ctrlPr>
                <w:rPr>
                  <w:sz w:val="24"/>
                  <w:szCs w:val="24"/>
                </w:rPr>
              </m:ctrlPr>
            </m:sub>
          </m:sSub>
        </m:oMath>
      </m:oMathPara>
    </w:p>
    <w:p w14:paraId="4CAEF649">
      <w:pPr>
        <w:pStyle w:val="23"/>
        <w:rPr>
          <w:sz w:val="24"/>
          <w:szCs w:val="24"/>
        </w:rPr>
      </w:pPr>
      <w:r>
        <w:rPr>
          <w:rFonts w:hint="eastAsia"/>
          <w:sz w:val="24"/>
          <w:szCs w:val="24"/>
        </w:rPr>
        <w:t>多因子线性加权组合的方法论参见</w:t>
      </w:r>
      <w:r>
        <w:rPr>
          <w:sz w:val="24"/>
          <w:szCs w:val="24"/>
        </w:rPr>
        <w:t xml:space="preserve"> Fama &amp; French (1993) </w:t>
      </w:r>
      <w:r>
        <w:rPr>
          <w:rFonts w:hint="eastAsia"/>
          <w:sz w:val="24"/>
          <w:szCs w:val="24"/>
        </w:rPr>
        <w:t>和</w:t>
      </w:r>
      <w:r>
        <w:rPr>
          <w:sz w:val="24"/>
          <w:szCs w:val="24"/>
        </w:rPr>
        <w:t xml:space="preserve"> Carhart (1997)。</w:t>
      </w:r>
    </w:p>
    <w:p w14:paraId="30F757B5">
      <w:pPr>
        <w:pStyle w:val="3"/>
        <w:rPr>
          <w:sz w:val="24"/>
          <w:szCs w:val="24"/>
        </w:rPr>
      </w:pPr>
      <w:r>
        <w:rPr>
          <w:rFonts w:hint="eastAsia"/>
          <w:b/>
          <w:bCs/>
          <w:sz w:val="24"/>
          <w:szCs w:val="24"/>
        </w:rPr>
        <w:t>权重设定依据</w:t>
      </w:r>
      <w:r>
        <w:rPr>
          <w:rFonts w:hint="eastAsia"/>
          <w:sz w:val="24"/>
          <w:szCs w:val="24"/>
        </w:rPr>
        <w:t>：</w:t>
      </w:r>
    </w:p>
    <w:p w14:paraId="7725A847">
      <w:pPr>
        <w:pStyle w:val="3"/>
        <w:rPr>
          <w:sz w:val="24"/>
          <w:szCs w:val="24"/>
        </w:rPr>
      </w:pPr>
      <w:r>
        <w:rPr>
          <w:rFonts w:hint="eastAsia"/>
          <w:sz w:val="24"/>
          <w:szCs w:val="24"/>
        </w:rPr>
        <w:t>动量因子权重</w:t>
      </w:r>
      <w:r>
        <w:rPr>
          <w:sz w:val="24"/>
          <w:szCs w:val="24"/>
        </w:rPr>
        <w:t xml:space="preserve"> 0.4 </w:t>
      </w:r>
      <w:r>
        <w:rPr>
          <w:rFonts w:hint="eastAsia"/>
          <w:sz w:val="24"/>
          <w:szCs w:val="24"/>
        </w:rPr>
        <w:t>高于质量和价值因子的</w:t>
      </w:r>
      <w:r>
        <w:rPr>
          <w:sz w:val="24"/>
          <w:szCs w:val="24"/>
        </w:rPr>
        <w:t xml:space="preserve"> </w:t>
      </w:r>
      <w:r>
        <w:rPr>
          <w:rFonts w:hint="eastAsia"/>
          <w:sz w:val="24"/>
          <w:szCs w:val="24"/>
        </w:rPr>
        <w:t>0.3，原因有三：（1）在A股市场，动量效应在3-6个月周期上具有较强的截面预测力</w:t>
      </w:r>
      <w:r>
        <w:rPr>
          <w:sz w:val="24"/>
          <w:szCs w:val="24"/>
        </w:rPr>
        <w:t xml:space="preserve"> (Jegadeesh &amp; Titman, 1993; Asness, Moskowitz &amp; Pedersen, </w:t>
      </w:r>
      <w:r>
        <w:rPr>
          <w:rFonts w:hint="eastAsia"/>
          <w:sz w:val="24"/>
          <w:szCs w:val="24"/>
        </w:rPr>
        <w:t>2013)，尤其对成长型行业（如半导体），赋予更高权重可放大选股</w:t>
      </w:r>
      <w:r>
        <w:rPr>
          <w:sz w:val="24"/>
          <w:szCs w:val="24"/>
        </w:rPr>
        <w:t xml:space="preserve"> </w:t>
      </w:r>
      <w:r>
        <w:rPr>
          <w:rFonts w:hint="eastAsia"/>
          <w:sz w:val="24"/>
          <w:szCs w:val="24"/>
        </w:rPr>
        <w:t>alpha；（2）ROE</w:t>
      </w:r>
      <w:r>
        <w:rPr>
          <w:sz w:val="24"/>
          <w:szCs w:val="24"/>
        </w:rPr>
        <w:t xml:space="preserve"> </w:t>
      </w:r>
      <w:r>
        <w:rPr>
          <w:rFonts w:hint="eastAsia"/>
          <w:sz w:val="24"/>
          <w:szCs w:val="24"/>
        </w:rPr>
        <w:t>和</w:t>
      </w:r>
      <w:r>
        <w:rPr>
          <w:sz w:val="24"/>
          <w:szCs w:val="24"/>
        </w:rPr>
        <w:t xml:space="preserve"> PE </w:t>
      </w:r>
      <w:r>
        <w:rPr>
          <w:rFonts w:hint="eastAsia"/>
          <w:sz w:val="24"/>
          <w:szCs w:val="24"/>
        </w:rPr>
        <w:t>属于基本面慢变量——ROE</w:t>
      </w:r>
      <w:r>
        <w:rPr>
          <w:sz w:val="24"/>
          <w:szCs w:val="24"/>
        </w:rPr>
        <w:t xml:space="preserve"> </w:t>
      </w:r>
      <w:r>
        <w:rPr>
          <w:rFonts w:hint="eastAsia"/>
          <w:sz w:val="24"/>
          <w:szCs w:val="24"/>
        </w:rPr>
        <w:t>按季报更新、PE</w:t>
      </w:r>
      <w:r>
        <w:rPr>
          <w:sz w:val="24"/>
          <w:szCs w:val="24"/>
        </w:rPr>
        <w:t xml:space="preserve"> </w:t>
      </w:r>
      <w:r>
        <w:rPr>
          <w:rFonts w:hint="eastAsia"/>
          <w:sz w:val="24"/>
          <w:szCs w:val="24"/>
        </w:rPr>
        <w:t>随价格每日变动但分子</w:t>
      </w:r>
      <w:r>
        <w:rPr>
          <w:sz w:val="24"/>
          <w:szCs w:val="24"/>
        </w:rPr>
        <w:t xml:space="preserve"> EPS </w:t>
      </w:r>
      <w:r>
        <w:rPr>
          <w:rFonts w:hint="eastAsia"/>
          <w:sz w:val="24"/>
          <w:szCs w:val="24"/>
        </w:rPr>
        <w:t>同样滞后，两者对月度调仓的边际区分度低于动量</w:t>
      </w:r>
      <w:r>
        <w:rPr>
          <w:sz w:val="24"/>
          <w:szCs w:val="24"/>
        </w:rPr>
        <w:t xml:space="preserve"> (Novy-Marx, 2013; Lakonishok, Shleifer &amp; Vishny, </w:t>
      </w:r>
      <w:r>
        <w:rPr>
          <w:rFonts w:hint="eastAsia"/>
          <w:sz w:val="24"/>
          <w:szCs w:val="24"/>
        </w:rPr>
        <w:t>1994)；（3）质量与价值各占0.3、权重相等，体现二者作为”筛选锚”而非”排序引擎”的定位——它们确保选出的股票在盈利和估值上不过度偏离，但排序主要由动量驱动。这一</w:t>
      </w:r>
      <w:r>
        <w:rPr>
          <w:sz w:val="24"/>
          <w:szCs w:val="24"/>
        </w:rPr>
        <w:t xml:space="preserve"> 4:3:3 </w:t>
      </w:r>
      <w:r>
        <w:rPr>
          <w:rFonts w:hint="eastAsia"/>
          <w:sz w:val="24"/>
          <w:szCs w:val="24"/>
        </w:rPr>
        <w:t>的配比在回测中取得了210.8%的总收益，验证了动量主导、基本面辅助的配置逻辑。</w:t>
      </w:r>
    </w:p>
    <w:bookmarkEnd w:id="16"/>
    <w:p w14:paraId="59EAB573">
      <w:pPr>
        <w:pStyle w:val="5"/>
        <w:jc w:val="center"/>
        <w:rPr>
          <w:sz w:val="24"/>
          <w:szCs w:val="24"/>
        </w:rPr>
      </w:pPr>
      <w:bookmarkStart w:id="17" w:name="选股流程"/>
      <w:r>
        <w:rPr>
          <w:rFonts w:hint="eastAsia"/>
          <w:sz w:val="24"/>
          <w:szCs w:val="24"/>
        </w:rPr>
        <w:t>选股流程</w:t>
      </w:r>
    </w:p>
    <w:bookmarkEnd w:id="17"/>
    <w:p w14:paraId="0EF310A6">
      <w:pPr>
        <w:pStyle w:val="5"/>
        <w:jc w:val="center"/>
      </w:pPr>
      <w:bookmarkStart w:id="18" w:name="风控规则"/>
      <w:r>
        <w:drawing>
          <wp:inline distT="0" distB="0" distL="114300" distR="114300">
            <wp:extent cx="2835275" cy="7603490"/>
            <wp:effectExtent l="0" t="0" r="9525" b="16510"/>
            <wp:docPr id="1"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3"/>
                    <pic:cNvPicPr>
                      <a:picLocks noChangeAspect="1"/>
                    </pic:cNvPicPr>
                  </pic:nvPicPr>
                  <pic:blipFill>
                    <a:blip r:embed="rId5"/>
                    <a:stretch>
                      <a:fillRect/>
                    </a:stretch>
                  </pic:blipFill>
                  <pic:spPr>
                    <a:xfrm>
                      <a:off x="0" y="0"/>
                      <a:ext cx="2835275" cy="7603490"/>
                    </a:xfrm>
                    <a:prstGeom prst="rect">
                      <a:avLst/>
                    </a:prstGeom>
                    <a:noFill/>
                    <a:ln>
                      <a:noFill/>
                    </a:ln>
                  </pic:spPr>
                </pic:pic>
              </a:graphicData>
            </a:graphic>
          </wp:inline>
        </w:drawing>
      </w:r>
    </w:p>
    <w:p w14:paraId="33C517A0">
      <w:pPr>
        <w:pStyle w:val="5"/>
        <w:jc w:val="both"/>
        <w:rPr>
          <w:sz w:val="24"/>
          <w:szCs w:val="24"/>
        </w:rPr>
      </w:pPr>
      <w:r>
        <w:rPr>
          <w:rFonts w:hint="eastAsia"/>
          <w:sz w:val="24"/>
          <w:szCs w:val="24"/>
        </w:rPr>
        <w:t>风控规则</w:t>
      </w:r>
    </w:p>
    <w:p w14:paraId="4A9CEFB9">
      <w:pPr>
        <w:pStyle w:val="23"/>
        <w:rPr>
          <w:sz w:val="24"/>
          <w:szCs w:val="24"/>
        </w:rPr>
      </w:pPr>
      <w:r>
        <w:rPr>
          <w:rFonts w:hint="eastAsia"/>
          <w:sz w:val="24"/>
          <w:szCs w:val="24"/>
        </w:rPr>
        <w:t>15%回撤控制：每日监控组合净值，若相对历史峰值的回撤超过15%，则全部转为现金（收益率为0），直至下一个调仓日重新按规则建仓。</w:t>
      </w:r>
    </w:p>
    <w:bookmarkEnd w:id="15"/>
    <w:bookmarkEnd w:id="18"/>
    <w:p w14:paraId="42D05F69">
      <w:pPr>
        <w:pStyle w:val="4"/>
        <w:rPr>
          <w:sz w:val="24"/>
          <w:szCs w:val="24"/>
        </w:rPr>
      </w:pPr>
      <w:bookmarkStart w:id="19" w:name="可复现步骤"/>
      <w:r>
        <w:rPr>
          <w:sz w:val="24"/>
          <w:szCs w:val="24"/>
        </w:rPr>
        <w:t xml:space="preserve">3.2 </w:t>
      </w:r>
      <w:r>
        <w:rPr>
          <w:rFonts w:hint="eastAsia"/>
          <w:sz w:val="24"/>
          <w:szCs w:val="24"/>
        </w:rPr>
        <w:t>可复现步骤</w:t>
      </w:r>
    </w:p>
    <w:p w14:paraId="18240774">
      <w:pPr>
        <w:pStyle w:val="24"/>
        <w:numPr>
          <w:ilvl w:val="0"/>
          <w:numId w:val="2"/>
        </w:numPr>
        <w:rPr>
          <w:sz w:val="24"/>
          <w:szCs w:val="24"/>
        </w:rPr>
      </w:pPr>
      <w:r>
        <w:rPr>
          <w:rFonts w:hint="eastAsia"/>
          <w:b/>
          <w:bCs/>
          <w:sz w:val="24"/>
          <w:szCs w:val="24"/>
        </w:rPr>
        <w:t>读取数据</w:t>
      </w:r>
      <w:r>
        <w:rPr>
          <w:rFonts w:hint="eastAsia"/>
          <w:sz w:val="24"/>
          <w:szCs w:val="24"/>
        </w:rPr>
        <w:t>：从本地</w:t>
      </w:r>
      <w:r>
        <w:rPr>
          <w:sz w:val="24"/>
          <w:szCs w:val="24"/>
        </w:rPr>
        <w:t xml:space="preserve"> CSV </w:t>
      </w:r>
      <w:r>
        <w:rPr>
          <w:rFonts w:hint="eastAsia"/>
          <w:sz w:val="24"/>
          <w:szCs w:val="24"/>
        </w:rPr>
        <w:t>加载17只A股日线数据，通过</w:t>
      </w:r>
      <w:r>
        <w:rPr>
          <w:sz w:val="24"/>
          <w:szCs w:val="24"/>
        </w:rPr>
        <w:t xml:space="preserve"> AKShare </w:t>
      </w:r>
      <w:r>
        <w:rPr>
          <w:rFonts w:hint="eastAsia"/>
          <w:sz w:val="24"/>
          <w:szCs w:val="24"/>
        </w:rPr>
        <w:t>在线获取2只港股日线和1只ETF日线（含手动前复权），合并为统一格式；在线获取全部20只股票的</w:t>
      </w:r>
      <w:r>
        <w:rPr>
          <w:sz w:val="24"/>
          <w:szCs w:val="24"/>
        </w:rPr>
        <w:t xml:space="preserve"> PE </w:t>
      </w:r>
      <w:r>
        <w:rPr>
          <w:rFonts w:hint="eastAsia"/>
          <w:sz w:val="24"/>
          <w:szCs w:val="24"/>
        </w:rPr>
        <w:t>和</w:t>
      </w:r>
      <w:r>
        <w:rPr>
          <w:sz w:val="24"/>
          <w:szCs w:val="24"/>
        </w:rPr>
        <w:t xml:space="preserve"> ROE。</w:t>
      </w:r>
    </w:p>
    <w:p w14:paraId="338ED4C8">
      <w:pPr>
        <w:pStyle w:val="24"/>
        <w:numPr>
          <w:ilvl w:val="0"/>
          <w:numId w:val="2"/>
        </w:numPr>
        <w:rPr>
          <w:sz w:val="24"/>
          <w:szCs w:val="24"/>
        </w:rPr>
      </w:pPr>
      <w:r>
        <w:rPr>
          <w:rFonts w:hint="eastAsia"/>
          <w:b/>
          <w:bCs/>
          <w:sz w:val="24"/>
          <w:szCs w:val="24"/>
        </w:rPr>
        <w:t>清洗与对齐</w:t>
      </w:r>
      <w:r>
        <w:rPr>
          <w:rFonts w:hint="eastAsia"/>
          <w:sz w:val="24"/>
          <w:szCs w:val="24"/>
        </w:rPr>
        <w:t>：按交易日对齐，处理港股/ETF缺失字段，通过</w:t>
      </w:r>
      <w:r>
        <w:rPr>
          <w:sz w:val="24"/>
          <w:szCs w:val="24"/>
        </w:rPr>
        <w:t xml:space="preserve"> </w:t>
      </w:r>
      <w:r>
        <w:rPr>
          <w:rStyle w:val="48"/>
          <w:sz w:val="24"/>
          <w:szCs w:val="24"/>
        </w:rPr>
        <w:t>last_common_date()</w:t>
      </w:r>
      <w:r>
        <w:rPr>
          <w:sz w:val="24"/>
          <w:szCs w:val="24"/>
        </w:rPr>
        <w:t xml:space="preserve"> </w:t>
      </w:r>
      <w:r>
        <w:rPr>
          <w:rFonts w:hint="eastAsia"/>
          <w:sz w:val="24"/>
          <w:szCs w:val="24"/>
        </w:rPr>
        <w:t>取每月共有交易日，计算每日个股前复权收益率。</w:t>
      </w:r>
    </w:p>
    <w:p w14:paraId="1CFA89A9">
      <w:pPr>
        <w:pStyle w:val="24"/>
        <w:numPr>
          <w:ilvl w:val="0"/>
          <w:numId w:val="2"/>
        </w:numPr>
        <w:rPr>
          <w:sz w:val="24"/>
          <w:szCs w:val="24"/>
        </w:rPr>
      </w:pPr>
      <w:r>
        <w:rPr>
          <w:rFonts w:hint="eastAsia"/>
          <w:b/>
          <w:bCs/>
          <w:sz w:val="24"/>
          <w:szCs w:val="24"/>
        </w:rPr>
        <w:t>因子计算与选股</w:t>
      </w:r>
      <w:r>
        <w:rPr>
          <w:rFonts w:hint="eastAsia"/>
          <w:sz w:val="24"/>
          <w:szCs w:val="24"/>
        </w:rPr>
        <w:t>：计算60日动量和120日均线，均线过滤后对</w:t>
      </w:r>
      <w:r>
        <w:rPr>
          <w:sz w:val="24"/>
          <w:szCs w:val="24"/>
        </w:rPr>
        <w:t xml:space="preserve"> </w:t>
      </w:r>
      <w:r>
        <w:rPr>
          <w:rFonts w:hint="eastAsia"/>
          <w:sz w:val="24"/>
          <w:szCs w:val="24"/>
        </w:rPr>
        <w:t>PE/ROE/动量做</w:t>
      </w:r>
      <w:r>
        <w:rPr>
          <w:sz w:val="24"/>
          <w:szCs w:val="24"/>
        </w:rPr>
        <w:t xml:space="preserve"> Z-score </w:t>
      </w:r>
      <w:r>
        <w:rPr>
          <w:rFonts w:hint="eastAsia"/>
          <w:sz w:val="24"/>
          <w:szCs w:val="24"/>
        </w:rPr>
        <w:t>截面标准化，按</w:t>
      </w:r>
      <w:r>
        <w:rPr>
          <w:sz w:val="24"/>
          <w:szCs w:val="24"/>
        </w:rPr>
        <w:t xml:space="preserve"> </w:t>
      </w:r>
      <w:r>
        <w:rPr>
          <w:rStyle w:val="48"/>
          <w:rFonts w:hint="eastAsia"/>
          <w:sz w:val="24"/>
          <w:szCs w:val="24"/>
        </w:rPr>
        <w:t>0.4×动量</w:t>
      </w:r>
      <w:r>
        <w:rPr>
          <w:rStyle w:val="48"/>
          <w:sz w:val="24"/>
          <w:szCs w:val="24"/>
        </w:rPr>
        <w:t xml:space="preserve"> + 0.3×ROE + 0.3×(-PE)</w:t>
      </w:r>
      <w:r>
        <w:rPr>
          <w:sz w:val="24"/>
          <w:szCs w:val="24"/>
        </w:rPr>
        <w:t xml:space="preserve"> </w:t>
      </w:r>
      <w:r>
        <w:rPr>
          <w:rFonts w:hint="eastAsia"/>
          <w:sz w:val="24"/>
          <w:szCs w:val="24"/>
        </w:rPr>
        <w:t>综合评分排序，选前5只等权建仓。</w:t>
      </w:r>
    </w:p>
    <w:p w14:paraId="6AC02B94">
      <w:pPr>
        <w:pStyle w:val="24"/>
        <w:numPr>
          <w:ilvl w:val="0"/>
          <w:numId w:val="2"/>
        </w:numPr>
        <w:rPr>
          <w:sz w:val="24"/>
          <w:szCs w:val="24"/>
        </w:rPr>
      </w:pPr>
      <w:r>
        <w:rPr>
          <w:rFonts w:hint="eastAsia"/>
          <w:b/>
          <w:bCs/>
          <w:sz w:val="24"/>
          <w:szCs w:val="24"/>
        </w:rPr>
        <w:t>构建组合净值</w:t>
      </w:r>
      <w:r>
        <w:rPr>
          <w:rFonts w:hint="eastAsia"/>
          <w:sz w:val="24"/>
          <w:szCs w:val="24"/>
        </w:rPr>
        <w:t>：每日按持仓个股收益率加权更新组合净值，若回撤超过15%则全部转现金直至下月调仓日。</w:t>
      </w:r>
    </w:p>
    <w:p w14:paraId="3EA6CEFB">
      <w:pPr>
        <w:pStyle w:val="24"/>
        <w:numPr>
          <w:ilvl w:val="0"/>
          <w:numId w:val="2"/>
        </w:numPr>
        <w:rPr>
          <w:sz w:val="24"/>
          <w:szCs w:val="24"/>
        </w:rPr>
      </w:pPr>
      <w:r>
        <w:rPr>
          <w:rFonts w:hint="eastAsia"/>
          <w:b/>
          <w:bCs/>
          <w:sz w:val="24"/>
          <w:szCs w:val="24"/>
        </w:rPr>
        <w:t>计算风险指标</w:t>
      </w:r>
      <w:r>
        <w:rPr>
          <w:rFonts w:hint="eastAsia"/>
          <w:sz w:val="24"/>
          <w:szCs w:val="24"/>
        </w:rPr>
        <w:t>：年化收益率、年化波动率、最大回撤、夏普比率、卡玛比率等。</w:t>
      </w:r>
    </w:p>
    <w:p w14:paraId="19FAE0B1">
      <w:pPr>
        <w:pStyle w:val="24"/>
        <w:numPr>
          <w:ilvl w:val="0"/>
          <w:numId w:val="2"/>
        </w:numPr>
        <w:rPr>
          <w:sz w:val="24"/>
          <w:szCs w:val="24"/>
        </w:rPr>
      </w:pPr>
      <w:r>
        <w:rPr>
          <w:rFonts w:hint="eastAsia"/>
          <w:b/>
          <w:bCs/>
          <w:sz w:val="24"/>
          <w:szCs w:val="24"/>
        </w:rPr>
        <w:t>生成图表</w:t>
      </w:r>
      <w:r>
        <w:rPr>
          <w:rFonts w:hint="eastAsia"/>
          <w:sz w:val="24"/>
          <w:szCs w:val="24"/>
        </w:rPr>
        <w:t>：净值曲线、回撤曲线、月度收益热力图，并输出绩效统计表。</w:t>
      </w:r>
    </w:p>
    <w:bookmarkEnd w:id="14"/>
    <w:bookmarkEnd w:id="19"/>
    <w:p w14:paraId="04431822">
      <w:pPr>
        <w:pStyle w:val="2"/>
        <w:rPr>
          <w:sz w:val="24"/>
          <w:szCs w:val="24"/>
        </w:rPr>
      </w:pPr>
      <w:bookmarkStart w:id="20" w:name="第4章-核心结果10只股票组合"/>
      <w:r>
        <w:rPr>
          <w:rFonts w:hint="eastAsia"/>
          <w:sz w:val="24"/>
          <w:szCs w:val="24"/>
        </w:rPr>
        <w:t>第4章</w:t>
      </w:r>
      <w:r>
        <w:rPr>
          <w:sz w:val="24"/>
          <w:szCs w:val="24"/>
        </w:rPr>
        <w:t xml:space="preserve"> </w:t>
      </w:r>
      <w:r>
        <w:rPr>
          <w:rFonts w:hint="eastAsia"/>
          <w:sz w:val="24"/>
          <w:szCs w:val="24"/>
        </w:rPr>
        <w:t>核心结果（10只股票组合）</w:t>
      </w:r>
    </w:p>
    <w:p w14:paraId="4CF14553">
      <w:pPr>
        <w:pStyle w:val="4"/>
        <w:rPr>
          <w:sz w:val="24"/>
          <w:szCs w:val="24"/>
        </w:rPr>
      </w:pPr>
      <w:bookmarkStart w:id="21" w:name="执行摘要"/>
      <w:r>
        <w:rPr>
          <w:sz w:val="24"/>
          <w:szCs w:val="24"/>
        </w:rPr>
        <w:t xml:space="preserve">4.1 </w:t>
      </w:r>
      <w:r>
        <w:rPr>
          <w:rFonts w:hint="eastAsia"/>
          <w:sz w:val="24"/>
          <w:szCs w:val="24"/>
        </w:rPr>
        <w:t>执行摘要</w:t>
      </w:r>
    </w:p>
    <w:p w14:paraId="292D5611">
      <w:pPr>
        <w:pStyle w:val="24"/>
        <w:numPr>
          <w:ilvl w:val="0"/>
          <w:numId w:val="1"/>
        </w:numPr>
        <w:rPr>
          <w:sz w:val="24"/>
          <w:szCs w:val="24"/>
        </w:rPr>
      </w:pPr>
      <w:r>
        <w:rPr>
          <w:rFonts w:hint="eastAsia"/>
          <w:b/>
          <w:bCs/>
          <w:sz w:val="24"/>
          <w:szCs w:val="24"/>
        </w:rPr>
        <w:t>组合总收益率</w:t>
      </w:r>
      <w:r>
        <w:rPr>
          <w:rFonts w:hint="eastAsia"/>
          <w:sz w:val="24"/>
          <w:szCs w:val="24"/>
        </w:rPr>
        <w:t>：</w:t>
      </w:r>
      <w:r>
        <w:rPr>
          <w:b/>
          <w:bCs/>
          <w:sz w:val="24"/>
          <w:szCs w:val="24"/>
        </w:rPr>
        <w:t>+210.8%</w:t>
      </w:r>
      <w:r>
        <w:rPr>
          <w:rFonts w:hint="eastAsia"/>
          <w:sz w:val="24"/>
          <w:szCs w:val="24"/>
        </w:rPr>
        <w:t>（年化约</w:t>
      </w:r>
      <w:r>
        <w:rPr>
          <w:sz w:val="24"/>
          <w:szCs w:val="24"/>
        </w:rPr>
        <w:t xml:space="preserve"> </w:t>
      </w:r>
      <w:r>
        <w:rPr>
          <w:rFonts w:hint="eastAsia"/>
          <w:sz w:val="24"/>
          <w:szCs w:val="24"/>
        </w:rPr>
        <w:t>123.2%）</w:t>
      </w:r>
    </w:p>
    <w:p w14:paraId="76D307B4">
      <w:pPr>
        <w:pStyle w:val="24"/>
        <w:numPr>
          <w:ilvl w:val="0"/>
          <w:numId w:val="1"/>
        </w:numPr>
        <w:rPr>
          <w:sz w:val="24"/>
          <w:szCs w:val="24"/>
        </w:rPr>
      </w:pPr>
      <w:r>
        <w:rPr>
          <w:rFonts w:hint="eastAsia"/>
          <w:b/>
          <w:bCs/>
          <w:sz w:val="24"/>
          <w:szCs w:val="24"/>
        </w:rPr>
        <w:t>超额收益（vs</w:t>
      </w:r>
      <w:r>
        <w:rPr>
          <w:b/>
          <w:bCs/>
          <w:sz w:val="24"/>
          <w:szCs w:val="24"/>
        </w:rPr>
        <w:t xml:space="preserve"> </w:t>
      </w:r>
      <w:r>
        <w:rPr>
          <w:rFonts w:hint="eastAsia"/>
          <w:b/>
          <w:bCs/>
          <w:sz w:val="24"/>
          <w:szCs w:val="24"/>
        </w:rPr>
        <w:t>沪深300）</w:t>
      </w:r>
      <w:r>
        <w:rPr>
          <w:rFonts w:hint="eastAsia"/>
          <w:sz w:val="24"/>
          <w:szCs w:val="24"/>
        </w:rPr>
        <w:t>：</w:t>
      </w:r>
      <w:r>
        <w:rPr>
          <w:b/>
          <w:bCs/>
          <w:sz w:val="24"/>
          <w:szCs w:val="24"/>
        </w:rPr>
        <w:t>+186.7%</w:t>
      </w:r>
    </w:p>
    <w:p w14:paraId="472275A8">
      <w:pPr>
        <w:pStyle w:val="24"/>
        <w:numPr>
          <w:ilvl w:val="0"/>
          <w:numId w:val="1"/>
        </w:numPr>
        <w:rPr>
          <w:sz w:val="24"/>
          <w:szCs w:val="24"/>
        </w:rPr>
      </w:pPr>
      <w:r>
        <w:rPr>
          <w:rFonts w:hint="eastAsia"/>
          <w:b/>
          <w:bCs/>
          <w:sz w:val="24"/>
          <w:szCs w:val="24"/>
        </w:rPr>
        <w:t>最大回撤</w:t>
      </w:r>
      <w:r>
        <w:rPr>
          <w:rFonts w:hint="eastAsia"/>
          <w:sz w:val="24"/>
          <w:szCs w:val="24"/>
        </w:rPr>
        <w:t>：</w:t>
      </w:r>
      <w:r>
        <w:rPr>
          <w:b/>
          <w:bCs/>
          <w:sz w:val="24"/>
          <w:szCs w:val="24"/>
        </w:rPr>
        <w:t>-14.7%</w:t>
      </w:r>
      <w:r>
        <w:rPr>
          <w:rFonts w:hint="eastAsia"/>
          <w:sz w:val="24"/>
          <w:szCs w:val="24"/>
        </w:rPr>
        <w:t>（发生在</w:t>
      </w:r>
      <w:r>
        <w:rPr>
          <w:sz w:val="24"/>
          <w:szCs w:val="24"/>
        </w:rPr>
        <w:t xml:space="preserve"> 2025-12 </w:t>
      </w:r>
      <w:r>
        <w:rPr>
          <w:rFonts w:hint="eastAsia"/>
          <w:sz w:val="24"/>
          <w:szCs w:val="24"/>
        </w:rPr>
        <w:t>附近）</w:t>
      </w:r>
    </w:p>
    <w:p w14:paraId="5CE9E93D">
      <w:pPr>
        <w:pStyle w:val="24"/>
        <w:numPr>
          <w:ilvl w:val="0"/>
          <w:numId w:val="1"/>
        </w:numPr>
        <w:rPr>
          <w:sz w:val="24"/>
          <w:szCs w:val="24"/>
        </w:rPr>
      </w:pPr>
      <w:r>
        <w:rPr>
          <w:rFonts w:hint="eastAsia"/>
          <w:b/>
          <w:bCs/>
          <w:sz w:val="24"/>
          <w:szCs w:val="24"/>
        </w:rPr>
        <w:t>夏普比率</w:t>
      </w:r>
      <w:r>
        <w:rPr>
          <w:rFonts w:hint="eastAsia"/>
          <w:sz w:val="24"/>
          <w:szCs w:val="24"/>
        </w:rPr>
        <w:t>：</w:t>
      </w:r>
      <w:r>
        <w:rPr>
          <w:b/>
          <w:bCs/>
          <w:sz w:val="24"/>
          <w:szCs w:val="24"/>
        </w:rPr>
        <w:t>2.32</w:t>
      </w:r>
      <w:r>
        <w:rPr>
          <w:rFonts w:hint="eastAsia"/>
          <w:sz w:val="24"/>
          <w:szCs w:val="24"/>
        </w:rPr>
        <w:t>（高于基准的</w:t>
      </w:r>
      <w:r>
        <w:rPr>
          <w:sz w:val="24"/>
          <w:szCs w:val="24"/>
        </w:rPr>
        <w:t xml:space="preserve"> </w:t>
      </w:r>
      <w:r>
        <w:rPr>
          <w:rFonts w:hint="eastAsia"/>
          <w:sz w:val="24"/>
          <w:szCs w:val="24"/>
        </w:rPr>
        <w:t>0.87）</w:t>
      </w:r>
    </w:p>
    <w:p w14:paraId="2F6BE456">
      <w:pPr>
        <w:pStyle w:val="23"/>
        <w:rPr>
          <w:sz w:val="24"/>
          <w:szCs w:val="24"/>
        </w:rPr>
      </w:pPr>
      <w:r>
        <w:rPr>
          <w:rFonts w:hint="eastAsia"/>
          <w:b/>
          <w:bCs/>
          <w:sz w:val="24"/>
          <w:szCs w:val="24"/>
        </w:rPr>
        <w:t>核心结论</w:t>
      </w:r>
      <w:r>
        <w:rPr>
          <w:rFonts w:hint="eastAsia"/>
          <w:sz w:val="24"/>
          <w:szCs w:val="24"/>
        </w:rPr>
        <w:t>：VQM三因子策略在考察期内大幅跑赢沪深300，年化超额收益超100个百分点，且回撤控制在预设目标（15%）以内，收益风险比优秀。</w:t>
      </w:r>
    </w:p>
    <w:p w14:paraId="19E6866A">
      <w:pPr>
        <w:pStyle w:val="3"/>
        <w:rPr>
          <w:sz w:val="24"/>
          <w:szCs w:val="24"/>
        </w:rPr>
      </w:pPr>
      <w:r>
        <w:rPr>
          <w:rFonts w:hint="eastAsia"/>
          <w:b/>
          <w:bCs/>
          <w:sz w:val="24"/>
          <w:szCs w:val="24"/>
        </w:rPr>
        <w:t>成功标准检查</w:t>
      </w:r>
      <w:r>
        <w:rPr>
          <w:rFonts w:hint="eastAsia"/>
          <w:sz w:val="24"/>
          <w:szCs w:val="24"/>
        </w:rPr>
        <w:t>：</w:t>
      </w:r>
    </w:p>
    <w:tbl>
      <w:tblPr>
        <w:tblStyle w:val="41"/>
        <w:tblW w:w="0" w:type="auto"/>
        <w:tblInd w:w="0" w:type="dxa"/>
        <w:tblLayout w:type="autofit"/>
        <w:tblCellMar>
          <w:top w:w="0" w:type="dxa"/>
          <w:left w:w="108" w:type="dxa"/>
          <w:bottom w:w="0" w:type="dxa"/>
          <w:right w:w="108" w:type="dxa"/>
        </w:tblCellMar>
      </w:tblPr>
      <w:tblGrid>
        <w:gridCol w:w="2307"/>
        <w:gridCol w:w="934"/>
        <w:gridCol w:w="1201"/>
        <w:gridCol w:w="944"/>
      </w:tblGrid>
      <w:tr w14:paraId="56597F41">
        <w:trPr>
          <w:tblHeader/>
        </w:trPr>
        <w:tc>
          <w:p w14:paraId="0B9CDC62">
            <w:pPr>
              <w:pStyle w:val="24"/>
              <w:jc w:val="left"/>
              <w:rPr>
                <w:sz w:val="24"/>
                <w:szCs w:val="24"/>
              </w:rPr>
            </w:pPr>
            <w:r>
              <w:rPr>
                <w:rFonts w:hint="eastAsia"/>
                <w:sz w:val="24"/>
                <w:szCs w:val="24"/>
              </w:rPr>
              <w:t>标准</w:t>
            </w:r>
          </w:p>
        </w:tc>
        <w:tc>
          <w:p w14:paraId="16C4726A">
            <w:pPr>
              <w:pStyle w:val="24"/>
              <w:jc w:val="left"/>
              <w:rPr>
                <w:sz w:val="24"/>
                <w:szCs w:val="24"/>
              </w:rPr>
            </w:pPr>
            <w:r>
              <w:rPr>
                <w:rFonts w:hint="eastAsia"/>
                <w:sz w:val="24"/>
                <w:szCs w:val="24"/>
              </w:rPr>
              <w:t>目标</w:t>
            </w:r>
          </w:p>
        </w:tc>
        <w:tc>
          <w:p w14:paraId="54648A8D">
            <w:pPr>
              <w:pStyle w:val="24"/>
              <w:jc w:val="left"/>
              <w:rPr>
                <w:sz w:val="24"/>
                <w:szCs w:val="24"/>
              </w:rPr>
            </w:pPr>
            <w:r>
              <w:rPr>
                <w:rFonts w:hint="eastAsia"/>
                <w:sz w:val="24"/>
                <w:szCs w:val="24"/>
              </w:rPr>
              <w:t>实际</w:t>
            </w:r>
          </w:p>
        </w:tc>
        <w:tc>
          <w:p w14:paraId="76A0176C">
            <w:pPr>
              <w:pStyle w:val="24"/>
              <w:jc w:val="center"/>
              <w:rPr>
                <w:sz w:val="24"/>
                <w:szCs w:val="24"/>
              </w:rPr>
            </w:pPr>
            <w:r>
              <w:rPr>
                <w:rFonts w:hint="eastAsia"/>
                <w:sz w:val="24"/>
                <w:szCs w:val="24"/>
              </w:rPr>
              <w:t>结果</w:t>
            </w:r>
          </w:p>
        </w:tc>
      </w:tr>
      <w:tr w14:paraId="2C5C08F3">
        <w:tc>
          <w:p w14:paraId="5534A85B">
            <w:pPr>
              <w:pStyle w:val="24"/>
              <w:jc w:val="left"/>
              <w:rPr>
                <w:sz w:val="24"/>
                <w:szCs w:val="24"/>
              </w:rPr>
            </w:pPr>
            <w:r>
              <w:rPr>
                <w:rFonts w:hint="eastAsia"/>
                <w:sz w:val="24"/>
                <w:szCs w:val="24"/>
              </w:rPr>
              <w:t>区间累计收益率</w:t>
            </w:r>
            <w:r>
              <w:rPr>
                <w:sz w:val="24"/>
                <w:szCs w:val="24"/>
              </w:rPr>
              <w:t xml:space="preserve"> ≥ 0</w:t>
            </w:r>
          </w:p>
        </w:tc>
        <w:tc>
          <w:p w14:paraId="408CCA04">
            <w:pPr>
              <w:pStyle w:val="24"/>
              <w:jc w:val="left"/>
              <w:rPr>
                <w:sz w:val="24"/>
                <w:szCs w:val="24"/>
              </w:rPr>
            </w:pPr>
            <w:r>
              <w:rPr>
                <w:sz w:val="24"/>
                <w:szCs w:val="24"/>
              </w:rPr>
              <w:t>≥ 0%</w:t>
            </w:r>
          </w:p>
        </w:tc>
        <w:tc>
          <w:p w14:paraId="44D27563">
            <w:pPr>
              <w:pStyle w:val="24"/>
              <w:jc w:val="left"/>
              <w:rPr>
                <w:sz w:val="24"/>
                <w:szCs w:val="24"/>
              </w:rPr>
            </w:pPr>
            <w:r>
              <w:rPr>
                <w:sz w:val="24"/>
                <w:szCs w:val="24"/>
              </w:rPr>
              <w:t>210.8%</w:t>
            </w:r>
          </w:p>
        </w:tc>
        <w:tc>
          <w:p w14:paraId="2C9800A4">
            <w:pPr>
              <w:pStyle w:val="24"/>
              <w:jc w:val="center"/>
              <w:rPr>
                <w:sz w:val="24"/>
                <w:szCs w:val="24"/>
              </w:rPr>
            </w:pPr>
            <w:r>
              <w:rPr>
                <w:sz w:val="24"/>
                <w:szCs w:val="24"/>
              </w:rPr>
              <w:t xml:space="preserve">✓ </w:t>
            </w:r>
            <w:r>
              <w:rPr>
                <w:rFonts w:hint="eastAsia"/>
                <w:sz w:val="24"/>
                <w:szCs w:val="24"/>
              </w:rPr>
              <w:t>通过</w:t>
            </w:r>
          </w:p>
        </w:tc>
      </w:tr>
      <w:tr w14:paraId="0937CF3B">
        <w:tc>
          <w:p w14:paraId="6DA67C13">
            <w:pPr>
              <w:pStyle w:val="24"/>
              <w:jc w:val="left"/>
              <w:rPr>
                <w:sz w:val="24"/>
                <w:szCs w:val="24"/>
              </w:rPr>
            </w:pPr>
            <w:r>
              <w:rPr>
                <w:rFonts w:hint="eastAsia"/>
                <w:sz w:val="24"/>
                <w:szCs w:val="24"/>
              </w:rPr>
              <w:t>超额收益率</w:t>
            </w:r>
            <w:r>
              <w:rPr>
                <w:sz w:val="24"/>
                <w:szCs w:val="24"/>
              </w:rPr>
              <w:t xml:space="preserve"> ≥ 0</w:t>
            </w:r>
          </w:p>
        </w:tc>
        <w:tc>
          <w:p w14:paraId="2F6828A4">
            <w:pPr>
              <w:pStyle w:val="24"/>
              <w:jc w:val="left"/>
              <w:rPr>
                <w:sz w:val="24"/>
                <w:szCs w:val="24"/>
              </w:rPr>
            </w:pPr>
            <w:r>
              <w:rPr>
                <w:sz w:val="24"/>
                <w:szCs w:val="24"/>
              </w:rPr>
              <w:t>≥ 0%</w:t>
            </w:r>
          </w:p>
        </w:tc>
        <w:tc>
          <w:p w14:paraId="0501EB60">
            <w:pPr>
              <w:pStyle w:val="24"/>
              <w:jc w:val="left"/>
              <w:rPr>
                <w:sz w:val="24"/>
                <w:szCs w:val="24"/>
              </w:rPr>
            </w:pPr>
            <w:r>
              <w:rPr>
                <w:sz w:val="24"/>
                <w:szCs w:val="24"/>
              </w:rPr>
              <w:t>+186.7%</w:t>
            </w:r>
          </w:p>
        </w:tc>
        <w:tc>
          <w:p w14:paraId="1D070C70">
            <w:pPr>
              <w:pStyle w:val="24"/>
              <w:jc w:val="center"/>
              <w:rPr>
                <w:sz w:val="24"/>
                <w:szCs w:val="24"/>
              </w:rPr>
            </w:pPr>
            <w:r>
              <w:rPr>
                <w:sz w:val="24"/>
                <w:szCs w:val="24"/>
              </w:rPr>
              <w:t xml:space="preserve">✓ </w:t>
            </w:r>
            <w:r>
              <w:rPr>
                <w:rFonts w:hint="eastAsia"/>
                <w:sz w:val="24"/>
                <w:szCs w:val="24"/>
              </w:rPr>
              <w:t>通过</w:t>
            </w:r>
          </w:p>
        </w:tc>
      </w:tr>
      <w:tr w14:paraId="75904D22">
        <w:tc>
          <w:p w14:paraId="274D1E58">
            <w:pPr>
              <w:pStyle w:val="24"/>
              <w:jc w:val="left"/>
              <w:rPr>
                <w:sz w:val="24"/>
                <w:szCs w:val="24"/>
              </w:rPr>
            </w:pPr>
            <w:r>
              <w:rPr>
                <w:rFonts w:hint="eastAsia"/>
                <w:sz w:val="24"/>
                <w:szCs w:val="24"/>
              </w:rPr>
              <w:t>最大回撤</w:t>
            </w:r>
            <w:r>
              <w:rPr>
                <w:sz w:val="24"/>
                <w:szCs w:val="24"/>
              </w:rPr>
              <w:t xml:space="preserve"> ≤ 15%</w:t>
            </w:r>
          </w:p>
        </w:tc>
        <w:tc>
          <w:p w14:paraId="52423B6B">
            <w:pPr>
              <w:pStyle w:val="24"/>
              <w:jc w:val="left"/>
              <w:rPr>
                <w:sz w:val="24"/>
                <w:szCs w:val="24"/>
              </w:rPr>
            </w:pPr>
            <w:r>
              <w:rPr>
                <w:sz w:val="24"/>
                <w:szCs w:val="24"/>
              </w:rPr>
              <w:t>≤ 15%</w:t>
            </w:r>
          </w:p>
        </w:tc>
        <w:tc>
          <w:p w14:paraId="1C32564B">
            <w:pPr>
              <w:pStyle w:val="24"/>
              <w:jc w:val="left"/>
              <w:rPr>
                <w:sz w:val="24"/>
                <w:szCs w:val="24"/>
              </w:rPr>
            </w:pPr>
            <w:r>
              <w:rPr>
                <w:sz w:val="24"/>
                <w:szCs w:val="24"/>
              </w:rPr>
              <w:t>-14.7%</w:t>
            </w:r>
          </w:p>
        </w:tc>
        <w:tc>
          <w:p w14:paraId="3866CCAE">
            <w:pPr>
              <w:pStyle w:val="24"/>
              <w:jc w:val="center"/>
              <w:rPr>
                <w:sz w:val="24"/>
                <w:szCs w:val="24"/>
              </w:rPr>
            </w:pPr>
            <w:r>
              <w:rPr>
                <w:sz w:val="24"/>
                <w:szCs w:val="24"/>
              </w:rPr>
              <w:t xml:space="preserve">✓ </w:t>
            </w:r>
            <w:r>
              <w:rPr>
                <w:rFonts w:hint="eastAsia"/>
                <w:sz w:val="24"/>
                <w:szCs w:val="24"/>
              </w:rPr>
              <w:t>通过</w:t>
            </w:r>
          </w:p>
        </w:tc>
      </w:tr>
    </w:tbl>
    <w:p w14:paraId="355DFFF1">
      <w:pPr>
        <w:pStyle w:val="3"/>
        <w:rPr>
          <w:sz w:val="24"/>
          <w:szCs w:val="24"/>
        </w:rPr>
      </w:pPr>
      <w:r>
        <w:rPr>
          <w:rFonts w:hint="eastAsia"/>
          <w:sz w:val="24"/>
          <w:szCs w:val="24"/>
        </w:rPr>
        <w:t>三项成功标准全部通过。</w:t>
      </w:r>
    </w:p>
    <w:bookmarkEnd w:id="21"/>
    <w:p w14:paraId="56B35446">
      <w:pPr>
        <w:pStyle w:val="4"/>
        <w:rPr>
          <w:sz w:val="24"/>
          <w:szCs w:val="24"/>
        </w:rPr>
      </w:pPr>
      <w:bookmarkStart w:id="22" w:name="绩效总表"/>
      <w:r>
        <w:rPr>
          <w:sz w:val="24"/>
          <w:szCs w:val="24"/>
        </w:rPr>
        <w:t xml:space="preserve">4.2 </w:t>
      </w:r>
      <w:r>
        <w:rPr>
          <w:rFonts w:hint="eastAsia"/>
          <w:sz w:val="24"/>
          <w:szCs w:val="24"/>
        </w:rPr>
        <w:t>绩效总表</w:t>
      </w:r>
    </w:p>
    <w:tbl>
      <w:tblPr>
        <w:tblStyle w:val="41"/>
        <w:tblW w:w="0" w:type="auto"/>
        <w:tblInd w:w="0" w:type="dxa"/>
        <w:tblLayout w:type="autofit"/>
        <w:tblCellMar>
          <w:top w:w="0" w:type="dxa"/>
          <w:left w:w="108" w:type="dxa"/>
          <w:bottom w:w="0" w:type="dxa"/>
          <w:right w:w="108" w:type="dxa"/>
        </w:tblCellMar>
      </w:tblPr>
      <w:tblGrid>
        <w:gridCol w:w="1416"/>
        <w:gridCol w:w="1288"/>
        <w:gridCol w:w="1150"/>
        <w:gridCol w:w="1201"/>
      </w:tblGrid>
      <w:tr w14:paraId="390943E3">
        <w:trPr>
          <w:tblHeader/>
        </w:trPr>
        <w:tc>
          <w:p w14:paraId="10FB55B0">
            <w:pPr>
              <w:pStyle w:val="24"/>
              <w:jc w:val="left"/>
              <w:rPr>
                <w:sz w:val="24"/>
                <w:szCs w:val="24"/>
              </w:rPr>
            </w:pPr>
            <w:r>
              <w:rPr>
                <w:rFonts w:hint="eastAsia"/>
                <w:sz w:val="24"/>
                <w:szCs w:val="24"/>
              </w:rPr>
              <w:t>指标</w:t>
            </w:r>
          </w:p>
        </w:tc>
        <w:tc>
          <w:p w14:paraId="07D318D8">
            <w:pPr>
              <w:pStyle w:val="24"/>
              <w:jc w:val="right"/>
              <w:rPr>
                <w:sz w:val="24"/>
                <w:szCs w:val="24"/>
              </w:rPr>
            </w:pPr>
            <w:r>
              <w:rPr>
                <w:rFonts w:hint="eastAsia"/>
                <w:sz w:val="24"/>
                <w:szCs w:val="24"/>
              </w:rPr>
              <w:t>VQM策略</w:t>
            </w:r>
          </w:p>
        </w:tc>
        <w:tc>
          <w:p w14:paraId="71428215">
            <w:pPr>
              <w:pStyle w:val="24"/>
              <w:jc w:val="right"/>
              <w:rPr>
                <w:sz w:val="24"/>
                <w:szCs w:val="24"/>
              </w:rPr>
            </w:pPr>
            <w:r>
              <w:rPr>
                <w:rFonts w:hint="eastAsia"/>
                <w:sz w:val="24"/>
                <w:szCs w:val="24"/>
              </w:rPr>
              <w:t>沪深300</w:t>
            </w:r>
          </w:p>
        </w:tc>
        <w:tc>
          <w:p w14:paraId="055E3080">
            <w:pPr>
              <w:pStyle w:val="24"/>
              <w:jc w:val="right"/>
              <w:rPr>
                <w:sz w:val="24"/>
                <w:szCs w:val="24"/>
              </w:rPr>
            </w:pPr>
            <w:r>
              <w:rPr>
                <w:rFonts w:hint="eastAsia"/>
                <w:sz w:val="24"/>
                <w:szCs w:val="24"/>
              </w:rPr>
              <w:t>差额</w:t>
            </w:r>
          </w:p>
        </w:tc>
      </w:tr>
      <w:tr w14:paraId="3C705096">
        <w:tc>
          <w:p w14:paraId="021964F1">
            <w:pPr>
              <w:pStyle w:val="24"/>
              <w:jc w:val="left"/>
              <w:rPr>
                <w:sz w:val="24"/>
                <w:szCs w:val="24"/>
              </w:rPr>
            </w:pPr>
            <w:r>
              <w:rPr>
                <w:rFonts w:hint="eastAsia"/>
                <w:sz w:val="24"/>
                <w:szCs w:val="24"/>
              </w:rPr>
              <w:t>总收益率</w:t>
            </w:r>
          </w:p>
        </w:tc>
        <w:tc>
          <w:p w14:paraId="1913A2E4">
            <w:pPr>
              <w:pStyle w:val="24"/>
              <w:jc w:val="right"/>
              <w:rPr>
                <w:sz w:val="24"/>
                <w:szCs w:val="24"/>
              </w:rPr>
            </w:pPr>
            <w:r>
              <w:rPr>
                <w:sz w:val="24"/>
                <w:szCs w:val="24"/>
              </w:rPr>
              <w:t>210.8%</w:t>
            </w:r>
          </w:p>
        </w:tc>
        <w:tc>
          <w:p w14:paraId="7CF660F8">
            <w:pPr>
              <w:pStyle w:val="24"/>
              <w:jc w:val="right"/>
              <w:rPr>
                <w:sz w:val="24"/>
                <w:szCs w:val="24"/>
              </w:rPr>
            </w:pPr>
            <w:r>
              <w:rPr>
                <w:sz w:val="24"/>
                <w:szCs w:val="24"/>
              </w:rPr>
              <w:t>24.2%</w:t>
            </w:r>
          </w:p>
        </w:tc>
        <w:tc>
          <w:p w14:paraId="6515B0CE">
            <w:pPr>
              <w:pStyle w:val="24"/>
              <w:jc w:val="right"/>
              <w:rPr>
                <w:sz w:val="24"/>
                <w:szCs w:val="24"/>
              </w:rPr>
            </w:pPr>
            <w:r>
              <w:rPr>
                <w:sz w:val="24"/>
                <w:szCs w:val="24"/>
              </w:rPr>
              <w:t>+186.7%</w:t>
            </w:r>
          </w:p>
        </w:tc>
      </w:tr>
      <w:tr w14:paraId="7AE1133E">
        <w:tc>
          <w:p w14:paraId="767C53A4">
            <w:pPr>
              <w:pStyle w:val="24"/>
              <w:jc w:val="left"/>
              <w:rPr>
                <w:sz w:val="24"/>
                <w:szCs w:val="24"/>
              </w:rPr>
            </w:pPr>
            <w:r>
              <w:rPr>
                <w:rFonts w:hint="eastAsia"/>
                <w:sz w:val="24"/>
                <w:szCs w:val="24"/>
              </w:rPr>
              <w:t>年化收益率</w:t>
            </w:r>
          </w:p>
        </w:tc>
        <w:tc>
          <w:p w14:paraId="32E10F30">
            <w:pPr>
              <w:pStyle w:val="24"/>
              <w:jc w:val="right"/>
              <w:rPr>
                <w:sz w:val="24"/>
                <w:szCs w:val="24"/>
              </w:rPr>
            </w:pPr>
            <w:r>
              <w:rPr>
                <w:sz w:val="24"/>
                <w:szCs w:val="24"/>
              </w:rPr>
              <w:t>123.2%</w:t>
            </w:r>
          </w:p>
        </w:tc>
        <w:tc>
          <w:p w14:paraId="1226DE61">
            <w:pPr>
              <w:pStyle w:val="24"/>
              <w:jc w:val="right"/>
              <w:rPr>
                <w:sz w:val="24"/>
                <w:szCs w:val="24"/>
              </w:rPr>
            </w:pPr>
            <w:r>
              <w:rPr>
                <w:sz w:val="24"/>
                <w:szCs w:val="24"/>
              </w:rPr>
              <w:t>16.6%</w:t>
            </w:r>
          </w:p>
        </w:tc>
        <w:tc>
          <w:p w14:paraId="2DEE52C4">
            <w:pPr>
              <w:pStyle w:val="24"/>
              <w:jc w:val="right"/>
              <w:rPr>
                <w:sz w:val="24"/>
                <w:szCs w:val="24"/>
              </w:rPr>
            </w:pPr>
            <w:r>
              <w:rPr>
                <w:sz w:val="24"/>
                <w:szCs w:val="24"/>
              </w:rPr>
              <w:t>+106.6%</w:t>
            </w:r>
          </w:p>
        </w:tc>
      </w:tr>
      <w:tr w14:paraId="4F674D3C">
        <w:tc>
          <w:p w14:paraId="755768A0">
            <w:pPr>
              <w:pStyle w:val="24"/>
              <w:jc w:val="left"/>
              <w:rPr>
                <w:sz w:val="24"/>
                <w:szCs w:val="24"/>
              </w:rPr>
            </w:pPr>
            <w:r>
              <w:rPr>
                <w:rFonts w:hint="eastAsia"/>
                <w:sz w:val="24"/>
                <w:szCs w:val="24"/>
              </w:rPr>
              <w:t>年化波动率</w:t>
            </w:r>
          </w:p>
        </w:tc>
        <w:tc>
          <w:p w14:paraId="19B870BA">
            <w:pPr>
              <w:pStyle w:val="24"/>
              <w:jc w:val="right"/>
              <w:rPr>
                <w:sz w:val="24"/>
                <w:szCs w:val="24"/>
              </w:rPr>
            </w:pPr>
            <w:r>
              <w:rPr>
                <w:sz w:val="24"/>
                <w:szCs w:val="24"/>
              </w:rPr>
              <w:t>36.6%</w:t>
            </w:r>
          </w:p>
        </w:tc>
        <w:tc>
          <w:p w14:paraId="3FF6DF16">
            <w:pPr>
              <w:pStyle w:val="24"/>
              <w:jc w:val="right"/>
              <w:rPr>
                <w:sz w:val="24"/>
                <w:szCs w:val="24"/>
              </w:rPr>
            </w:pPr>
            <w:r>
              <w:rPr>
                <w:sz w:val="24"/>
                <w:szCs w:val="24"/>
              </w:rPr>
              <w:t>17.0%</w:t>
            </w:r>
          </w:p>
        </w:tc>
        <w:tc>
          <w:p w14:paraId="7EB7B7ED">
            <w:pPr>
              <w:pStyle w:val="24"/>
              <w:jc w:val="right"/>
              <w:rPr>
                <w:sz w:val="24"/>
                <w:szCs w:val="24"/>
              </w:rPr>
            </w:pPr>
            <w:r>
              <w:rPr>
                <w:sz w:val="24"/>
                <w:szCs w:val="24"/>
              </w:rPr>
              <w:t>+19.6%</w:t>
            </w:r>
          </w:p>
        </w:tc>
      </w:tr>
      <w:tr w14:paraId="37E1BDAC">
        <w:tc>
          <w:p w14:paraId="428AC8BC">
            <w:pPr>
              <w:pStyle w:val="24"/>
              <w:jc w:val="left"/>
              <w:rPr>
                <w:sz w:val="24"/>
                <w:szCs w:val="24"/>
              </w:rPr>
            </w:pPr>
            <w:r>
              <w:rPr>
                <w:rFonts w:hint="eastAsia"/>
                <w:sz w:val="24"/>
                <w:szCs w:val="24"/>
              </w:rPr>
              <w:t>最大回撤</w:t>
            </w:r>
          </w:p>
        </w:tc>
        <w:tc>
          <w:p w14:paraId="737220E3">
            <w:pPr>
              <w:pStyle w:val="24"/>
              <w:jc w:val="right"/>
              <w:rPr>
                <w:sz w:val="24"/>
                <w:szCs w:val="24"/>
              </w:rPr>
            </w:pPr>
            <w:r>
              <w:rPr>
                <w:sz w:val="24"/>
                <w:szCs w:val="24"/>
              </w:rPr>
              <w:t>-14.7%</w:t>
            </w:r>
          </w:p>
        </w:tc>
        <w:tc>
          <w:p w14:paraId="33AD335A">
            <w:pPr>
              <w:pStyle w:val="24"/>
              <w:jc w:val="right"/>
              <w:rPr>
                <w:sz w:val="24"/>
                <w:szCs w:val="24"/>
              </w:rPr>
            </w:pPr>
            <w:r>
              <w:rPr>
                <w:sz w:val="24"/>
                <w:szCs w:val="24"/>
              </w:rPr>
              <w:t>-10.5%</w:t>
            </w:r>
          </w:p>
        </w:tc>
        <w:tc>
          <w:p w14:paraId="235823E4">
            <w:pPr>
              <w:pStyle w:val="24"/>
              <w:jc w:val="right"/>
              <w:rPr>
                <w:sz w:val="24"/>
                <w:szCs w:val="24"/>
              </w:rPr>
            </w:pPr>
            <w:r>
              <w:rPr>
                <w:sz w:val="24"/>
                <w:szCs w:val="24"/>
              </w:rPr>
              <w:t>-4.2%</w:t>
            </w:r>
          </w:p>
        </w:tc>
      </w:tr>
      <w:tr w14:paraId="22EB75CE">
        <w:tc>
          <w:p w14:paraId="344867F9">
            <w:pPr>
              <w:pStyle w:val="24"/>
              <w:jc w:val="left"/>
              <w:rPr>
                <w:sz w:val="24"/>
                <w:szCs w:val="24"/>
              </w:rPr>
            </w:pPr>
            <w:r>
              <w:rPr>
                <w:rFonts w:hint="eastAsia"/>
                <w:sz w:val="24"/>
                <w:szCs w:val="24"/>
              </w:rPr>
              <w:t>夏普比率</w:t>
            </w:r>
          </w:p>
        </w:tc>
        <w:tc>
          <w:p w14:paraId="655A2C90">
            <w:pPr>
              <w:pStyle w:val="24"/>
              <w:jc w:val="right"/>
              <w:rPr>
                <w:sz w:val="24"/>
                <w:szCs w:val="24"/>
              </w:rPr>
            </w:pPr>
            <w:r>
              <w:rPr>
                <w:sz w:val="24"/>
                <w:szCs w:val="24"/>
              </w:rPr>
              <w:t>2.32</w:t>
            </w:r>
          </w:p>
        </w:tc>
        <w:tc>
          <w:p w14:paraId="5DCEE562">
            <w:pPr>
              <w:pStyle w:val="24"/>
              <w:jc w:val="right"/>
              <w:rPr>
                <w:sz w:val="24"/>
                <w:szCs w:val="24"/>
              </w:rPr>
            </w:pPr>
            <w:r>
              <w:rPr>
                <w:sz w:val="24"/>
                <w:szCs w:val="24"/>
              </w:rPr>
              <w:t>0.87</w:t>
            </w:r>
          </w:p>
        </w:tc>
        <w:tc>
          <w:p w14:paraId="7AC3A104">
            <w:pPr>
              <w:pStyle w:val="24"/>
              <w:jc w:val="right"/>
              <w:rPr>
                <w:sz w:val="24"/>
                <w:szCs w:val="24"/>
              </w:rPr>
            </w:pPr>
            <w:r>
              <w:rPr>
                <w:sz w:val="24"/>
                <w:szCs w:val="24"/>
              </w:rPr>
              <w:t>+1.45</w:t>
            </w:r>
          </w:p>
        </w:tc>
      </w:tr>
      <w:tr w14:paraId="114676D9">
        <w:tc>
          <w:p w14:paraId="333C7F96">
            <w:pPr>
              <w:pStyle w:val="24"/>
              <w:jc w:val="left"/>
              <w:rPr>
                <w:sz w:val="24"/>
                <w:szCs w:val="24"/>
              </w:rPr>
            </w:pPr>
            <w:r>
              <w:rPr>
                <w:rFonts w:hint="eastAsia"/>
                <w:sz w:val="24"/>
                <w:szCs w:val="24"/>
              </w:rPr>
              <w:t>卡玛比率</w:t>
            </w:r>
          </w:p>
        </w:tc>
        <w:tc>
          <w:p w14:paraId="1794491D">
            <w:pPr>
              <w:pStyle w:val="24"/>
              <w:jc w:val="right"/>
              <w:rPr>
                <w:sz w:val="24"/>
                <w:szCs w:val="24"/>
              </w:rPr>
            </w:pPr>
            <w:r>
              <w:rPr>
                <w:sz w:val="24"/>
                <w:szCs w:val="24"/>
              </w:rPr>
              <w:t>8.37</w:t>
            </w:r>
          </w:p>
        </w:tc>
        <w:tc>
          <w:p w14:paraId="7AF89F9E">
            <w:pPr>
              <w:pStyle w:val="24"/>
              <w:jc w:val="right"/>
              <w:rPr>
                <w:sz w:val="24"/>
                <w:szCs w:val="24"/>
              </w:rPr>
            </w:pPr>
            <w:r>
              <w:rPr>
                <w:sz w:val="24"/>
                <w:szCs w:val="24"/>
              </w:rPr>
              <w:t>1.58</w:t>
            </w:r>
          </w:p>
        </w:tc>
        <w:tc>
          <w:p w14:paraId="4D6C7DAF">
            <w:pPr>
              <w:pStyle w:val="24"/>
              <w:jc w:val="right"/>
              <w:rPr>
                <w:sz w:val="24"/>
                <w:szCs w:val="24"/>
              </w:rPr>
            </w:pPr>
            <w:r>
              <w:rPr>
                <w:sz w:val="24"/>
                <w:szCs w:val="24"/>
              </w:rPr>
              <w:t>+6.79</w:t>
            </w:r>
          </w:p>
        </w:tc>
      </w:tr>
      <w:bookmarkEnd w:id="22"/>
    </w:tbl>
    <w:p w14:paraId="170A0703">
      <w:pPr>
        <w:pStyle w:val="4"/>
        <w:rPr>
          <w:sz w:val="24"/>
          <w:szCs w:val="24"/>
        </w:rPr>
      </w:pPr>
      <w:bookmarkStart w:id="23" w:name="必做三图"/>
      <w:r>
        <w:rPr>
          <w:sz w:val="24"/>
          <w:szCs w:val="24"/>
        </w:rPr>
        <w:t xml:space="preserve">4.3 </w:t>
      </w:r>
      <w:r>
        <w:rPr>
          <w:rFonts w:hint="eastAsia"/>
          <w:sz w:val="24"/>
          <w:szCs w:val="24"/>
        </w:rPr>
        <w:t>必做三图</w:t>
      </w:r>
    </w:p>
    <w:p w14:paraId="19F10286">
      <w:pPr>
        <w:pStyle w:val="5"/>
        <w:jc w:val="center"/>
        <w:rPr>
          <w:sz w:val="24"/>
          <w:szCs w:val="24"/>
        </w:rPr>
      </w:pPr>
      <w:bookmarkStart w:id="24" w:name="图1净值曲线与动态回撤"/>
      <w:r>
        <w:rPr>
          <w:rFonts w:hint="eastAsia"/>
          <w:sz w:val="24"/>
          <w:szCs w:val="24"/>
        </w:rPr>
        <w:t>图1：净值曲线与动态回撤</w:t>
      </w:r>
    </w:p>
    <w:p w14:paraId="4829D01D">
      <w:pPr>
        <w:pStyle w:val="47"/>
        <w:jc w:val="center"/>
        <w:rPr>
          <w:sz w:val="24"/>
          <w:szCs w:val="24"/>
        </w:rPr>
      </w:pPr>
      <w:r>
        <w:rPr>
          <w:sz w:val="24"/>
          <w:szCs w:val="24"/>
        </w:rPr>
        <w:drawing>
          <wp:inline distT="0" distB="0" distL="114300" distR="114300">
            <wp:extent cx="5334000" cy="4599305"/>
            <wp:effectExtent l="0" t="0" r="0" b="0"/>
            <wp:docPr id="35" name="Picture" descr="图1：净值曲线与动态回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Picture" descr="图1：净值曲线与动态回撤"/>
                    <pic:cNvPicPr>
                      <a:picLocks noChangeAspect="1" noChangeArrowheads="1"/>
                    </pic:cNvPicPr>
                  </pic:nvPicPr>
                  <pic:blipFill>
                    <a:blip r:embed="rId6"/>
                    <a:stretch>
                      <a:fillRect/>
                    </a:stretch>
                  </pic:blipFill>
                  <pic:spPr>
                    <a:xfrm>
                      <a:off x="0" y="0"/>
                      <a:ext cx="5334000" cy="4599608"/>
                    </a:xfrm>
                    <a:prstGeom prst="rect">
                      <a:avLst/>
                    </a:prstGeom>
                    <a:noFill/>
                    <a:ln w="9525">
                      <a:noFill/>
                    </a:ln>
                  </pic:spPr>
                </pic:pic>
              </a:graphicData>
            </a:graphic>
          </wp:inline>
        </w:drawing>
      </w:r>
    </w:p>
    <w:p w14:paraId="02FCB5B0">
      <w:pPr>
        <w:pStyle w:val="45"/>
        <w:rPr>
          <w:sz w:val="24"/>
          <w:szCs w:val="24"/>
        </w:rPr>
      </w:pPr>
      <w:r>
        <w:rPr>
          <w:rFonts w:hint="eastAsia"/>
          <w:sz w:val="24"/>
          <w:szCs w:val="24"/>
        </w:rPr>
        <w:t>图1：净值曲线与动态回撤</w:t>
      </w:r>
    </w:p>
    <w:p w14:paraId="4DA69F44">
      <w:pPr>
        <w:pStyle w:val="3"/>
        <w:rPr>
          <w:sz w:val="24"/>
          <w:szCs w:val="24"/>
        </w:rPr>
      </w:pPr>
      <w:r>
        <w:rPr>
          <w:rFonts w:hint="eastAsia"/>
          <w:b/>
          <w:bCs/>
          <w:sz w:val="24"/>
          <w:szCs w:val="24"/>
        </w:rPr>
        <w:t>现象</w:t>
      </w:r>
      <w:r>
        <w:rPr>
          <w:rFonts w:hint="eastAsia"/>
          <w:sz w:val="24"/>
          <w:szCs w:val="24"/>
        </w:rPr>
        <w:t>：净值曲线方面，三条曲线</w:t>
      </w:r>
      <w:r>
        <w:rPr>
          <w:sz w:val="24"/>
          <w:szCs w:val="24"/>
        </w:rPr>
        <w:t xml:space="preserve"> 2025 </w:t>
      </w:r>
      <w:r>
        <w:rPr>
          <w:rFonts w:hint="eastAsia"/>
          <w:sz w:val="24"/>
          <w:szCs w:val="24"/>
        </w:rPr>
        <w:t>年上半年走势接近，2025</w:t>
      </w:r>
      <w:r>
        <w:rPr>
          <w:sz w:val="24"/>
          <w:szCs w:val="24"/>
        </w:rPr>
        <w:t xml:space="preserve"> </w:t>
      </w:r>
      <w:r>
        <w:rPr>
          <w:rFonts w:hint="eastAsia"/>
          <w:sz w:val="24"/>
          <w:szCs w:val="24"/>
        </w:rPr>
        <w:t>年</w:t>
      </w:r>
      <w:r>
        <w:rPr>
          <w:sz w:val="24"/>
          <w:szCs w:val="24"/>
        </w:rPr>
        <w:t xml:space="preserve"> 7 </w:t>
      </w:r>
      <w:r>
        <w:rPr>
          <w:rFonts w:hint="eastAsia"/>
          <w:sz w:val="24"/>
          <w:szCs w:val="24"/>
        </w:rPr>
        <w:t>月起</w:t>
      </w:r>
      <w:r>
        <w:rPr>
          <w:sz w:val="24"/>
          <w:szCs w:val="24"/>
        </w:rPr>
        <w:t xml:space="preserve"> VQM </w:t>
      </w:r>
      <w:r>
        <w:rPr>
          <w:rFonts w:hint="eastAsia"/>
          <w:sz w:val="24"/>
          <w:szCs w:val="24"/>
        </w:rPr>
        <w:t>策略净值加速上扬，2025</w:t>
      </w:r>
      <w:r>
        <w:rPr>
          <w:sz w:val="24"/>
          <w:szCs w:val="24"/>
        </w:rPr>
        <w:t xml:space="preserve"> </w:t>
      </w:r>
      <w:r>
        <w:rPr>
          <w:rFonts w:hint="eastAsia"/>
          <w:sz w:val="24"/>
          <w:szCs w:val="24"/>
        </w:rPr>
        <w:t>年</w:t>
      </w:r>
      <w:r>
        <w:rPr>
          <w:sz w:val="24"/>
          <w:szCs w:val="24"/>
        </w:rPr>
        <w:t xml:space="preserve"> 9 </w:t>
      </w:r>
      <w:r>
        <w:rPr>
          <w:rFonts w:hint="eastAsia"/>
          <w:sz w:val="24"/>
          <w:szCs w:val="24"/>
        </w:rPr>
        <w:t>月出现陡峭拉升。无回撤控制版本峰值约</w:t>
      </w:r>
      <w:r>
        <w:rPr>
          <w:sz w:val="24"/>
          <w:szCs w:val="24"/>
        </w:rPr>
        <w:t xml:space="preserve"> 4.9 </w:t>
      </w:r>
      <w:r>
        <w:rPr>
          <w:rFonts w:hint="eastAsia"/>
          <w:sz w:val="24"/>
          <w:szCs w:val="24"/>
        </w:rPr>
        <w:t>倍但随后大幅回落至</w:t>
      </w:r>
      <w:r>
        <w:rPr>
          <w:sz w:val="24"/>
          <w:szCs w:val="24"/>
        </w:rPr>
        <w:t xml:space="preserve"> 2.7 </w:t>
      </w:r>
      <w:r>
        <w:rPr>
          <w:rFonts w:hint="eastAsia"/>
          <w:sz w:val="24"/>
          <w:szCs w:val="24"/>
        </w:rPr>
        <w:t>倍，15%</w:t>
      </w:r>
      <w:r>
        <w:rPr>
          <w:sz w:val="24"/>
          <w:szCs w:val="24"/>
        </w:rPr>
        <w:t xml:space="preserve"> </w:t>
      </w:r>
      <w:r>
        <w:rPr>
          <w:rFonts w:hint="eastAsia"/>
          <w:sz w:val="24"/>
          <w:szCs w:val="24"/>
        </w:rPr>
        <w:t>回撤控制版本峰值约</w:t>
      </w:r>
      <w:r>
        <w:rPr>
          <w:sz w:val="24"/>
          <w:szCs w:val="24"/>
        </w:rPr>
        <w:t xml:space="preserve"> 3.4 </w:t>
      </w:r>
      <w:r>
        <w:rPr>
          <w:rFonts w:hint="eastAsia"/>
          <w:sz w:val="24"/>
          <w:szCs w:val="24"/>
        </w:rPr>
        <w:t>倍、最终净值约</w:t>
      </w:r>
      <w:r>
        <w:rPr>
          <w:sz w:val="24"/>
          <w:szCs w:val="24"/>
        </w:rPr>
        <w:t xml:space="preserve"> 3.1 </w:t>
      </w:r>
      <w:r>
        <w:rPr>
          <w:rFonts w:hint="eastAsia"/>
          <w:sz w:val="24"/>
          <w:szCs w:val="24"/>
        </w:rPr>
        <w:t>倍，沪深</w:t>
      </w:r>
      <w:r>
        <w:rPr>
          <w:sz w:val="24"/>
          <w:szCs w:val="24"/>
        </w:rPr>
        <w:t xml:space="preserve"> 300 </w:t>
      </w:r>
      <w:r>
        <w:rPr>
          <w:rFonts w:hint="eastAsia"/>
          <w:sz w:val="24"/>
          <w:szCs w:val="24"/>
        </w:rPr>
        <w:t>仅约</w:t>
      </w:r>
      <w:r>
        <w:rPr>
          <w:sz w:val="24"/>
          <w:szCs w:val="24"/>
        </w:rPr>
        <w:t xml:space="preserve"> 1.2 </w:t>
      </w:r>
      <w:r>
        <w:rPr>
          <w:rFonts w:hint="eastAsia"/>
          <w:sz w:val="24"/>
          <w:szCs w:val="24"/>
        </w:rPr>
        <w:t>倍。持仓状态方面，2024</w:t>
      </w:r>
      <w:r>
        <w:rPr>
          <w:sz w:val="24"/>
          <w:szCs w:val="24"/>
        </w:rPr>
        <w:t xml:space="preserve"> </w:t>
      </w:r>
      <w:r>
        <w:rPr>
          <w:rFonts w:hint="eastAsia"/>
          <w:sz w:val="24"/>
          <w:szCs w:val="24"/>
        </w:rPr>
        <w:t>年</w:t>
      </w:r>
      <w:r>
        <w:rPr>
          <w:sz w:val="24"/>
          <w:szCs w:val="24"/>
        </w:rPr>
        <w:t xml:space="preserve"> 7 </w:t>
      </w:r>
      <w:r>
        <w:rPr>
          <w:rFonts w:hint="eastAsia"/>
          <w:sz w:val="24"/>
          <w:szCs w:val="24"/>
        </w:rPr>
        <w:t>月至</w:t>
      </w:r>
      <w:r>
        <w:rPr>
          <w:sz w:val="24"/>
          <w:szCs w:val="24"/>
        </w:rPr>
        <w:t xml:space="preserve"> 2025 </w:t>
      </w:r>
      <w:r>
        <w:rPr>
          <w:rFonts w:hint="eastAsia"/>
          <w:sz w:val="24"/>
          <w:szCs w:val="24"/>
        </w:rPr>
        <w:t>年</w:t>
      </w:r>
      <w:r>
        <w:rPr>
          <w:sz w:val="24"/>
          <w:szCs w:val="24"/>
        </w:rPr>
        <w:t xml:space="preserve"> 1 </w:t>
      </w:r>
      <w:r>
        <w:rPr>
          <w:rFonts w:hint="eastAsia"/>
          <w:sz w:val="24"/>
          <w:szCs w:val="24"/>
        </w:rPr>
        <w:t>月为指标预热期（灰色），策略运行期间有</w:t>
      </w:r>
      <w:r>
        <w:rPr>
          <w:sz w:val="24"/>
          <w:szCs w:val="24"/>
        </w:rPr>
        <w:t xml:space="preserve"> 6 </w:t>
      </w:r>
      <w:r>
        <w:rPr>
          <w:rFonts w:hint="eastAsia"/>
          <w:sz w:val="24"/>
          <w:szCs w:val="24"/>
        </w:rPr>
        <w:t>段空仓（累计</w:t>
      </w:r>
      <w:r>
        <w:rPr>
          <w:sz w:val="24"/>
          <w:szCs w:val="24"/>
        </w:rPr>
        <w:t xml:space="preserve"> 119 </w:t>
      </w:r>
      <w:r>
        <w:rPr>
          <w:rFonts w:hint="eastAsia"/>
          <w:sz w:val="24"/>
          <w:szCs w:val="24"/>
        </w:rPr>
        <w:t>个交易日，占策略期</w:t>
      </w:r>
      <w:r>
        <w:rPr>
          <w:sz w:val="24"/>
          <w:szCs w:val="24"/>
        </w:rPr>
        <w:t xml:space="preserve"> </w:t>
      </w:r>
      <w:r>
        <w:rPr>
          <w:rFonts w:hint="eastAsia"/>
          <w:sz w:val="24"/>
          <w:szCs w:val="24"/>
        </w:rPr>
        <w:t>32%），最长一段为</w:t>
      </w:r>
      <w:r>
        <w:rPr>
          <w:sz w:val="24"/>
          <w:szCs w:val="24"/>
        </w:rPr>
        <w:t xml:space="preserve"> 2026 </w:t>
      </w:r>
      <w:r>
        <w:rPr>
          <w:rFonts w:hint="eastAsia"/>
          <w:sz w:val="24"/>
          <w:szCs w:val="24"/>
        </w:rPr>
        <w:t>年</w:t>
      </w:r>
      <w:r>
        <w:rPr>
          <w:sz w:val="24"/>
          <w:szCs w:val="24"/>
        </w:rPr>
        <w:t xml:space="preserve"> 3-4 </w:t>
      </w:r>
      <w:r>
        <w:rPr>
          <w:rFonts w:hint="eastAsia"/>
          <w:sz w:val="24"/>
          <w:szCs w:val="24"/>
        </w:rPr>
        <w:t>月（42</w:t>
      </w:r>
      <w:r>
        <w:rPr>
          <w:sz w:val="24"/>
          <w:szCs w:val="24"/>
        </w:rPr>
        <w:t xml:space="preserve"> </w:t>
      </w:r>
      <w:r>
        <w:rPr>
          <w:rFonts w:hint="eastAsia"/>
          <w:sz w:val="24"/>
          <w:szCs w:val="24"/>
        </w:rPr>
        <w:t>个交易日）。回撤方面，无回撤控制版本最大回撤达</w:t>
      </w:r>
      <w:r>
        <w:rPr>
          <w:sz w:val="24"/>
          <w:szCs w:val="24"/>
        </w:rPr>
        <w:t xml:space="preserve"> </w:t>
      </w:r>
      <w:r>
        <w:rPr>
          <w:rFonts w:hint="eastAsia"/>
          <w:sz w:val="24"/>
          <w:szCs w:val="24"/>
        </w:rPr>
        <w:t>-48.4%（2026</w:t>
      </w:r>
      <w:r>
        <w:rPr>
          <w:sz w:val="24"/>
          <w:szCs w:val="24"/>
        </w:rPr>
        <w:t xml:space="preserve"> </w:t>
      </w:r>
      <w:r>
        <w:rPr>
          <w:rFonts w:hint="eastAsia"/>
          <w:sz w:val="24"/>
          <w:szCs w:val="24"/>
        </w:rPr>
        <w:t>年</w:t>
      </w:r>
      <w:r>
        <w:rPr>
          <w:sz w:val="24"/>
          <w:szCs w:val="24"/>
        </w:rPr>
        <w:t xml:space="preserve"> 7 </w:t>
      </w:r>
      <w:r>
        <w:rPr>
          <w:rFonts w:hint="eastAsia"/>
          <w:sz w:val="24"/>
          <w:szCs w:val="24"/>
        </w:rPr>
        <w:t>月），15%</w:t>
      </w:r>
      <w:r>
        <w:rPr>
          <w:sz w:val="24"/>
          <w:szCs w:val="24"/>
        </w:rPr>
        <w:t xml:space="preserve"> </w:t>
      </w:r>
      <w:r>
        <w:rPr>
          <w:rFonts w:hint="eastAsia"/>
          <w:sz w:val="24"/>
          <w:szCs w:val="24"/>
        </w:rPr>
        <w:t>回撤控制版本最大回撤</w:t>
      </w:r>
      <w:r>
        <w:rPr>
          <w:sz w:val="24"/>
          <w:szCs w:val="24"/>
        </w:rPr>
        <w:t xml:space="preserve"> </w:t>
      </w:r>
      <w:r>
        <w:rPr>
          <w:rFonts w:hint="eastAsia"/>
          <w:sz w:val="24"/>
          <w:szCs w:val="24"/>
        </w:rPr>
        <w:t>-14.72%（2025</w:t>
      </w:r>
      <w:r>
        <w:rPr>
          <w:sz w:val="24"/>
          <w:szCs w:val="24"/>
        </w:rPr>
        <w:t xml:space="preserve"> </w:t>
      </w:r>
      <w:r>
        <w:rPr>
          <w:rFonts w:hint="eastAsia"/>
          <w:sz w:val="24"/>
          <w:szCs w:val="24"/>
        </w:rPr>
        <w:t>年</w:t>
      </w:r>
      <w:r>
        <w:rPr>
          <w:sz w:val="24"/>
          <w:szCs w:val="24"/>
        </w:rPr>
        <w:t xml:space="preserve"> 12 </w:t>
      </w:r>
      <w:r>
        <w:rPr>
          <w:rFonts w:hint="eastAsia"/>
          <w:sz w:val="24"/>
          <w:szCs w:val="24"/>
        </w:rPr>
        <w:t>月</w:t>
      </w:r>
      <w:r>
        <w:rPr>
          <w:sz w:val="24"/>
          <w:szCs w:val="24"/>
        </w:rPr>
        <w:t xml:space="preserve"> 5 </w:t>
      </w:r>
      <w:r>
        <w:rPr>
          <w:rFonts w:hint="eastAsia"/>
          <w:sz w:val="24"/>
          <w:szCs w:val="24"/>
        </w:rPr>
        <w:t>日），沪深</w:t>
      </w:r>
      <w:r>
        <w:rPr>
          <w:sz w:val="24"/>
          <w:szCs w:val="24"/>
        </w:rPr>
        <w:t xml:space="preserve"> 300 </w:t>
      </w:r>
      <w:r>
        <w:rPr>
          <w:rFonts w:hint="eastAsia"/>
          <w:sz w:val="24"/>
          <w:szCs w:val="24"/>
        </w:rPr>
        <w:t>最大回撤</w:t>
      </w:r>
      <w:r>
        <w:rPr>
          <w:sz w:val="24"/>
          <w:szCs w:val="24"/>
        </w:rPr>
        <w:t xml:space="preserve"> </w:t>
      </w:r>
      <w:r>
        <w:rPr>
          <w:rFonts w:hint="eastAsia"/>
          <w:sz w:val="24"/>
          <w:szCs w:val="24"/>
        </w:rPr>
        <w:t>-10.49%（2025</w:t>
      </w:r>
      <w:r>
        <w:rPr>
          <w:sz w:val="24"/>
          <w:szCs w:val="24"/>
        </w:rPr>
        <w:t xml:space="preserve"> </w:t>
      </w:r>
      <w:r>
        <w:rPr>
          <w:rFonts w:hint="eastAsia"/>
          <w:sz w:val="24"/>
          <w:szCs w:val="24"/>
        </w:rPr>
        <w:t>年</w:t>
      </w:r>
      <w:r>
        <w:rPr>
          <w:sz w:val="24"/>
          <w:szCs w:val="24"/>
        </w:rPr>
        <w:t xml:space="preserve"> 4 </w:t>
      </w:r>
      <w:r>
        <w:rPr>
          <w:rFonts w:hint="eastAsia"/>
          <w:sz w:val="24"/>
          <w:szCs w:val="24"/>
        </w:rPr>
        <w:t>月</w:t>
      </w:r>
      <w:r>
        <w:rPr>
          <w:sz w:val="24"/>
          <w:szCs w:val="24"/>
        </w:rPr>
        <w:t xml:space="preserve"> 7 </w:t>
      </w:r>
      <w:r>
        <w:rPr>
          <w:rFonts w:hint="eastAsia"/>
          <w:sz w:val="24"/>
          <w:szCs w:val="24"/>
        </w:rPr>
        <w:t>日）。</w:t>
      </w:r>
    </w:p>
    <w:p w14:paraId="588FF004">
      <w:pPr>
        <w:pStyle w:val="3"/>
        <w:rPr>
          <w:sz w:val="24"/>
          <w:szCs w:val="24"/>
        </w:rPr>
      </w:pPr>
      <w:r>
        <w:rPr>
          <w:rFonts w:hint="eastAsia"/>
          <w:b/>
          <w:bCs/>
          <w:sz w:val="24"/>
          <w:szCs w:val="24"/>
        </w:rPr>
        <w:t>解释</w:t>
      </w:r>
      <w:r>
        <w:rPr>
          <w:rFonts w:hint="eastAsia"/>
          <w:sz w:val="24"/>
          <w:szCs w:val="24"/>
        </w:rPr>
        <w:t>：2025</w:t>
      </w:r>
      <w:r>
        <w:rPr>
          <w:sz w:val="24"/>
          <w:szCs w:val="24"/>
        </w:rPr>
        <w:t xml:space="preserve"> </w:t>
      </w:r>
      <w:r>
        <w:rPr>
          <w:rFonts w:hint="eastAsia"/>
          <w:sz w:val="24"/>
          <w:szCs w:val="24"/>
        </w:rPr>
        <w:t>年</w:t>
      </w:r>
      <w:r>
        <w:rPr>
          <w:sz w:val="24"/>
          <w:szCs w:val="24"/>
        </w:rPr>
        <w:t xml:space="preserve"> Q3 </w:t>
      </w:r>
      <w:r>
        <w:rPr>
          <w:rFonts w:hint="eastAsia"/>
          <w:sz w:val="24"/>
          <w:szCs w:val="24"/>
        </w:rPr>
        <w:t>存储芯片板块进入主升浪，策略重仓德明利、江波龙、佰维存储等个股，动量因子持续加码强势股放大了收益</w:t>
      </w:r>
      <w:r>
        <w:rPr>
          <w:sz w:val="24"/>
          <w:szCs w:val="24"/>
        </w:rPr>
        <w:t xml:space="preserve"> (Jegadeesh &amp; Titman, 1993)。2025 </w:t>
      </w:r>
      <w:r>
        <w:rPr>
          <w:rFonts w:hint="eastAsia"/>
          <w:sz w:val="24"/>
          <w:szCs w:val="24"/>
        </w:rPr>
        <w:t>年</w:t>
      </w:r>
      <w:r>
        <w:rPr>
          <w:sz w:val="24"/>
          <w:szCs w:val="24"/>
        </w:rPr>
        <w:t xml:space="preserve"> Q4 </w:t>
      </w:r>
      <w:r>
        <w:rPr>
          <w:rFonts w:hint="eastAsia"/>
          <w:sz w:val="24"/>
          <w:szCs w:val="24"/>
        </w:rPr>
        <w:t>板块集体回调时，无控制版本回撤急速扩大至</w:t>
      </w:r>
      <w:r>
        <w:rPr>
          <w:sz w:val="24"/>
          <w:szCs w:val="24"/>
        </w:rPr>
        <w:t xml:space="preserve"> </w:t>
      </w:r>
      <w:r>
        <w:rPr>
          <w:rFonts w:hint="eastAsia"/>
          <w:sz w:val="24"/>
          <w:szCs w:val="24"/>
        </w:rPr>
        <w:t>-48%，而</w:t>
      </w:r>
      <w:r>
        <w:rPr>
          <w:sz w:val="24"/>
          <w:szCs w:val="24"/>
        </w:rPr>
        <w:t xml:space="preserve"> 15% </w:t>
      </w:r>
      <w:r>
        <w:rPr>
          <w:rFonts w:hint="eastAsia"/>
          <w:sz w:val="24"/>
          <w:szCs w:val="24"/>
        </w:rPr>
        <w:t>阈值触发后自动减仓，将回撤截断在</w:t>
      </w:r>
      <w:r>
        <w:rPr>
          <w:sz w:val="24"/>
          <w:szCs w:val="24"/>
        </w:rPr>
        <w:t xml:space="preserve"> -14.7%。2026 </w:t>
      </w:r>
      <w:r>
        <w:rPr>
          <w:rFonts w:hint="eastAsia"/>
          <w:sz w:val="24"/>
          <w:szCs w:val="24"/>
        </w:rPr>
        <w:t>年</w:t>
      </w:r>
      <w:r>
        <w:rPr>
          <w:sz w:val="24"/>
          <w:szCs w:val="24"/>
        </w:rPr>
        <w:t xml:space="preserve"> 3-4 </w:t>
      </w:r>
      <w:r>
        <w:rPr>
          <w:rFonts w:hint="eastAsia"/>
          <w:sz w:val="24"/>
          <w:szCs w:val="24"/>
        </w:rPr>
        <w:t>月和</w:t>
      </w:r>
      <w:r>
        <w:rPr>
          <w:sz w:val="24"/>
          <w:szCs w:val="24"/>
        </w:rPr>
        <w:t xml:space="preserve"> 7 </w:t>
      </w:r>
      <w:r>
        <w:rPr>
          <w:rFonts w:hint="eastAsia"/>
          <w:sz w:val="24"/>
          <w:szCs w:val="24"/>
        </w:rPr>
        <w:t>月的科技股高位回调再次触发空仓，说明回撤控制在板块系统性下跌期间频繁介入。</w:t>
      </w:r>
    </w:p>
    <w:p w14:paraId="3DEAB553">
      <w:pPr>
        <w:pStyle w:val="3"/>
        <w:rPr>
          <w:sz w:val="24"/>
          <w:szCs w:val="24"/>
        </w:rPr>
      </w:pPr>
      <w:r>
        <w:rPr>
          <w:rFonts w:hint="eastAsia"/>
          <w:b/>
          <w:bCs/>
          <w:sz w:val="24"/>
          <w:szCs w:val="24"/>
        </w:rPr>
        <w:t>含义</w:t>
      </w:r>
      <w:r>
        <w:rPr>
          <w:rFonts w:hint="eastAsia"/>
          <w:sz w:val="24"/>
          <w:szCs w:val="24"/>
        </w:rPr>
        <w:t>：回撤控制机制使最大回撤从</w:t>
      </w:r>
      <w:r>
        <w:rPr>
          <w:sz w:val="24"/>
          <w:szCs w:val="24"/>
        </w:rPr>
        <w:t xml:space="preserve"> -48% </w:t>
      </w:r>
      <w:r>
        <w:rPr>
          <w:rFonts w:hint="eastAsia"/>
          <w:sz w:val="24"/>
          <w:szCs w:val="24"/>
        </w:rPr>
        <w:t>收窄至</w:t>
      </w:r>
      <w:r>
        <w:rPr>
          <w:sz w:val="24"/>
          <w:szCs w:val="24"/>
        </w:rPr>
        <w:t xml:space="preserve"> </w:t>
      </w:r>
      <w:r>
        <w:rPr>
          <w:rFonts w:hint="eastAsia"/>
          <w:sz w:val="24"/>
          <w:szCs w:val="24"/>
        </w:rPr>
        <w:t>-14.7%，低于</w:t>
      </w:r>
      <w:r>
        <w:rPr>
          <w:sz w:val="24"/>
          <w:szCs w:val="24"/>
        </w:rPr>
        <w:t xml:space="preserve"> 15% </w:t>
      </w:r>
      <w:r>
        <w:rPr>
          <w:rFonts w:hint="eastAsia"/>
          <w:sz w:val="24"/>
          <w:szCs w:val="24"/>
        </w:rPr>
        <w:t>风控线，验证了风控规则的实用性。但</w:t>
      </w:r>
      <w:r>
        <w:rPr>
          <w:sz w:val="24"/>
          <w:szCs w:val="24"/>
        </w:rPr>
        <w:t xml:space="preserve"> 32% </w:t>
      </w:r>
      <w:r>
        <w:rPr>
          <w:rFonts w:hint="eastAsia"/>
          <w:sz w:val="24"/>
          <w:szCs w:val="24"/>
        </w:rPr>
        <w:t>的空仓占比意味着策略在震荡期会错过部分反弹机会，且”一刀切”式全仓转现金缺乏渐进过渡——在板块短期回调后快速反弹时（如</w:t>
      </w:r>
      <w:r>
        <w:rPr>
          <w:sz w:val="24"/>
          <w:szCs w:val="24"/>
        </w:rPr>
        <w:t xml:space="preserve"> 2025 </w:t>
      </w:r>
      <w:r>
        <w:rPr>
          <w:rFonts w:hint="eastAsia"/>
          <w:sz w:val="24"/>
          <w:szCs w:val="24"/>
        </w:rPr>
        <w:t>年</w:t>
      </w:r>
      <w:r>
        <w:rPr>
          <w:sz w:val="24"/>
          <w:szCs w:val="24"/>
        </w:rPr>
        <w:t xml:space="preserve"> 4 </w:t>
      </w:r>
      <w:r>
        <w:rPr>
          <w:rFonts w:hint="eastAsia"/>
          <w:sz w:val="24"/>
          <w:szCs w:val="24"/>
        </w:rPr>
        <w:t>月仅空仓</w:t>
      </w:r>
      <w:r>
        <w:rPr>
          <w:sz w:val="24"/>
          <w:szCs w:val="24"/>
        </w:rPr>
        <w:t xml:space="preserve"> 17 </w:t>
      </w:r>
      <w:r>
        <w:rPr>
          <w:rFonts w:hint="eastAsia"/>
          <w:sz w:val="24"/>
          <w:szCs w:val="24"/>
        </w:rPr>
        <w:t>天即恢复），可能产生不必要的切换成本。</w:t>
      </w:r>
    </w:p>
    <w:bookmarkEnd w:id="24"/>
    <w:p w14:paraId="4EC052EB">
      <w:pPr>
        <w:pStyle w:val="47"/>
        <w:rPr>
          <w:sz w:val="24"/>
          <w:szCs w:val="24"/>
        </w:rPr>
      </w:pPr>
      <w:bookmarkStart w:id="25" w:name="图2月度收益热力图"/>
      <w:r>
        <w:rPr>
          <w:sz w:val="24"/>
          <w:szCs w:val="24"/>
        </w:rPr>
        <w:drawing>
          <wp:inline distT="0" distB="0" distL="114300" distR="114300">
            <wp:extent cx="5334000" cy="2790190"/>
            <wp:effectExtent l="0" t="0" r="0" b="0"/>
            <wp:docPr id="39" name="Picture" descr="图2：月度收益热力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Picture" descr="图2：月度收益热力图"/>
                    <pic:cNvPicPr>
                      <a:picLocks noChangeAspect="1" noChangeArrowheads="1"/>
                    </pic:cNvPicPr>
                  </pic:nvPicPr>
                  <pic:blipFill>
                    <a:blip r:embed="rId7"/>
                    <a:stretch>
                      <a:fillRect/>
                    </a:stretch>
                  </pic:blipFill>
                  <pic:spPr>
                    <a:xfrm>
                      <a:off x="0" y="0"/>
                      <a:ext cx="5334000" cy="2790384"/>
                    </a:xfrm>
                    <a:prstGeom prst="rect">
                      <a:avLst/>
                    </a:prstGeom>
                    <a:noFill/>
                    <a:ln w="9525">
                      <a:noFill/>
                    </a:ln>
                  </pic:spPr>
                </pic:pic>
              </a:graphicData>
            </a:graphic>
          </wp:inline>
        </w:drawing>
      </w:r>
    </w:p>
    <w:p w14:paraId="572D94A5">
      <w:pPr>
        <w:pStyle w:val="45"/>
        <w:jc w:val="center"/>
        <w:rPr>
          <w:sz w:val="24"/>
          <w:szCs w:val="24"/>
        </w:rPr>
      </w:pPr>
      <w:r>
        <w:rPr>
          <w:rFonts w:hint="eastAsia"/>
          <w:sz w:val="24"/>
          <w:szCs w:val="24"/>
        </w:rPr>
        <w:t>图2：月度收益热力图</w:t>
      </w:r>
    </w:p>
    <w:p w14:paraId="2618AAA0">
      <w:pPr>
        <w:pStyle w:val="3"/>
        <w:rPr>
          <w:sz w:val="24"/>
          <w:szCs w:val="24"/>
        </w:rPr>
      </w:pPr>
      <w:r>
        <w:rPr>
          <w:rFonts w:hint="eastAsia"/>
          <w:b/>
          <w:bCs/>
          <w:sz w:val="24"/>
          <w:szCs w:val="24"/>
        </w:rPr>
        <w:t>现象</w:t>
      </w:r>
      <w:r>
        <w:rPr>
          <w:rFonts w:hint="eastAsia"/>
          <w:sz w:val="24"/>
          <w:szCs w:val="24"/>
        </w:rPr>
        <w:t>：2024年7-12月（预热期）月度收益均为0.0%，因60日动量和120日均线指标尚未就绪，策略空仓等待。2025年1月起策略开始运作，2025年9月（+46.0%）和2025年6月（+28.7%）为正收益高峰；2025年3月（-7.3%）和2026年7月（-7.3%）为负收益低谷。2025年8-10月连续三个月大幅正收益。</w:t>
      </w:r>
    </w:p>
    <w:p w14:paraId="2FBE57F1">
      <w:pPr>
        <w:pStyle w:val="3"/>
        <w:rPr>
          <w:sz w:val="24"/>
          <w:szCs w:val="24"/>
        </w:rPr>
      </w:pPr>
      <w:r>
        <w:rPr>
          <w:rFonts w:hint="eastAsia"/>
          <w:b/>
          <w:bCs/>
          <w:sz w:val="24"/>
          <w:szCs w:val="24"/>
        </w:rPr>
        <w:t>解释</w:t>
      </w:r>
      <w:r>
        <w:rPr>
          <w:rFonts w:hint="eastAsia"/>
          <w:sz w:val="24"/>
          <w:szCs w:val="24"/>
        </w:rPr>
        <w:t>：2025年Q3存储芯片和半导体板块进入主升浪，策略重仓相关个股获取了极高的月度收益。2026年7月的回撤同样源于科技股高位回调。</w:t>
      </w:r>
    </w:p>
    <w:p w14:paraId="3C229D1B">
      <w:pPr>
        <w:pStyle w:val="3"/>
        <w:rPr>
          <w:sz w:val="24"/>
          <w:szCs w:val="24"/>
        </w:rPr>
      </w:pPr>
      <w:r>
        <w:rPr>
          <w:rFonts w:hint="eastAsia"/>
          <w:b/>
          <w:bCs/>
          <w:sz w:val="24"/>
          <w:szCs w:val="24"/>
        </w:rPr>
        <w:t>含义</w:t>
      </w:r>
      <w:r>
        <w:rPr>
          <w:rFonts w:hint="eastAsia"/>
          <w:sz w:val="24"/>
          <w:szCs w:val="24"/>
        </w:rPr>
        <w:t>：策略收益高度集中于少数月份和少数板块，存在风格暴露集中的风险。</w:t>
      </w:r>
    </w:p>
    <w:bookmarkEnd w:id="20"/>
    <w:bookmarkEnd w:id="23"/>
    <w:bookmarkEnd w:id="25"/>
    <w:p w14:paraId="74339537">
      <w:pPr>
        <w:pStyle w:val="2"/>
        <w:rPr>
          <w:sz w:val="24"/>
          <w:szCs w:val="24"/>
        </w:rPr>
      </w:pPr>
      <w:bookmarkStart w:id="26" w:name="第5章-细分分析"/>
      <w:r>
        <w:rPr>
          <w:rFonts w:hint="eastAsia"/>
          <w:sz w:val="24"/>
          <w:szCs w:val="24"/>
        </w:rPr>
        <w:t>第5章</w:t>
      </w:r>
      <w:r>
        <w:rPr>
          <w:sz w:val="24"/>
          <w:szCs w:val="24"/>
        </w:rPr>
        <w:t xml:space="preserve"> </w:t>
      </w:r>
      <w:r>
        <w:rPr>
          <w:rFonts w:hint="eastAsia"/>
          <w:sz w:val="24"/>
          <w:szCs w:val="24"/>
        </w:rPr>
        <w:t>细分分析</w:t>
      </w:r>
    </w:p>
    <w:p w14:paraId="4928C1C1">
      <w:pPr>
        <w:pStyle w:val="4"/>
        <w:rPr>
          <w:sz w:val="24"/>
          <w:szCs w:val="24"/>
        </w:rPr>
      </w:pPr>
      <w:bookmarkStart w:id="27" w:name="聚焦10只个股表现表"/>
      <w:r>
        <w:rPr>
          <w:sz w:val="24"/>
          <w:szCs w:val="24"/>
        </w:rPr>
        <w:t xml:space="preserve">5.1 </w:t>
      </w:r>
      <w:r>
        <w:rPr>
          <w:rFonts w:hint="eastAsia"/>
          <w:sz w:val="24"/>
          <w:szCs w:val="24"/>
        </w:rPr>
        <w:t>聚焦10只个股表现表</w:t>
      </w:r>
    </w:p>
    <w:p w14:paraId="0DECBF67">
      <w:pPr>
        <w:pStyle w:val="23"/>
        <w:rPr>
          <w:sz w:val="24"/>
          <w:szCs w:val="24"/>
        </w:rPr>
      </w:pPr>
      <w:r>
        <w:rPr>
          <w:rFonts w:hint="eastAsia"/>
          <w:sz w:val="24"/>
          <w:szCs w:val="24"/>
        </w:rPr>
        <w:t>以下为策略期间（2025-01-27</w:t>
      </w:r>
      <w:r>
        <w:rPr>
          <w:sz w:val="24"/>
          <w:szCs w:val="24"/>
        </w:rPr>
        <w:t xml:space="preserve"> ~ </w:t>
      </w:r>
      <w:r>
        <w:rPr>
          <w:rFonts w:hint="eastAsia"/>
          <w:sz w:val="24"/>
          <w:szCs w:val="24"/>
        </w:rPr>
        <w:t>2026-07-21）入选次数排名前10的个股表现，按区间收益排序：</w:t>
      </w:r>
    </w:p>
    <w:tbl>
      <w:tblPr>
        <w:tblStyle w:val="41"/>
        <w:tblW w:w="5000" w:type="pct"/>
        <w:tblInd w:w="0" w:type="dxa"/>
        <w:tblLayout w:type="fixed"/>
        <w:tblCellMar>
          <w:top w:w="0" w:type="dxa"/>
          <w:left w:w="108" w:type="dxa"/>
          <w:bottom w:w="0" w:type="dxa"/>
          <w:right w:w="108" w:type="dxa"/>
        </w:tblCellMar>
      </w:tblPr>
      <w:tblGrid>
        <w:gridCol w:w="1107"/>
        <w:gridCol w:w="1107"/>
        <w:gridCol w:w="1107"/>
        <w:gridCol w:w="1107"/>
        <w:gridCol w:w="1107"/>
        <w:gridCol w:w="1107"/>
        <w:gridCol w:w="1107"/>
        <w:gridCol w:w="1107"/>
      </w:tblGrid>
      <w:tr w14:paraId="35C38E07">
        <w:trPr>
          <w:tblHeader/>
        </w:trPr>
        <w:tc>
          <w:p w14:paraId="37B13C97">
            <w:pPr>
              <w:pStyle w:val="24"/>
              <w:jc w:val="left"/>
              <w:rPr>
                <w:sz w:val="24"/>
                <w:szCs w:val="24"/>
              </w:rPr>
            </w:pPr>
            <w:r>
              <w:rPr>
                <w:rFonts w:hint="eastAsia"/>
                <w:sz w:val="24"/>
                <w:szCs w:val="24"/>
              </w:rPr>
              <w:t>代码</w:t>
            </w:r>
          </w:p>
        </w:tc>
        <w:tc>
          <w:p w14:paraId="43D50BD1">
            <w:pPr>
              <w:pStyle w:val="24"/>
              <w:jc w:val="left"/>
              <w:rPr>
                <w:sz w:val="24"/>
                <w:szCs w:val="24"/>
              </w:rPr>
            </w:pPr>
            <w:r>
              <w:rPr>
                <w:rFonts w:hint="eastAsia"/>
                <w:sz w:val="24"/>
                <w:szCs w:val="24"/>
              </w:rPr>
              <w:t>名称</w:t>
            </w:r>
          </w:p>
        </w:tc>
        <w:tc>
          <w:p w14:paraId="2C9AA88A">
            <w:pPr>
              <w:pStyle w:val="24"/>
              <w:jc w:val="left"/>
              <w:rPr>
                <w:sz w:val="24"/>
                <w:szCs w:val="24"/>
              </w:rPr>
            </w:pPr>
            <w:r>
              <w:rPr>
                <w:rFonts w:hint="eastAsia"/>
                <w:sz w:val="24"/>
                <w:szCs w:val="24"/>
              </w:rPr>
              <w:t>行业</w:t>
            </w:r>
          </w:p>
        </w:tc>
        <w:tc>
          <w:p w14:paraId="299E44E3">
            <w:pPr>
              <w:pStyle w:val="24"/>
              <w:jc w:val="right"/>
              <w:rPr>
                <w:sz w:val="24"/>
                <w:szCs w:val="24"/>
              </w:rPr>
            </w:pPr>
            <w:r>
              <w:rPr>
                <w:rFonts w:hint="eastAsia"/>
                <w:sz w:val="24"/>
                <w:szCs w:val="24"/>
              </w:rPr>
              <w:t>区间收益</w:t>
            </w:r>
          </w:p>
        </w:tc>
        <w:tc>
          <w:p w14:paraId="1DDD0399">
            <w:pPr>
              <w:pStyle w:val="24"/>
              <w:jc w:val="right"/>
              <w:rPr>
                <w:sz w:val="24"/>
                <w:szCs w:val="24"/>
              </w:rPr>
            </w:pPr>
            <w:r>
              <w:rPr>
                <w:rFonts w:hint="eastAsia"/>
                <w:sz w:val="24"/>
                <w:szCs w:val="24"/>
              </w:rPr>
              <w:t>最大回撤</w:t>
            </w:r>
          </w:p>
        </w:tc>
        <w:tc>
          <w:p w14:paraId="46A0C871">
            <w:pPr>
              <w:pStyle w:val="24"/>
              <w:jc w:val="right"/>
              <w:rPr>
                <w:sz w:val="24"/>
                <w:szCs w:val="24"/>
              </w:rPr>
            </w:pPr>
            <w:r>
              <w:rPr>
                <w:rFonts w:hint="eastAsia"/>
                <w:sz w:val="24"/>
                <w:szCs w:val="24"/>
              </w:rPr>
              <w:t>夏普比率</w:t>
            </w:r>
          </w:p>
        </w:tc>
        <w:tc>
          <w:p w14:paraId="0BEC3FE7">
            <w:pPr>
              <w:pStyle w:val="24"/>
              <w:jc w:val="right"/>
              <w:rPr>
                <w:sz w:val="24"/>
                <w:szCs w:val="24"/>
              </w:rPr>
            </w:pPr>
            <w:r>
              <w:rPr>
                <w:rFonts w:hint="eastAsia"/>
                <w:sz w:val="24"/>
                <w:szCs w:val="24"/>
              </w:rPr>
              <w:t>入选次数</w:t>
            </w:r>
          </w:p>
        </w:tc>
        <w:tc>
          <w:p w14:paraId="38377ED9">
            <w:pPr>
              <w:pStyle w:val="24"/>
              <w:jc w:val="left"/>
              <w:rPr>
                <w:sz w:val="24"/>
                <w:szCs w:val="24"/>
              </w:rPr>
            </w:pPr>
            <w:r>
              <w:rPr>
                <w:rFonts w:hint="eastAsia"/>
                <w:sz w:val="24"/>
                <w:szCs w:val="24"/>
              </w:rPr>
              <w:t>简要评价</w:t>
            </w:r>
          </w:p>
        </w:tc>
      </w:tr>
      <w:tr w14:paraId="5DB14832">
        <w:tc>
          <w:p w14:paraId="2644ED26">
            <w:pPr>
              <w:pStyle w:val="24"/>
              <w:jc w:val="left"/>
              <w:rPr>
                <w:sz w:val="24"/>
                <w:szCs w:val="24"/>
              </w:rPr>
            </w:pPr>
            <w:r>
              <w:rPr>
                <w:sz w:val="24"/>
                <w:szCs w:val="24"/>
              </w:rPr>
              <w:t>001309.SZ</w:t>
            </w:r>
          </w:p>
        </w:tc>
        <w:tc>
          <w:p w14:paraId="77AF0A38">
            <w:pPr>
              <w:pStyle w:val="24"/>
              <w:jc w:val="left"/>
              <w:rPr>
                <w:sz w:val="24"/>
                <w:szCs w:val="24"/>
              </w:rPr>
            </w:pPr>
            <w:r>
              <w:rPr>
                <w:rFonts w:hint="eastAsia"/>
                <w:sz w:val="24"/>
                <w:szCs w:val="24"/>
              </w:rPr>
              <w:t>德明利</w:t>
            </w:r>
          </w:p>
        </w:tc>
        <w:tc>
          <w:p w14:paraId="03F40575">
            <w:pPr>
              <w:pStyle w:val="24"/>
              <w:jc w:val="left"/>
              <w:rPr>
                <w:sz w:val="24"/>
                <w:szCs w:val="24"/>
              </w:rPr>
            </w:pPr>
            <w:r>
              <w:rPr>
                <w:rFonts w:hint="eastAsia"/>
                <w:sz w:val="24"/>
                <w:szCs w:val="24"/>
              </w:rPr>
              <w:t>半导体</w:t>
            </w:r>
          </w:p>
        </w:tc>
        <w:tc>
          <w:p w14:paraId="4F9369C1">
            <w:pPr>
              <w:pStyle w:val="24"/>
              <w:jc w:val="right"/>
              <w:rPr>
                <w:sz w:val="24"/>
                <w:szCs w:val="24"/>
              </w:rPr>
            </w:pPr>
            <w:r>
              <w:rPr>
                <w:sz w:val="24"/>
                <w:szCs w:val="24"/>
              </w:rPr>
              <w:t>+718.5%</w:t>
            </w:r>
          </w:p>
        </w:tc>
        <w:tc>
          <w:p w14:paraId="654052DF">
            <w:pPr>
              <w:pStyle w:val="24"/>
              <w:jc w:val="right"/>
              <w:rPr>
                <w:sz w:val="24"/>
                <w:szCs w:val="24"/>
              </w:rPr>
            </w:pPr>
            <w:r>
              <w:rPr>
                <w:sz w:val="24"/>
                <w:szCs w:val="24"/>
              </w:rPr>
              <w:t>-50.2%</w:t>
            </w:r>
          </w:p>
        </w:tc>
        <w:tc>
          <w:p w14:paraId="623AC1CE">
            <w:pPr>
              <w:pStyle w:val="24"/>
              <w:jc w:val="right"/>
              <w:rPr>
                <w:sz w:val="24"/>
                <w:szCs w:val="24"/>
              </w:rPr>
            </w:pPr>
            <w:r>
              <w:rPr>
                <w:sz w:val="24"/>
                <w:szCs w:val="24"/>
              </w:rPr>
              <w:t>1.90</w:t>
            </w:r>
          </w:p>
        </w:tc>
        <w:tc>
          <w:p w14:paraId="46EE4FE7">
            <w:pPr>
              <w:pStyle w:val="24"/>
              <w:jc w:val="right"/>
              <w:rPr>
                <w:sz w:val="24"/>
                <w:szCs w:val="24"/>
              </w:rPr>
            </w:pPr>
            <w:r>
              <w:rPr>
                <w:sz w:val="24"/>
                <w:szCs w:val="24"/>
              </w:rPr>
              <w:t>16</w:t>
            </w:r>
          </w:p>
        </w:tc>
        <w:tc>
          <w:p w14:paraId="2D2152AE">
            <w:pPr>
              <w:pStyle w:val="24"/>
              <w:jc w:val="left"/>
              <w:rPr>
                <w:sz w:val="24"/>
                <w:szCs w:val="24"/>
              </w:rPr>
            </w:pPr>
            <w:r>
              <w:rPr>
                <w:rFonts w:hint="eastAsia"/>
                <w:sz w:val="24"/>
                <w:szCs w:val="24"/>
              </w:rPr>
              <w:t>存储芯片龙头，策略核心持仓，收益最强</w:t>
            </w:r>
          </w:p>
        </w:tc>
      </w:tr>
      <w:tr w14:paraId="0297AE5C">
        <w:tc>
          <w:p w14:paraId="565B86EE">
            <w:pPr>
              <w:pStyle w:val="24"/>
              <w:jc w:val="left"/>
              <w:rPr>
                <w:sz w:val="24"/>
                <w:szCs w:val="24"/>
              </w:rPr>
            </w:pPr>
            <w:r>
              <w:rPr>
                <w:sz w:val="24"/>
                <w:szCs w:val="24"/>
              </w:rPr>
              <w:t>688766.SH</w:t>
            </w:r>
          </w:p>
        </w:tc>
        <w:tc>
          <w:p w14:paraId="4CDA8BE6">
            <w:pPr>
              <w:pStyle w:val="24"/>
              <w:jc w:val="left"/>
              <w:rPr>
                <w:sz w:val="24"/>
                <w:szCs w:val="24"/>
              </w:rPr>
            </w:pPr>
            <w:r>
              <w:rPr>
                <w:rFonts w:hint="eastAsia"/>
                <w:sz w:val="24"/>
                <w:szCs w:val="24"/>
              </w:rPr>
              <w:t>普冉股份</w:t>
            </w:r>
          </w:p>
        </w:tc>
        <w:tc>
          <w:p w14:paraId="645F20F4">
            <w:pPr>
              <w:pStyle w:val="24"/>
              <w:jc w:val="left"/>
              <w:rPr>
                <w:sz w:val="24"/>
                <w:szCs w:val="24"/>
              </w:rPr>
            </w:pPr>
            <w:r>
              <w:rPr>
                <w:rFonts w:hint="eastAsia"/>
                <w:sz w:val="24"/>
                <w:szCs w:val="24"/>
              </w:rPr>
              <w:t>半导体</w:t>
            </w:r>
          </w:p>
        </w:tc>
        <w:tc>
          <w:p w14:paraId="7D4FB6BB">
            <w:pPr>
              <w:pStyle w:val="24"/>
              <w:jc w:val="right"/>
              <w:rPr>
                <w:sz w:val="24"/>
                <w:szCs w:val="24"/>
              </w:rPr>
            </w:pPr>
            <w:r>
              <w:rPr>
                <w:sz w:val="24"/>
                <w:szCs w:val="24"/>
              </w:rPr>
              <w:t>+662.1%</w:t>
            </w:r>
          </w:p>
        </w:tc>
        <w:tc>
          <w:p w14:paraId="251C0701">
            <w:pPr>
              <w:pStyle w:val="24"/>
              <w:jc w:val="right"/>
              <w:rPr>
                <w:sz w:val="24"/>
                <w:szCs w:val="24"/>
              </w:rPr>
            </w:pPr>
            <w:r>
              <w:rPr>
                <w:sz w:val="24"/>
                <w:szCs w:val="24"/>
              </w:rPr>
              <w:t>-54.0%</w:t>
            </w:r>
          </w:p>
        </w:tc>
        <w:tc>
          <w:p w14:paraId="0F1B73EF">
            <w:pPr>
              <w:pStyle w:val="24"/>
              <w:jc w:val="right"/>
              <w:rPr>
                <w:sz w:val="24"/>
                <w:szCs w:val="24"/>
              </w:rPr>
            </w:pPr>
            <w:r>
              <w:rPr>
                <w:sz w:val="24"/>
                <w:szCs w:val="24"/>
              </w:rPr>
              <w:t>1.65</w:t>
            </w:r>
          </w:p>
        </w:tc>
        <w:tc>
          <w:p w14:paraId="1CF75DDB">
            <w:pPr>
              <w:pStyle w:val="24"/>
              <w:jc w:val="right"/>
              <w:rPr>
                <w:sz w:val="24"/>
                <w:szCs w:val="24"/>
              </w:rPr>
            </w:pPr>
            <w:r>
              <w:rPr>
                <w:sz w:val="24"/>
                <w:szCs w:val="24"/>
              </w:rPr>
              <w:t>5</w:t>
            </w:r>
          </w:p>
        </w:tc>
        <w:tc>
          <w:p w14:paraId="05BC7CCF">
            <w:pPr>
              <w:pStyle w:val="24"/>
              <w:jc w:val="left"/>
              <w:rPr>
                <w:sz w:val="24"/>
                <w:szCs w:val="24"/>
              </w:rPr>
            </w:pPr>
            <w:r>
              <w:rPr>
                <w:rFonts w:hint="eastAsia"/>
                <w:sz w:val="24"/>
                <w:szCs w:val="24"/>
              </w:rPr>
              <w:t>存储芯片高弹性，波动大</w:t>
            </w:r>
          </w:p>
        </w:tc>
      </w:tr>
      <w:tr w14:paraId="64AAA122">
        <w:tc>
          <w:p w14:paraId="3144CD5D">
            <w:pPr>
              <w:pStyle w:val="24"/>
              <w:jc w:val="left"/>
              <w:rPr>
                <w:sz w:val="24"/>
                <w:szCs w:val="24"/>
              </w:rPr>
            </w:pPr>
            <w:r>
              <w:rPr>
                <w:sz w:val="24"/>
                <w:szCs w:val="24"/>
              </w:rPr>
              <w:t>603986.SH</w:t>
            </w:r>
          </w:p>
        </w:tc>
        <w:tc>
          <w:p w14:paraId="00B5AF65">
            <w:pPr>
              <w:pStyle w:val="24"/>
              <w:jc w:val="left"/>
              <w:rPr>
                <w:sz w:val="24"/>
                <w:szCs w:val="24"/>
              </w:rPr>
            </w:pPr>
            <w:r>
              <w:rPr>
                <w:rFonts w:hint="eastAsia"/>
                <w:sz w:val="24"/>
                <w:szCs w:val="24"/>
              </w:rPr>
              <w:t>兆易创新</w:t>
            </w:r>
          </w:p>
        </w:tc>
        <w:tc>
          <w:p w14:paraId="0FE558F1">
            <w:pPr>
              <w:pStyle w:val="24"/>
              <w:jc w:val="left"/>
              <w:rPr>
                <w:sz w:val="24"/>
                <w:szCs w:val="24"/>
              </w:rPr>
            </w:pPr>
            <w:r>
              <w:rPr>
                <w:rFonts w:hint="eastAsia"/>
                <w:sz w:val="24"/>
                <w:szCs w:val="24"/>
              </w:rPr>
              <w:t>半导体</w:t>
            </w:r>
          </w:p>
        </w:tc>
        <w:tc>
          <w:p w14:paraId="4C08B86F">
            <w:pPr>
              <w:pStyle w:val="24"/>
              <w:jc w:val="right"/>
              <w:rPr>
                <w:sz w:val="24"/>
                <w:szCs w:val="24"/>
              </w:rPr>
            </w:pPr>
            <w:r>
              <w:rPr>
                <w:sz w:val="24"/>
                <w:szCs w:val="24"/>
              </w:rPr>
              <w:t>+397.5%</w:t>
            </w:r>
          </w:p>
        </w:tc>
        <w:tc>
          <w:p w14:paraId="530E9FD1">
            <w:pPr>
              <w:pStyle w:val="24"/>
              <w:jc w:val="right"/>
              <w:rPr>
                <w:sz w:val="24"/>
                <w:szCs w:val="24"/>
              </w:rPr>
            </w:pPr>
            <w:r>
              <w:rPr>
                <w:sz w:val="24"/>
                <w:szCs w:val="24"/>
              </w:rPr>
              <w:t>-48.5%</w:t>
            </w:r>
          </w:p>
        </w:tc>
        <w:tc>
          <w:p w14:paraId="3BE7E5EB">
            <w:pPr>
              <w:pStyle w:val="24"/>
              <w:jc w:val="right"/>
              <w:rPr>
                <w:sz w:val="24"/>
                <w:szCs w:val="24"/>
              </w:rPr>
            </w:pPr>
            <w:r>
              <w:rPr>
                <w:sz w:val="24"/>
                <w:szCs w:val="24"/>
              </w:rPr>
              <w:t>1.60</w:t>
            </w:r>
          </w:p>
        </w:tc>
        <w:tc>
          <w:p w14:paraId="3A1009E5">
            <w:pPr>
              <w:pStyle w:val="24"/>
              <w:jc w:val="right"/>
              <w:rPr>
                <w:sz w:val="24"/>
                <w:szCs w:val="24"/>
              </w:rPr>
            </w:pPr>
            <w:r>
              <w:rPr>
                <w:sz w:val="24"/>
                <w:szCs w:val="24"/>
              </w:rPr>
              <w:t>5</w:t>
            </w:r>
          </w:p>
        </w:tc>
        <w:tc>
          <w:p w14:paraId="50F50FF6">
            <w:pPr>
              <w:pStyle w:val="24"/>
              <w:jc w:val="left"/>
              <w:rPr>
                <w:sz w:val="24"/>
                <w:szCs w:val="24"/>
              </w:rPr>
            </w:pPr>
            <w:r>
              <w:rPr>
                <w:rFonts w:hint="eastAsia"/>
                <w:sz w:val="24"/>
                <w:szCs w:val="24"/>
              </w:rPr>
              <w:t>芯片设计，动量驱动入选</w:t>
            </w:r>
          </w:p>
        </w:tc>
      </w:tr>
      <w:tr w14:paraId="319CDA7D">
        <w:tc>
          <w:p w14:paraId="6325568C">
            <w:pPr>
              <w:pStyle w:val="24"/>
              <w:jc w:val="left"/>
              <w:rPr>
                <w:sz w:val="24"/>
                <w:szCs w:val="24"/>
              </w:rPr>
            </w:pPr>
            <w:r>
              <w:rPr>
                <w:sz w:val="24"/>
                <w:szCs w:val="24"/>
              </w:rPr>
              <w:t>688525.SH</w:t>
            </w:r>
          </w:p>
        </w:tc>
        <w:tc>
          <w:p w14:paraId="3886EB64">
            <w:pPr>
              <w:pStyle w:val="24"/>
              <w:jc w:val="left"/>
              <w:rPr>
                <w:sz w:val="24"/>
                <w:szCs w:val="24"/>
              </w:rPr>
            </w:pPr>
            <w:r>
              <w:rPr>
                <w:rFonts w:hint="eastAsia"/>
                <w:sz w:val="24"/>
                <w:szCs w:val="24"/>
              </w:rPr>
              <w:t>佰维存储</w:t>
            </w:r>
          </w:p>
        </w:tc>
        <w:tc>
          <w:p w14:paraId="6279F1D4">
            <w:pPr>
              <w:pStyle w:val="24"/>
              <w:jc w:val="left"/>
              <w:rPr>
                <w:sz w:val="24"/>
                <w:szCs w:val="24"/>
              </w:rPr>
            </w:pPr>
            <w:r>
              <w:rPr>
                <w:rFonts w:hint="eastAsia"/>
                <w:sz w:val="24"/>
                <w:szCs w:val="24"/>
              </w:rPr>
              <w:t>半导体</w:t>
            </w:r>
          </w:p>
        </w:tc>
        <w:tc>
          <w:p w14:paraId="028301E0">
            <w:pPr>
              <w:pStyle w:val="24"/>
              <w:jc w:val="right"/>
              <w:rPr>
                <w:sz w:val="24"/>
                <w:szCs w:val="24"/>
              </w:rPr>
            </w:pPr>
            <w:r>
              <w:rPr>
                <w:sz w:val="24"/>
                <w:szCs w:val="24"/>
              </w:rPr>
              <w:t>+365.3%</w:t>
            </w:r>
          </w:p>
        </w:tc>
        <w:tc>
          <w:p w14:paraId="37C79389">
            <w:pPr>
              <w:pStyle w:val="24"/>
              <w:jc w:val="right"/>
              <w:rPr>
                <w:sz w:val="24"/>
                <w:szCs w:val="24"/>
              </w:rPr>
            </w:pPr>
            <w:r>
              <w:rPr>
                <w:sz w:val="24"/>
                <w:szCs w:val="24"/>
              </w:rPr>
              <w:t>-51.9%</w:t>
            </w:r>
          </w:p>
        </w:tc>
        <w:tc>
          <w:p w14:paraId="71616FE4">
            <w:pPr>
              <w:pStyle w:val="24"/>
              <w:jc w:val="right"/>
              <w:rPr>
                <w:sz w:val="24"/>
                <w:szCs w:val="24"/>
              </w:rPr>
            </w:pPr>
            <w:r>
              <w:rPr>
                <w:sz w:val="24"/>
                <w:szCs w:val="24"/>
              </w:rPr>
              <w:t>1.42</w:t>
            </w:r>
          </w:p>
        </w:tc>
        <w:tc>
          <w:p w14:paraId="08A4252E">
            <w:pPr>
              <w:pStyle w:val="24"/>
              <w:jc w:val="right"/>
              <w:rPr>
                <w:sz w:val="24"/>
                <w:szCs w:val="24"/>
              </w:rPr>
            </w:pPr>
            <w:r>
              <w:rPr>
                <w:sz w:val="24"/>
                <w:szCs w:val="24"/>
              </w:rPr>
              <w:t>15</w:t>
            </w:r>
          </w:p>
        </w:tc>
        <w:tc>
          <w:p w14:paraId="3FB6189C">
            <w:pPr>
              <w:pStyle w:val="24"/>
              <w:jc w:val="left"/>
              <w:rPr>
                <w:sz w:val="24"/>
                <w:szCs w:val="24"/>
              </w:rPr>
            </w:pPr>
            <w:r>
              <w:rPr>
                <w:rFonts w:hint="eastAsia"/>
                <w:sz w:val="24"/>
                <w:szCs w:val="24"/>
              </w:rPr>
              <w:t>存储芯片，与德明利、江波龙构成核心三角</w:t>
            </w:r>
          </w:p>
        </w:tc>
      </w:tr>
      <w:tr w14:paraId="330C1061">
        <w:tc>
          <w:p w14:paraId="70F51A90">
            <w:pPr>
              <w:pStyle w:val="24"/>
              <w:jc w:val="left"/>
              <w:rPr>
                <w:sz w:val="24"/>
                <w:szCs w:val="24"/>
              </w:rPr>
            </w:pPr>
            <w:r>
              <w:rPr>
                <w:sz w:val="24"/>
                <w:szCs w:val="24"/>
              </w:rPr>
              <w:t>301308.SZ</w:t>
            </w:r>
          </w:p>
        </w:tc>
        <w:tc>
          <w:p w14:paraId="3A5BA6C7">
            <w:pPr>
              <w:pStyle w:val="24"/>
              <w:jc w:val="left"/>
              <w:rPr>
                <w:sz w:val="24"/>
                <w:szCs w:val="24"/>
              </w:rPr>
            </w:pPr>
            <w:r>
              <w:rPr>
                <w:rFonts w:hint="eastAsia"/>
                <w:sz w:val="24"/>
                <w:szCs w:val="24"/>
              </w:rPr>
              <w:t>江波龙</w:t>
            </w:r>
          </w:p>
        </w:tc>
        <w:tc>
          <w:p w14:paraId="04A40A50">
            <w:pPr>
              <w:pStyle w:val="24"/>
              <w:jc w:val="left"/>
              <w:rPr>
                <w:sz w:val="24"/>
                <w:szCs w:val="24"/>
              </w:rPr>
            </w:pPr>
            <w:r>
              <w:rPr>
                <w:rFonts w:hint="eastAsia"/>
                <w:sz w:val="24"/>
                <w:szCs w:val="24"/>
              </w:rPr>
              <w:t>半导体</w:t>
            </w:r>
          </w:p>
        </w:tc>
        <w:tc>
          <w:p w14:paraId="3B849D1C">
            <w:pPr>
              <w:pStyle w:val="24"/>
              <w:jc w:val="right"/>
              <w:rPr>
                <w:sz w:val="24"/>
                <w:szCs w:val="24"/>
              </w:rPr>
            </w:pPr>
            <w:r>
              <w:rPr>
                <w:sz w:val="24"/>
                <w:szCs w:val="24"/>
              </w:rPr>
              <w:t>+354.3%</w:t>
            </w:r>
          </w:p>
        </w:tc>
        <w:tc>
          <w:p w14:paraId="081AE666">
            <w:pPr>
              <w:pStyle w:val="24"/>
              <w:jc w:val="right"/>
              <w:rPr>
                <w:sz w:val="24"/>
                <w:szCs w:val="24"/>
              </w:rPr>
            </w:pPr>
            <w:r>
              <w:rPr>
                <w:sz w:val="24"/>
                <w:szCs w:val="24"/>
              </w:rPr>
              <w:t>-47.9%</w:t>
            </w:r>
          </w:p>
        </w:tc>
        <w:tc>
          <w:p w14:paraId="545EFE31">
            <w:pPr>
              <w:pStyle w:val="24"/>
              <w:jc w:val="right"/>
              <w:rPr>
                <w:sz w:val="24"/>
                <w:szCs w:val="24"/>
              </w:rPr>
            </w:pPr>
            <w:r>
              <w:rPr>
                <w:sz w:val="24"/>
                <w:szCs w:val="24"/>
              </w:rPr>
              <w:t>1.40</w:t>
            </w:r>
          </w:p>
        </w:tc>
        <w:tc>
          <w:p w14:paraId="52F7DF51">
            <w:pPr>
              <w:pStyle w:val="24"/>
              <w:jc w:val="right"/>
              <w:rPr>
                <w:sz w:val="24"/>
                <w:szCs w:val="24"/>
              </w:rPr>
            </w:pPr>
            <w:r>
              <w:rPr>
                <w:sz w:val="24"/>
                <w:szCs w:val="24"/>
              </w:rPr>
              <w:t>16</w:t>
            </w:r>
          </w:p>
        </w:tc>
        <w:tc>
          <w:p w14:paraId="3AFC4BB6">
            <w:pPr>
              <w:pStyle w:val="24"/>
              <w:jc w:val="left"/>
              <w:rPr>
                <w:sz w:val="24"/>
                <w:szCs w:val="24"/>
              </w:rPr>
            </w:pPr>
            <w:r>
              <w:rPr>
                <w:rFonts w:hint="eastAsia"/>
                <w:sz w:val="24"/>
                <w:szCs w:val="24"/>
              </w:rPr>
              <w:t>存储模组，入选次数最多，贡献稳定</w:t>
            </w:r>
          </w:p>
        </w:tc>
      </w:tr>
      <w:tr w14:paraId="07DB0A4A">
        <w:tc>
          <w:p w14:paraId="7F5B6562">
            <w:pPr>
              <w:pStyle w:val="24"/>
              <w:jc w:val="left"/>
              <w:rPr>
                <w:sz w:val="24"/>
                <w:szCs w:val="24"/>
              </w:rPr>
            </w:pPr>
            <w:r>
              <w:rPr>
                <w:sz w:val="24"/>
                <w:szCs w:val="24"/>
              </w:rPr>
              <w:t>09992.HK</w:t>
            </w:r>
          </w:p>
        </w:tc>
        <w:tc>
          <w:p w14:paraId="79054A3F">
            <w:pPr>
              <w:pStyle w:val="24"/>
              <w:jc w:val="left"/>
              <w:rPr>
                <w:sz w:val="24"/>
                <w:szCs w:val="24"/>
              </w:rPr>
            </w:pPr>
            <w:r>
              <w:rPr>
                <w:rFonts w:hint="eastAsia"/>
                <w:sz w:val="24"/>
                <w:szCs w:val="24"/>
              </w:rPr>
              <w:t>泡泡玛特</w:t>
            </w:r>
          </w:p>
        </w:tc>
        <w:tc>
          <w:p w14:paraId="44FA0A01">
            <w:pPr>
              <w:pStyle w:val="24"/>
              <w:jc w:val="left"/>
              <w:rPr>
                <w:sz w:val="24"/>
                <w:szCs w:val="24"/>
              </w:rPr>
            </w:pPr>
            <w:r>
              <w:rPr>
                <w:rFonts w:hint="eastAsia"/>
                <w:sz w:val="24"/>
                <w:szCs w:val="24"/>
              </w:rPr>
              <w:t>消费</w:t>
            </w:r>
          </w:p>
        </w:tc>
        <w:tc>
          <w:p w14:paraId="2C9A50AD">
            <w:pPr>
              <w:pStyle w:val="24"/>
              <w:jc w:val="right"/>
              <w:rPr>
                <w:sz w:val="24"/>
                <w:szCs w:val="24"/>
              </w:rPr>
            </w:pPr>
            <w:r>
              <w:rPr>
                <w:sz w:val="24"/>
                <w:szCs w:val="24"/>
              </w:rPr>
              <w:t>+300.9%</w:t>
            </w:r>
          </w:p>
        </w:tc>
        <w:tc>
          <w:p w14:paraId="26658DB0">
            <w:pPr>
              <w:pStyle w:val="24"/>
              <w:jc w:val="right"/>
              <w:rPr>
                <w:sz w:val="24"/>
                <w:szCs w:val="24"/>
              </w:rPr>
            </w:pPr>
            <w:r>
              <w:rPr>
                <w:sz w:val="24"/>
                <w:szCs w:val="24"/>
              </w:rPr>
              <w:t>-57.7%</w:t>
            </w:r>
          </w:p>
        </w:tc>
        <w:tc>
          <w:p w14:paraId="6D34B327">
            <w:pPr>
              <w:pStyle w:val="24"/>
              <w:jc w:val="right"/>
              <w:rPr>
                <w:sz w:val="24"/>
                <w:szCs w:val="24"/>
              </w:rPr>
            </w:pPr>
            <w:r>
              <w:rPr>
                <w:sz w:val="24"/>
                <w:szCs w:val="24"/>
              </w:rPr>
              <w:t>1.48</w:t>
            </w:r>
          </w:p>
        </w:tc>
        <w:tc>
          <w:p w14:paraId="2E9BB7C0">
            <w:pPr>
              <w:pStyle w:val="24"/>
              <w:jc w:val="right"/>
              <w:rPr>
                <w:sz w:val="24"/>
                <w:szCs w:val="24"/>
              </w:rPr>
            </w:pPr>
            <w:r>
              <w:rPr>
                <w:sz w:val="24"/>
                <w:szCs w:val="24"/>
              </w:rPr>
              <w:t>6</w:t>
            </w:r>
          </w:p>
        </w:tc>
        <w:tc>
          <w:p w14:paraId="3526ED34">
            <w:pPr>
              <w:pStyle w:val="24"/>
              <w:jc w:val="left"/>
              <w:rPr>
                <w:sz w:val="24"/>
                <w:szCs w:val="24"/>
              </w:rPr>
            </w:pPr>
            <w:r>
              <w:rPr>
                <w:rFonts w:hint="eastAsia"/>
                <w:sz w:val="24"/>
                <w:szCs w:val="24"/>
              </w:rPr>
              <w:t>港股消费，高波动高收益</w:t>
            </w:r>
          </w:p>
        </w:tc>
      </w:tr>
      <w:tr w14:paraId="340B9F55">
        <w:tc>
          <w:p w14:paraId="128C071C">
            <w:pPr>
              <w:pStyle w:val="24"/>
              <w:jc w:val="left"/>
              <w:rPr>
                <w:sz w:val="24"/>
                <w:szCs w:val="24"/>
              </w:rPr>
            </w:pPr>
            <w:r>
              <w:rPr>
                <w:sz w:val="24"/>
                <w:szCs w:val="24"/>
              </w:rPr>
              <w:t>000333.SZ</w:t>
            </w:r>
          </w:p>
        </w:tc>
        <w:tc>
          <w:p w14:paraId="0A725113">
            <w:pPr>
              <w:pStyle w:val="24"/>
              <w:jc w:val="left"/>
              <w:rPr>
                <w:sz w:val="24"/>
                <w:szCs w:val="24"/>
              </w:rPr>
            </w:pPr>
            <w:r>
              <w:rPr>
                <w:rFonts w:hint="eastAsia"/>
                <w:sz w:val="24"/>
                <w:szCs w:val="24"/>
              </w:rPr>
              <w:t>美的集团</w:t>
            </w:r>
          </w:p>
        </w:tc>
        <w:tc>
          <w:p w14:paraId="426B36CE">
            <w:pPr>
              <w:pStyle w:val="24"/>
              <w:jc w:val="left"/>
              <w:rPr>
                <w:sz w:val="24"/>
                <w:szCs w:val="24"/>
              </w:rPr>
            </w:pPr>
            <w:r>
              <w:rPr>
                <w:rFonts w:hint="eastAsia"/>
                <w:sz w:val="24"/>
                <w:szCs w:val="24"/>
              </w:rPr>
              <w:t>消费</w:t>
            </w:r>
          </w:p>
        </w:tc>
        <w:tc>
          <w:p w14:paraId="4BA18578">
            <w:pPr>
              <w:pStyle w:val="24"/>
              <w:jc w:val="right"/>
              <w:rPr>
                <w:sz w:val="24"/>
                <w:szCs w:val="24"/>
              </w:rPr>
            </w:pPr>
            <w:r>
              <w:rPr>
                <w:sz w:val="24"/>
                <w:szCs w:val="24"/>
              </w:rPr>
              <w:t>+46.7%</w:t>
            </w:r>
          </w:p>
        </w:tc>
        <w:tc>
          <w:p w14:paraId="2CFB3140">
            <w:pPr>
              <w:pStyle w:val="24"/>
              <w:jc w:val="right"/>
              <w:rPr>
                <w:sz w:val="24"/>
                <w:szCs w:val="24"/>
              </w:rPr>
            </w:pPr>
            <w:r>
              <w:rPr>
                <w:sz w:val="24"/>
                <w:szCs w:val="24"/>
              </w:rPr>
              <w:t>-16.2%</w:t>
            </w:r>
          </w:p>
        </w:tc>
        <w:tc>
          <w:p w14:paraId="32CE247E">
            <w:pPr>
              <w:pStyle w:val="24"/>
              <w:jc w:val="right"/>
              <w:rPr>
                <w:sz w:val="24"/>
                <w:szCs w:val="24"/>
              </w:rPr>
            </w:pPr>
            <w:r>
              <w:rPr>
                <w:sz w:val="24"/>
                <w:szCs w:val="24"/>
              </w:rPr>
              <w:t>0.88</w:t>
            </w:r>
          </w:p>
        </w:tc>
        <w:tc>
          <w:p w14:paraId="63AA7CA9">
            <w:pPr>
              <w:pStyle w:val="24"/>
              <w:jc w:val="right"/>
              <w:rPr>
                <w:sz w:val="24"/>
                <w:szCs w:val="24"/>
              </w:rPr>
            </w:pPr>
            <w:r>
              <w:rPr>
                <w:sz w:val="24"/>
                <w:szCs w:val="24"/>
              </w:rPr>
              <w:t>4</w:t>
            </w:r>
          </w:p>
        </w:tc>
        <w:tc>
          <w:p w14:paraId="5919F758">
            <w:pPr>
              <w:pStyle w:val="24"/>
              <w:jc w:val="left"/>
              <w:rPr>
                <w:sz w:val="24"/>
                <w:szCs w:val="24"/>
              </w:rPr>
            </w:pPr>
            <w:r>
              <w:rPr>
                <w:rFonts w:hint="eastAsia"/>
                <w:sz w:val="24"/>
                <w:szCs w:val="24"/>
              </w:rPr>
              <w:t>家电龙头，低波动防御</w:t>
            </w:r>
          </w:p>
        </w:tc>
      </w:tr>
      <w:tr w14:paraId="4FBF8376">
        <w:tc>
          <w:p w14:paraId="5A962F2E">
            <w:pPr>
              <w:pStyle w:val="24"/>
              <w:jc w:val="left"/>
              <w:rPr>
                <w:sz w:val="24"/>
                <w:szCs w:val="24"/>
              </w:rPr>
            </w:pPr>
            <w:r>
              <w:rPr>
                <w:sz w:val="24"/>
                <w:szCs w:val="24"/>
              </w:rPr>
              <w:t>600329.SH</w:t>
            </w:r>
          </w:p>
        </w:tc>
        <w:tc>
          <w:p w14:paraId="0A6B2F31">
            <w:pPr>
              <w:pStyle w:val="24"/>
              <w:jc w:val="left"/>
              <w:rPr>
                <w:sz w:val="24"/>
                <w:szCs w:val="24"/>
              </w:rPr>
            </w:pPr>
            <w:r>
              <w:rPr>
                <w:rFonts w:hint="eastAsia"/>
                <w:sz w:val="24"/>
                <w:szCs w:val="24"/>
              </w:rPr>
              <w:t>达仁堂</w:t>
            </w:r>
          </w:p>
        </w:tc>
        <w:tc>
          <w:p w14:paraId="7EC60C17">
            <w:pPr>
              <w:pStyle w:val="24"/>
              <w:jc w:val="left"/>
              <w:rPr>
                <w:sz w:val="24"/>
                <w:szCs w:val="24"/>
              </w:rPr>
            </w:pPr>
            <w:r>
              <w:rPr>
                <w:rFonts w:hint="eastAsia"/>
                <w:sz w:val="24"/>
                <w:szCs w:val="24"/>
              </w:rPr>
              <w:t>医药</w:t>
            </w:r>
          </w:p>
        </w:tc>
        <w:tc>
          <w:p w14:paraId="6F8D22BE">
            <w:pPr>
              <w:pStyle w:val="24"/>
              <w:jc w:val="right"/>
              <w:rPr>
                <w:sz w:val="24"/>
                <w:szCs w:val="24"/>
              </w:rPr>
            </w:pPr>
            <w:r>
              <w:rPr>
                <w:sz w:val="24"/>
                <w:szCs w:val="24"/>
              </w:rPr>
              <w:t>+29.8%</w:t>
            </w:r>
          </w:p>
        </w:tc>
        <w:tc>
          <w:p w14:paraId="7F5E2D4F">
            <w:pPr>
              <w:pStyle w:val="24"/>
              <w:jc w:val="right"/>
              <w:rPr>
                <w:sz w:val="24"/>
                <w:szCs w:val="24"/>
              </w:rPr>
            </w:pPr>
            <w:r>
              <w:rPr>
                <w:sz w:val="24"/>
                <w:szCs w:val="24"/>
              </w:rPr>
              <w:t>-25.2%</w:t>
            </w:r>
          </w:p>
        </w:tc>
        <w:tc>
          <w:p w14:paraId="2C42FBB1">
            <w:pPr>
              <w:pStyle w:val="24"/>
              <w:jc w:val="right"/>
              <w:rPr>
                <w:sz w:val="24"/>
                <w:szCs w:val="24"/>
              </w:rPr>
            </w:pPr>
            <w:r>
              <w:rPr>
                <w:sz w:val="24"/>
                <w:szCs w:val="24"/>
              </w:rPr>
              <w:t>0.52</w:t>
            </w:r>
          </w:p>
        </w:tc>
        <w:tc>
          <w:p w14:paraId="45174DD6">
            <w:pPr>
              <w:pStyle w:val="24"/>
              <w:jc w:val="right"/>
              <w:rPr>
                <w:sz w:val="24"/>
                <w:szCs w:val="24"/>
              </w:rPr>
            </w:pPr>
            <w:r>
              <w:rPr>
                <w:sz w:val="24"/>
                <w:szCs w:val="24"/>
              </w:rPr>
              <w:t>6</w:t>
            </w:r>
          </w:p>
        </w:tc>
        <w:tc>
          <w:p w14:paraId="6E94393B">
            <w:pPr>
              <w:pStyle w:val="24"/>
              <w:jc w:val="left"/>
              <w:rPr>
                <w:sz w:val="24"/>
                <w:szCs w:val="24"/>
              </w:rPr>
            </w:pPr>
            <w:r>
              <w:rPr>
                <w:rFonts w:hint="eastAsia"/>
                <w:sz w:val="24"/>
                <w:szCs w:val="24"/>
              </w:rPr>
              <w:t>中药，稳健贡献</w:t>
            </w:r>
          </w:p>
        </w:tc>
      </w:tr>
      <w:tr w14:paraId="4B79CEF8">
        <w:tc>
          <w:p w14:paraId="087F8871">
            <w:pPr>
              <w:pStyle w:val="24"/>
              <w:jc w:val="left"/>
              <w:rPr>
                <w:sz w:val="24"/>
                <w:szCs w:val="24"/>
              </w:rPr>
            </w:pPr>
            <w:r>
              <w:rPr>
                <w:sz w:val="24"/>
                <w:szCs w:val="24"/>
              </w:rPr>
              <w:t>00700.HK</w:t>
            </w:r>
          </w:p>
        </w:tc>
        <w:tc>
          <w:p w14:paraId="30B9D315">
            <w:pPr>
              <w:pStyle w:val="24"/>
              <w:jc w:val="left"/>
              <w:rPr>
                <w:sz w:val="24"/>
                <w:szCs w:val="24"/>
              </w:rPr>
            </w:pPr>
            <w:r>
              <w:rPr>
                <w:rFonts w:hint="eastAsia"/>
                <w:sz w:val="24"/>
                <w:szCs w:val="24"/>
              </w:rPr>
              <w:t>腾讯控股</w:t>
            </w:r>
          </w:p>
        </w:tc>
        <w:tc>
          <w:p w14:paraId="5255B69D">
            <w:pPr>
              <w:pStyle w:val="24"/>
              <w:jc w:val="left"/>
              <w:rPr>
                <w:sz w:val="24"/>
                <w:szCs w:val="24"/>
              </w:rPr>
            </w:pPr>
            <w:r>
              <w:rPr>
                <w:rFonts w:hint="eastAsia"/>
                <w:sz w:val="24"/>
                <w:szCs w:val="24"/>
              </w:rPr>
              <w:t>互联网</w:t>
            </w:r>
          </w:p>
        </w:tc>
        <w:tc>
          <w:p w14:paraId="7CB0D4EF">
            <w:pPr>
              <w:pStyle w:val="24"/>
              <w:jc w:val="right"/>
              <w:rPr>
                <w:sz w:val="24"/>
                <w:szCs w:val="24"/>
              </w:rPr>
            </w:pPr>
            <w:r>
              <w:rPr>
                <w:sz w:val="24"/>
                <w:szCs w:val="24"/>
              </w:rPr>
              <w:t>+32.9%</w:t>
            </w:r>
          </w:p>
        </w:tc>
        <w:tc>
          <w:p w14:paraId="573C8A43">
            <w:pPr>
              <w:pStyle w:val="24"/>
              <w:jc w:val="right"/>
              <w:rPr>
                <w:sz w:val="24"/>
                <w:szCs w:val="24"/>
              </w:rPr>
            </w:pPr>
            <w:r>
              <w:rPr>
                <w:sz w:val="24"/>
                <w:szCs w:val="24"/>
              </w:rPr>
              <w:t>-38.5%</w:t>
            </w:r>
          </w:p>
        </w:tc>
        <w:tc>
          <w:p w14:paraId="2771CC37">
            <w:pPr>
              <w:pStyle w:val="24"/>
              <w:jc w:val="right"/>
              <w:rPr>
                <w:sz w:val="24"/>
                <w:szCs w:val="24"/>
              </w:rPr>
            </w:pPr>
            <w:r>
              <w:rPr>
                <w:sz w:val="24"/>
                <w:szCs w:val="24"/>
              </w:rPr>
              <w:t>0.55</w:t>
            </w:r>
          </w:p>
        </w:tc>
        <w:tc>
          <w:p w14:paraId="261078CD">
            <w:pPr>
              <w:pStyle w:val="24"/>
              <w:jc w:val="right"/>
              <w:rPr>
                <w:sz w:val="24"/>
                <w:szCs w:val="24"/>
              </w:rPr>
            </w:pPr>
            <w:r>
              <w:rPr>
                <w:sz w:val="24"/>
                <w:szCs w:val="24"/>
              </w:rPr>
              <w:t>10</w:t>
            </w:r>
          </w:p>
        </w:tc>
        <w:tc>
          <w:p w14:paraId="281286AE">
            <w:pPr>
              <w:pStyle w:val="24"/>
              <w:jc w:val="left"/>
              <w:rPr>
                <w:sz w:val="24"/>
                <w:szCs w:val="24"/>
              </w:rPr>
            </w:pPr>
            <w:r>
              <w:rPr>
                <w:rFonts w:hint="eastAsia"/>
                <w:sz w:val="24"/>
                <w:szCs w:val="24"/>
              </w:rPr>
              <w:t>港股科技，入选10次提供稳定底仓</w:t>
            </w:r>
          </w:p>
        </w:tc>
      </w:tr>
      <w:tr w14:paraId="3F0D7D3B">
        <w:tc>
          <w:p w14:paraId="5E558E7C">
            <w:pPr>
              <w:pStyle w:val="24"/>
              <w:jc w:val="left"/>
              <w:rPr>
                <w:sz w:val="24"/>
                <w:szCs w:val="24"/>
              </w:rPr>
            </w:pPr>
            <w:r>
              <w:rPr>
                <w:sz w:val="24"/>
                <w:szCs w:val="24"/>
              </w:rPr>
              <w:t>600887.SH</w:t>
            </w:r>
          </w:p>
        </w:tc>
        <w:tc>
          <w:p w14:paraId="3F95A1ED">
            <w:pPr>
              <w:pStyle w:val="24"/>
              <w:jc w:val="left"/>
              <w:rPr>
                <w:sz w:val="24"/>
                <w:szCs w:val="24"/>
              </w:rPr>
            </w:pPr>
            <w:r>
              <w:rPr>
                <w:rFonts w:hint="eastAsia"/>
                <w:sz w:val="24"/>
                <w:szCs w:val="24"/>
              </w:rPr>
              <w:t>伊利股份</w:t>
            </w:r>
          </w:p>
        </w:tc>
        <w:tc>
          <w:p w14:paraId="50AE1A76">
            <w:pPr>
              <w:pStyle w:val="24"/>
              <w:jc w:val="left"/>
              <w:rPr>
                <w:sz w:val="24"/>
                <w:szCs w:val="24"/>
              </w:rPr>
            </w:pPr>
            <w:r>
              <w:rPr>
                <w:rFonts w:hint="eastAsia"/>
                <w:sz w:val="24"/>
                <w:szCs w:val="24"/>
              </w:rPr>
              <w:t>消费</w:t>
            </w:r>
          </w:p>
        </w:tc>
        <w:tc>
          <w:p w14:paraId="633CC969">
            <w:pPr>
              <w:pStyle w:val="24"/>
              <w:jc w:val="right"/>
              <w:rPr>
                <w:sz w:val="24"/>
                <w:szCs w:val="24"/>
              </w:rPr>
            </w:pPr>
            <w:r>
              <w:rPr>
                <w:sz w:val="24"/>
                <w:szCs w:val="24"/>
              </w:rPr>
              <w:t>+12.5%</w:t>
            </w:r>
          </w:p>
        </w:tc>
        <w:tc>
          <w:p w14:paraId="1B8746DC">
            <w:pPr>
              <w:pStyle w:val="24"/>
              <w:jc w:val="right"/>
              <w:rPr>
                <w:sz w:val="24"/>
                <w:szCs w:val="24"/>
              </w:rPr>
            </w:pPr>
            <w:r>
              <w:rPr>
                <w:sz w:val="24"/>
                <w:szCs w:val="24"/>
              </w:rPr>
              <w:t>-19.1%</w:t>
            </w:r>
          </w:p>
        </w:tc>
        <w:tc>
          <w:p w14:paraId="147FF575">
            <w:pPr>
              <w:pStyle w:val="24"/>
              <w:jc w:val="right"/>
              <w:rPr>
                <w:sz w:val="24"/>
                <w:szCs w:val="24"/>
              </w:rPr>
            </w:pPr>
            <w:r>
              <w:rPr>
                <w:sz w:val="24"/>
                <w:szCs w:val="24"/>
              </w:rPr>
              <w:t>0.29</w:t>
            </w:r>
          </w:p>
        </w:tc>
        <w:tc>
          <w:p w14:paraId="2CBE771B">
            <w:pPr>
              <w:pStyle w:val="24"/>
              <w:jc w:val="right"/>
              <w:rPr>
                <w:sz w:val="24"/>
                <w:szCs w:val="24"/>
              </w:rPr>
            </w:pPr>
            <w:r>
              <w:rPr>
                <w:sz w:val="24"/>
                <w:szCs w:val="24"/>
              </w:rPr>
              <w:t>6</w:t>
            </w:r>
          </w:p>
        </w:tc>
        <w:tc>
          <w:p w14:paraId="2E40A7E4">
            <w:pPr>
              <w:pStyle w:val="24"/>
              <w:jc w:val="left"/>
              <w:rPr>
                <w:sz w:val="24"/>
                <w:szCs w:val="24"/>
              </w:rPr>
            </w:pPr>
            <w:r>
              <w:rPr>
                <w:rFonts w:hint="eastAsia"/>
                <w:sz w:val="24"/>
                <w:szCs w:val="24"/>
              </w:rPr>
              <w:t>乳业，低收益低回撤</w:t>
            </w:r>
          </w:p>
        </w:tc>
      </w:tr>
    </w:tbl>
    <w:p w14:paraId="04F258E5">
      <w:pPr>
        <w:pStyle w:val="47"/>
        <w:rPr>
          <w:sz w:val="24"/>
          <w:szCs w:val="24"/>
        </w:rPr>
      </w:pPr>
      <w:r>
        <w:rPr>
          <w:sz w:val="24"/>
          <w:szCs w:val="24"/>
        </w:rPr>
        <w:drawing>
          <wp:inline distT="0" distB="0" distL="114300" distR="114300">
            <wp:extent cx="5334000" cy="3563620"/>
            <wp:effectExtent l="0" t="0" r="0" b="0"/>
            <wp:docPr id="45" name="Picture" descr="图3：聚焦10只个股 — 风险-收益散点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Picture" descr="图3：聚焦10只个股 — 风险-收益散点图"/>
                    <pic:cNvPicPr>
                      <a:picLocks noChangeAspect="1" noChangeArrowheads="1"/>
                    </pic:cNvPicPr>
                  </pic:nvPicPr>
                  <pic:blipFill>
                    <a:blip r:embed="rId8"/>
                    <a:stretch>
                      <a:fillRect/>
                    </a:stretch>
                  </pic:blipFill>
                  <pic:spPr>
                    <a:xfrm>
                      <a:off x="0" y="0"/>
                      <a:ext cx="5334000" cy="3564027"/>
                    </a:xfrm>
                    <a:prstGeom prst="rect">
                      <a:avLst/>
                    </a:prstGeom>
                    <a:noFill/>
                    <a:ln w="9525">
                      <a:noFill/>
                    </a:ln>
                  </pic:spPr>
                </pic:pic>
              </a:graphicData>
            </a:graphic>
          </wp:inline>
        </w:drawing>
      </w:r>
    </w:p>
    <w:p w14:paraId="48E471E7">
      <w:pPr>
        <w:pStyle w:val="45"/>
        <w:rPr>
          <w:sz w:val="24"/>
          <w:szCs w:val="24"/>
        </w:rPr>
      </w:pPr>
      <w:r>
        <w:rPr>
          <w:rFonts w:hint="eastAsia"/>
          <w:sz w:val="24"/>
          <w:szCs w:val="24"/>
        </w:rPr>
        <w:t>图3：聚焦10只个股</w:t>
      </w:r>
      <w:r>
        <w:rPr>
          <w:sz w:val="24"/>
          <w:szCs w:val="24"/>
        </w:rPr>
        <w:t xml:space="preserve"> — </w:t>
      </w:r>
      <w:r>
        <w:rPr>
          <w:rFonts w:hint="eastAsia"/>
          <w:sz w:val="24"/>
          <w:szCs w:val="24"/>
        </w:rPr>
        <w:t>风险-收益散点图</w:t>
      </w:r>
    </w:p>
    <w:p w14:paraId="5D79DBEC">
      <w:pPr>
        <w:pStyle w:val="3"/>
        <w:rPr>
          <w:sz w:val="24"/>
          <w:szCs w:val="24"/>
        </w:rPr>
      </w:pPr>
      <w:r>
        <w:rPr>
          <w:rFonts w:hint="eastAsia"/>
          <w:b/>
          <w:bCs/>
          <w:sz w:val="24"/>
          <w:szCs w:val="24"/>
        </w:rPr>
        <w:t>现象</w:t>
      </w:r>
      <w:r>
        <w:rPr>
          <w:rFonts w:hint="eastAsia"/>
          <w:sz w:val="24"/>
          <w:szCs w:val="24"/>
        </w:rPr>
        <w:t>：散点图横轴为年化波动率，纵轴为区间收益率，气泡大小映射入选次数，颜色区分攻防风格。图中呈现清晰的三层结构——右上角红色进攻型半导体股（德明利、普冉股份、兆易创新、佰维存储、江波龙）集中在</w:t>
      </w:r>
      <w:r>
        <w:rPr>
          <w:sz w:val="24"/>
          <w:szCs w:val="24"/>
        </w:rPr>
        <w:t xml:space="preserve"> 65%~87% </w:t>
      </w:r>
      <w:r>
        <w:rPr>
          <w:rFonts w:hint="eastAsia"/>
          <w:sz w:val="24"/>
          <w:szCs w:val="24"/>
        </w:rPr>
        <w:t>波动率和</w:t>
      </w:r>
      <w:r>
        <w:rPr>
          <w:sz w:val="24"/>
          <w:szCs w:val="24"/>
        </w:rPr>
        <w:t xml:space="preserve"> +354%~+719% </w:t>
      </w:r>
      <w:r>
        <w:rPr>
          <w:rFonts w:hint="eastAsia"/>
          <w:sz w:val="24"/>
          <w:szCs w:val="24"/>
        </w:rPr>
        <w:t>收益区间；中间橙色平衡型腾讯控股（波动率</w:t>
      </w:r>
      <w:r>
        <w:rPr>
          <w:sz w:val="24"/>
          <w:szCs w:val="24"/>
        </w:rPr>
        <w:t xml:space="preserve"> </w:t>
      </w:r>
      <w:r>
        <w:rPr>
          <w:rFonts w:hint="eastAsia"/>
          <w:sz w:val="24"/>
          <w:szCs w:val="24"/>
        </w:rPr>
        <w:t>34%、收益</w:t>
      </w:r>
      <w:r>
        <w:rPr>
          <w:sz w:val="24"/>
          <w:szCs w:val="24"/>
        </w:rPr>
        <w:t xml:space="preserve"> </w:t>
      </w:r>
      <w:r>
        <w:rPr>
          <w:rFonts w:hint="eastAsia"/>
          <w:sz w:val="24"/>
          <w:szCs w:val="24"/>
        </w:rPr>
        <w:t>33%）居中过渡；左下角蓝色防守型消费股（美的、伊利、达仁堂）处于</w:t>
      </w:r>
      <w:r>
        <w:rPr>
          <w:sz w:val="24"/>
          <w:szCs w:val="24"/>
        </w:rPr>
        <w:t xml:space="preserve"> 19%~31% </w:t>
      </w:r>
      <w:r>
        <w:rPr>
          <w:rFonts w:hint="eastAsia"/>
          <w:sz w:val="24"/>
          <w:szCs w:val="24"/>
        </w:rPr>
        <w:t>波动率和</w:t>
      </w:r>
      <w:r>
        <w:rPr>
          <w:sz w:val="24"/>
          <w:szCs w:val="24"/>
        </w:rPr>
        <w:t xml:space="preserve"> +13%~+47% </w:t>
      </w:r>
      <w:r>
        <w:rPr>
          <w:rFonts w:hint="eastAsia"/>
          <w:sz w:val="24"/>
          <w:szCs w:val="24"/>
        </w:rPr>
        <w:t>收益区间。泡泡玛特（波动率</w:t>
      </w:r>
      <w:r>
        <w:rPr>
          <w:sz w:val="24"/>
          <w:szCs w:val="24"/>
        </w:rPr>
        <w:t xml:space="preserve"> </w:t>
      </w:r>
      <w:r>
        <w:rPr>
          <w:rFonts w:hint="eastAsia"/>
          <w:sz w:val="24"/>
          <w:szCs w:val="24"/>
        </w:rPr>
        <w:t>60%、收益</w:t>
      </w:r>
      <w:r>
        <w:rPr>
          <w:sz w:val="24"/>
          <w:szCs w:val="24"/>
        </w:rPr>
        <w:t xml:space="preserve"> </w:t>
      </w:r>
      <w:r>
        <w:rPr>
          <w:rFonts w:hint="eastAsia"/>
          <w:sz w:val="24"/>
          <w:szCs w:val="24"/>
        </w:rPr>
        <w:t>301%）位于进攻型区域，是高波动高收益的港股消费离群点。</w:t>
      </w:r>
    </w:p>
    <w:p w14:paraId="00A09FEA">
      <w:pPr>
        <w:pStyle w:val="3"/>
        <w:rPr>
          <w:sz w:val="24"/>
          <w:szCs w:val="24"/>
        </w:rPr>
      </w:pPr>
      <w:r>
        <w:rPr>
          <w:rFonts w:hint="eastAsia"/>
          <w:b/>
          <w:bCs/>
          <w:sz w:val="24"/>
          <w:szCs w:val="24"/>
        </w:rPr>
        <w:t>解释</w:t>
      </w:r>
      <w:r>
        <w:rPr>
          <w:rFonts w:hint="eastAsia"/>
          <w:sz w:val="24"/>
          <w:szCs w:val="24"/>
        </w:rPr>
        <w:t>：进攻型半导体股在</w:t>
      </w:r>
      <w:r>
        <w:rPr>
          <w:sz w:val="24"/>
          <w:szCs w:val="24"/>
        </w:rPr>
        <w:t xml:space="preserve"> 2025 </w:t>
      </w:r>
      <w:r>
        <w:rPr>
          <w:rFonts w:hint="eastAsia"/>
          <w:sz w:val="24"/>
          <w:szCs w:val="24"/>
        </w:rPr>
        <w:t>年存储芯片周期上行中获得了极高的绝对收益，但其波动率（65%~87%）也远高于全池均值。防守型消费股和医药股弹性低、绝对收益有限，但在板块回调时回撤较浅（最大回撤</w:t>
      </w:r>
      <w:r>
        <w:rPr>
          <w:sz w:val="24"/>
          <w:szCs w:val="24"/>
        </w:rPr>
        <w:t xml:space="preserve"> -16%</w:t>
      </w:r>
      <w:r>
        <w:rPr>
          <w:rFonts w:hint="eastAsia"/>
          <w:sz w:val="24"/>
          <w:szCs w:val="24"/>
          <w:vertAlign w:val="subscript"/>
        </w:rPr>
        <w:t>-25%）。腾讯控股作为唯一的平衡型标的，波动率和收益均居中，在持仓中起到”缓冲器”作用。进攻型股的夏普比率（1.4</w:t>
      </w:r>
      <w:r>
        <w:rPr>
          <w:rFonts w:hint="eastAsia"/>
          <w:sz w:val="24"/>
          <w:szCs w:val="24"/>
        </w:rPr>
        <w:t>1.9）显著优于防守型（0.3~0.9），说明策略在高波动个股上的风险调整收益更优。</w:t>
      </w:r>
    </w:p>
    <w:p w14:paraId="323CF761">
      <w:pPr>
        <w:pStyle w:val="3"/>
        <w:rPr>
          <w:sz w:val="24"/>
          <w:szCs w:val="24"/>
        </w:rPr>
      </w:pPr>
      <w:r>
        <w:rPr>
          <w:rFonts w:hint="eastAsia"/>
          <w:b/>
          <w:bCs/>
          <w:sz w:val="24"/>
          <w:szCs w:val="24"/>
        </w:rPr>
        <w:t>含义</w:t>
      </w:r>
      <w:r>
        <w:rPr>
          <w:rFonts w:hint="eastAsia"/>
          <w:sz w:val="24"/>
          <w:szCs w:val="24"/>
        </w:rPr>
        <w:t>：风险与收益正相关，但并非线性——进攻型股承担单位风险获得的超额回报远高于防守型。策略通过动量因子将仓位集中于高</w:t>
      </w:r>
      <w:r>
        <w:rPr>
          <w:sz w:val="24"/>
          <w:szCs w:val="24"/>
        </w:rPr>
        <w:t xml:space="preserve"> alpha </w:t>
      </w:r>
      <w:r>
        <w:rPr>
          <w:rFonts w:hint="eastAsia"/>
          <w:sz w:val="24"/>
          <w:szCs w:val="24"/>
        </w:rPr>
        <w:t>的进攻型半导体股，在结构性行情中实现了优异的风险调整收益，但同时也形成了对单一板块的高度依赖。</w:t>
      </w:r>
    </w:p>
    <w:bookmarkEnd w:id="27"/>
    <w:p w14:paraId="339F8734">
      <w:pPr>
        <w:pStyle w:val="4"/>
        <w:rPr>
          <w:sz w:val="24"/>
          <w:szCs w:val="24"/>
        </w:rPr>
      </w:pPr>
      <w:bookmarkStart w:id="28" w:name="贡献说明"/>
      <w:r>
        <w:rPr>
          <w:sz w:val="24"/>
          <w:szCs w:val="24"/>
        </w:rPr>
        <w:t xml:space="preserve">5.2 </w:t>
      </w:r>
      <w:r>
        <w:rPr>
          <w:rFonts w:hint="eastAsia"/>
          <w:sz w:val="24"/>
          <w:szCs w:val="24"/>
        </w:rPr>
        <w:t>贡献说明</w:t>
      </w:r>
    </w:p>
    <w:p w14:paraId="47F2170C">
      <w:pPr>
        <w:pStyle w:val="23"/>
        <w:rPr>
          <w:sz w:val="24"/>
          <w:szCs w:val="24"/>
        </w:rPr>
      </w:pPr>
      <w:r>
        <w:rPr>
          <w:rFonts w:hint="eastAsia"/>
          <w:b/>
          <w:bCs/>
          <w:sz w:val="24"/>
          <w:szCs w:val="24"/>
        </w:rPr>
        <w:t>主要拉动者</w:t>
      </w:r>
      <w:r>
        <w:rPr>
          <w:rFonts w:hint="eastAsia"/>
          <w:sz w:val="24"/>
          <w:szCs w:val="24"/>
        </w:rPr>
        <w:t>：德明利（贡献</w:t>
      </w:r>
      <w:r>
        <w:rPr>
          <w:sz w:val="24"/>
          <w:szCs w:val="24"/>
        </w:rPr>
        <w:t xml:space="preserve"> </w:t>
      </w:r>
      <w:r>
        <w:rPr>
          <w:rFonts w:hint="eastAsia"/>
          <w:sz w:val="24"/>
          <w:szCs w:val="24"/>
        </w:rPr>
        <w:t>+0.466）、江波龙（贡献</w:t>
      </w:r>
      <w:r>
        <w:rPr>
          <w:sz w:val="24"/>
          <w:szCs w:val="24"/>
        </w:rPr>
        <w:t xml:space="preserve"> </w:t>
      </w:r>
      <w:r>
        <w:rPr>
          <w:rFonts w:hint="eastAsia"/>
          <w:sz w:val="24"/>
          <w:szCs w:val="24"/>
        </w:rPr>
        <w:t>+0.404）、佰维存储（贡献</w:t>
      </w:r>
      <w:r>
        <w:rPr>
          <w:sz w:val="24"/>
          <w:szCs w:val="24"/>
        </w:rPr>
        <w:t xml:space="preserve"> </w:t>
      </w:r>
      <w:r>
        <w:rPr>
          <w:rFonts w:hint="eastAsia"/>
          <w:sz w:val="24"/>
          <w:szCs w:val="24"/>
        </w:rPr>
        <w:t>+0.374）。三只存储芯片股合计贡献了组合约124%的收益，是策略超额收益的核心来源。它们在19个调仓月中有15-16个月被选中，构成策略的”核心三角”。</w:t>
      </w:r>
    </w:p>
    <w:p w14:paraId="2073DA0C">
      <w:pPr>
        <w:pStyle w:val="3"/>
        <w:rPr>
          <w:sz w:val="24"/>
          <w:szCs w:val="24"/>
        </w:rPr>
      </w:pPr>
      <w:r>
        <w:rPr>
          <w:rFonts w:hint="eastAsia"/>
          <w:b/>
          <w:bCs/>
          <w:sz w:val="24"/>
          <w:szCs w:val="24"/>
        </w:rPr>
        <w:t>主要拖累者</w:t>
      </w:r>
      <w:r>
        <w:rPr>
          <w:rFonts w:hint="eastAsia"/>
          <w:sz w:val="24"/>
          <w:szCs w:val="24"/>
        </w:rPr>
        <w:t>：奇正藏药（贡献</w:t>
      </w:r>
      <w:r>
        <w:rPr>
          <w:sz w:val="24"/>
          <w:szCs w:val="24"/>
        </w:rPr>
        <w:t xml:space="preserve"> </w:t>
      </w:r>
      <w:r>
        <w:rPr>
          <w:rFonts w:hint="eastAsia"/>
          <w:sz w:val="24"/>
          <w:szCs w:val="24"/>
        </w:rPr>
        <w:t>-0.047）、贵州茅台（贡献</w:t>
      </w:r>
      <w:r>
        <w:rPr>
          <w:sz w:val="24"/>
          <w:szCs w:val="24"/>
        </w:rPr>
        <w:t xml:space="preserve"> </w:t>
      </w:r>
      <w:r>
        <w:rPr>
          <w:rFonts w:hint="eastAsia"/>
          <w:sz w:val="24"/>
          <w:szCs w:val="24"/>
        </w:rPr>
        <w:t>-0.016）、澜起科技（贡献</w:t>
      </w:r>
      <w:r>
        <w:rPr>
          <w:sz w:val="24"/>
          <w:szCs w:val="24"/>
        </w:rPr>
        <w:t xml:space="preserve"> </w:t>
      </w:r>
      <w:r>
        <w:rPr>
          <w:rFonts w:hint="eastAsia"/>
          <w:sz w:val="24"/>
          <w:szCs w:val="24"/>
        </w:rPr>
        <w:t>-0.013）。这些股票在入选期间经历了回撤，小幅拖累了组合表现。腾讯控股（贡献</w:t>
      </w:r>
      <w:r>
        <w:rPr>
          <w:sz w:val="24"/>
          <w:szCs w:val="24"/>
        </w:rPr>
        <w:t xml:space="preserve"> </w:t>
      </w:r>
      <w:r>
        <w:rPr>
          <w:rFonts w:hint="eastAsia"/>
          <w:sz w:val="24"/>
          <w:szCs w:val="24"/>
        </w:rPr>
        <w:t>-0.003）虽入选10次但持仓期间整体微亏。</w:t>
      </w:r>
    </w:p>
    <w:p w14:paraId="5FE3BA8B">
      <w:pPr>
        <w:pStyle w:val="3"/>
        <w:rPr>
          <w:sz w:val="24"/>
          <w:szCs w:val="24"/>
        </w:rPr>
      </w:pPr>
      <w:r>
        <w:rPr>
          <w:rFonts w:hint="eastAsia"/>
          <w:b/>
          <w:bCs/>
          <w:sz w:val="24"/>
          <w:szCs w:val="24"/>
        </w:rPr>
        <w:t>行业分布</w:t>
      </w:r>
      <w:r>
        <w:rPr>
          <w:rFonts w:hint="eastAsia"/>
          <w:sz w:val="24"/>
          <w:szCs w:val="24"/>
        </w:rPr>
        <w:t>：策略收益高度集中于存储芯片板块（德明利、江波龙、佰维存储），反映了2025年半导体周期上行带来的行业beta。港股（腾讯、泡泡玛特）提供了约22%的收益贡献作为补充。消费板块（美的、伊利）提供了防御性底仓但贡献有限。这一集中度特征与</w:t>
      </w:r>
      <w:r>
        <w:rPr>
          <w:sz w:val="24"/>
          <w:szCs w:val="24"/>
        </w:rPr>
        <w:t xml:space="preserve"> Asness, Moskowitz &amp; Pedersen (2013) </w:t>
      </w:r>
      <w:r>
        <w:rPr>
          <w:rFonts w:hint="eastAsia"/>
          <w:sz w:val="24"/>
          <w:szCs w:val="24"/>
        </w:rPr>
        <w:t>关于动量因子在特定行业集群中表现更突出的发现一致。</w:t>
      </w:r>
    </w:p>
    <w:p w14:paraId="6109B762">
      <w:pPr>
        <w:pStyle w:val="47"/>
        <w:rPr>
          <w:sz w:val="24"/>
          <w:szCs w:val="24"/>
        </w:rPr>
      </w:pPr>
      <w:r>
        <w:rPr>
          <w:sz w:val="24"/>
          <w:szCs w:val="24"/>
        </w:rPr>
        <w:drawing>
          <wp:inline distT="0" distB="0" distL="114300" distR="114300">
            <wp:extent cx="5334000" cy="4460240"/>
            <wp:effectExtent l="0" t="0" r="0" b="0"/>
            <wp:docPr id="49" name="Picture" descr="图4：个股贡献度排名"/>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Picture" descr="图4：个股贡献度排名"/>
                    <pic:cNvPicPr>
                      <a:picLocks noChangeAspect="1" noChangeArrowheads="1"/>
                    </pic:cNvPicPr>
                  </pic:nvPicPr>
                  <pic:blipFill>
                    <a:blip r:embed="rId9"/>
                    <a:stretch>
                      <a:fillRect/>
                    </a:stretch>
                  </pic:blipFill>
                  <pic:spPr>
                    <a:xfrm>
                      <a:off x="0" y="0"/>
                      <a:ext cx="5334000" cy="4460508"/>
                    </a:xfrm>
                    <a:prstGeom prst="rect">
                      <a:avLst/>
                    </a:prstGeom>
                    <a:noFill/>
                    <a:ln w="9525">
                      <a:noFill/>
                    </a:ln>
                  </pic:spPr>
                </pic:pic>
              </a:graphicData>
            </a:graphic>
          </wp:inline>
        </w:drawing>
      </w:r>
    </w:p>
    <w:p w14:paraId="4C25181A">
      <w:pPr>
        <w:pStyle w:val="45"/>
        <w:jc w:val="center"/>
        <w:rPr>
          <w:sz w:val="24"/>
          <w:szCs w:val="24"/>
        </w:rPr>
      </w:pPr>
      <w:r>
        <w:rPr>
          <w:rFonts w:hint="eastAsia"/>
          <w:sz w:val="24"/>
          <w:szCs w:val="24"/>
        </w:rPr>
        <w:t>图4：个股贡献度排名</w:t>
      </w:r>
    </w:p>
    <w:p w14:paraId="401E4FD0">
      <w:pPr>
        <w:pStyle w:val="3"/>
        <w:rPr>
          <w:sz w:val="24"/>
          <w:szCs w:val="24"/>
        </w:rPr>
      </w:pPr>
      <w:r>
        <w:rPr>
          <w:rFonts w:hint="eastAsia"/>
          <w:b/>
          <w:bCs/>
          <w:sz w:val="24"/>
          <w:szCs w:val="24"/>
        </w:rPr>
        <w:t>现象</w:t>
      </w:r>
      <w:r>
        <w:rPr>
          <w:rFonts w:hint="eastAsia"/>
          <w:sz w:val="24"/>
          <w:szCs w:val="24"/>
        </w:rPr>
        <w:t>：条形图按贡献度从高到低排列全部</w:t>
      </w:r>
      <w:r>
        <w:rPr>
          <w:sz w:val="24"/>
          <w:szCs w:val="24"/>
        </w:rPr>
        <w:t xml:space="preserve"> 20 </w:t>
      </w:r>
      <w:r>
        <w:rPr>
          <w:rFonts w:hint="eastAsia"/>
          <w:sz w:val="24"/>
          <w:szCs w:val="24"/>
        </w:rPr>
        <w:t>只股票。红色半导体股（德明利、江波龙、佰维存储、兆易创新、普冉股份）占据前</w:t>
      </w:r>
      <w:r>
        <w:rPr>
          <w:sz w:val="24"/>
          <w:szCs w:val="24"/>
        </w:rPr>
        <w:t xml:space="preserve"> 5 </w:t>
      </w:r>
      <w:r>
        <w:rPr>
          <w:rFonts w:hint="eastAsia"/>
          <w:sz w:val="24"/>
          <w:szCs w:val="24"/>
        </w:rPr>
        <w:t>名，合计贡献超过</w:t>
      </w:r>
      <w:r>
        <w:rPr>
          <w:sz w:val="24"/>
          <w:szCs w:val="24"/>
        </w:rPr>
        <w:t xml:space="preserve"> </w:t>
      </w:r>
      <w:r>
        <w:rPr>
          <w:rFonts w:hint="eastAsia"/>
          <w:sz w:val="24"/>
          <w:szCs w:val="24"/>
        </w:rPr>
        <w:t>1.3。绿色医药股和蓝色消费股集中在零附近，贡献有限。6</w:t>
      </w:r>
      <w:r>
        <w:rPr>
          <w:sz w:val="24"/>
          <w:szCs w:val="24"/>
        </w:rPr>
        <w:t xml:space="preserve"> </w:t>
      </w:r>
      <w:r>
        <w:rPr>
          <w:rFonts w:hint="eastAsia"/>
          <w:sz w:val="24"/>
          <w:szCs w:val="24"/>
        </w:rPr>
        <w:t>只从未被选中的股票贡献为零，腾讯控股虽入选</w:t>
      </w:r>
      <w:r>
        <w:rPr>
          <w:sz w:val="24"/>
          <w:szCs w:val="24"/>
        </w:rPr>
        <w:t xml:space="preserve"> 10 </w:t>
      </w:r>
      <w:r>
        <w:rPr>
          <w:rFonts w:hint="eastAsia"/>
          <w:sz w:val="24"/>
          <w:szCs w:val="24"/>
        </w:rPr>
        <w:t>次但贡献为负（-0.003）。</w:t>
      </w:r>
    </w:p>
    <w:p w14:paraId="766714FD">
      <w:pPr>
        <w:pStyle w:val="3"/>
        <w:rPr>
          <w:sz w:val="24"/>
          <w:szCs w:val="24"/>
        </w:rPr>
      </w:pPr>
      <w:r>
        <w:rPr>
          <w:rFonts w:hint="eastAsia"/>
          <w:b/>
          <w:bCs/>
          <w:sz w:val="24"/>
          <w:szCs w:val="24"/>
        </w:rPr>
        <w:t>解释</w:t>
      </w:r>
      <w:r>
        <w:rPr>
          <w:rFonts w:hint="eastAsia"/>
          <w:sz w:val="24"/>
          <w:szCs w:val="24"/>
        </w:rPr>
        <w:t>：德明利（+0.466）、江波龙（+0.404）、佰维存储（+0.374）三只存储芯片股在</w:t>
      </w:r>
      <w:r>
        <w:rPr>
          <w:sz w:val="24"/>
          <w:szCs w:val="24"/>
        </w:rPr>
        <w:t xml:space="preserve"> 19 </w:t>
      </w:r>
      <w:r>
        <w:rPr>
          <w:rFonts w:hint="eastAsia"/>
          <w:sz w:val="24"/>
          <w:szCs w:val="24"/>
        </w:rPr>
        <w:t>个调仓月中有</w:t>
      </w:r>
      <w:r>
        <w:rPr>
          <w:sz w:val="24"/>
          <w:szCs w:val="24"/>
        </w:rPr>
        <w:t xml:space="preserve"> 15-16 </w:t>
      </w:r>
      <w:r>
        <w:rPr>
          <w:rFonts w:hint="eastAsia"/>
          <w:sz w:val="24"/>
          <w:szCs w:val="24"/>
        </w:rPr>
        <w:t>个月被选中，构成策略的”核心三角”，合计贡献约</w:t>
      </w:r>
      <w:r>
        <w:rPr>
          <w:sz w:val="24"/>
          <w:szCs w:val="24"/>
        </w:rPr>
        <w:t xml:space="preserve"> 124% </w:t>
      </w:r>
      <w:r>
        <w:rPr>
          <w:rFonts w:hint="eastAsia"/>
          <w:sz w:val="24"/>
          <w:szCs w:val="24"/>
        </w:rPr>
        <w:t>的组合收益。它们的正贡献来源于</w:t>
      </w:r>
      <w:r>
        <w:rPr>
          <w:sz w:val="24"/>
          <w:szCs w:val="24"/>
        </w:rPr>
        <w:t xml:space="preserve"> 2025 </w:t>
      </w:r>
      <w:r>
        <w:rPr>
          <w:rFonts w:hint="eastAsia"/>
          <w:sz w:val="24"/>
          <w:szCs w:val="24"/>
        </w:rPr>
        <w:t>年半导体周期上行期间的持续上涨。腾讯控股虽入选</w:t>
      </w:r>
      <w:r>
        <w:rPr>
          <w:sz w:val="24"/>
          <w:szCs w:val="24"/>
        </w:rPr>
        <w:t xml:space="preserve"> 10 </w:t>
      </w:r>
      <w:r>
        <w:rPr>
          <w:rFonts w:hint="eastAsia"/>
          <w:sz w:val="24"/>
          <w:szCs w:val="24"/>
        </w:rPr>
        <w:t>次但持仓期间整体微亏，说明高入选频率不等于正向贡献——持仓时点的价格走势才是决定因素。6</w:t>
      </w:r>
      <w:r>
        <w:rPr>
          <w:sz w:val="24"/>
          <w:szCs w:val="24"/>
        </w:rPr>
        <w:t xml:space="preserve"> </w:t>
      </w:r>
      <w:r>
        <w:rPr>
          <w:rFonts w:hint="eastAsia"/>
          <w:sz w:val="24"/>
          <w:szCs w:val="24"/>
        </w:rPr>
        <w:t>只从未被选中的股票（同仁堂、片仔癀、云南白药、恒瑞医药、百济神州、红利ETF）因动量和基本面因子排名始终靠后，贡献为零。</w:t>
      </w:r>
    </w:p>
    <w:p w14:paraId="67F8CA68">
      <w:pPr>
        <w:pStyle w:val="3"/>
        <w:rPr>
          <w:sz w:val="24"/>
          <w:szCs w:val="24"/>
        </w:rPr>
      </w:pPr>
      <w:r>
        <w:rPr>
          <w:rFonts w:hint="eastAsia"/>
          <w:b/>
          <w:bCs/>
          <w:sz w:val="24"/>
          <w:szCs w:val="24"/>
        </w:rPr>
        <w:t>含义</w:t>
      </w:r>
      <w:r>
        <w:rPr>
          <w:rFonts w:hint="eastAsia"/>
          <w:sz w:val="24"/>
          <w:szCs w:val="24"/>
        </w:rPr>
        <w:t>：组合收益高度集中于少数个股和单一板块，存在极端的头部依赖——前</w:t>
      </w:r>
      <w:r>
        <w:rPr>
          <w:sz w:val="24"/>
          <w:szCs w:val="24"/>
        </w:rPr>
        <w:t xml:space="preserve"> 3 </w:t>
      </w:r>
      <w:r>
        <w:rPr>
          <w:rFonts w:hint="eastAsia"/>
          <w:sz w:val="24"/>
          <w:szCs w:val="24"/>
        </w:rPr>
        <w:t>只股票贡献了约</w:t>
      </w:r>
      <w:r>
        <w:rPr>
          <w:sz w:val="24"/>
          <w:szCs w:val="24"/>
        </w:rPr>
        <w:t xml:space="preserve"> 124% </w:t>
      </w:r>
      <w:r>
        <w:rPr>
          <w:rFonts w:hint="eastAsia"/>
          <w:sz w:val="24"/>
          <w:szCs w:val="24"/>
        </w:rPr>
        <w:t>的收益。这一集中度特征与动量因子在特定行业集群中表现更突出的发现一致</w:t>
      </w:r>
      <w:r>
        <w:rPr>
          <w:sz w:val="24"/>
          <w:szCs w:val="24"/>
        </w:rPr>
        <w:t xml:space="preserve"> (Asness, Moskowitz &amp; Pedersen, </w:t>
      </w:r>
      <w:r>
        <w:rPr>
          <w:rFonts w:hint="eastAsia"/>
          <w:sz w:val="24"/>
          <w:szCs w:val="24"/>
        </w:rPr>
        <w:t>2013)，但也意味着若存储芯片板块发生系统性回调，策略收益将受到严重冲击。</w:t>
      </w:r>
    </w:p>
    <w:bookmarkEnd w:id="28"/>
    <w:p w14:paraId="33308A86">
      <w:pPr>
        <w:pStyle w:val="4"/>
        <w:rPr>
          <w:sz w:val="24"/>
          <w:szCs w:val="24"/>
        </w:rPr>
      </w:pPr>
      <w:bookmarkStart w:id="29" w:name="市场环境表现"/>
      <w:r>
        <w:rPr>
          <w:sz w:val="24"/>
          <w:szCs w:val="24"/>
        </w:rPr>
        <w:t xml:space="preserve">5.3 </w:t>
      </w:r>
      <w:r>
        <w:rPr>
          <w:rFonts w:hint="eastAsia"/>
          <w:sz w:val="24"/>
          <w:szCs w:val="24"/>
        </w:rPr>
        <w:t>市场环境表现</w:t>
      </w:r>
    </w:p>
    <w:p w14:paraId="2FC0E798">
      <w:pPr>
        <w:pStyle w:val="23"/>
        <w:rPr>
          <w:sz w:val="24"/>
          <w:szCs w:val="24"/>
        </w:rPr>
      </w:pPr>
      <w:r>
        <w:rPr>
          <w:rFonts w:hint="eastAsia"/>
          <w:sz w:val="24"/>
          <w:szCs w:val="24"/>
        </w:rPr>
        <w:t>按季度划分市场状态（沪深300季度收益</w:t>
      </w:r>
      <w:r>
        <w:rPr>
          <w:sz w:val="24"/>
          <w:szCs w:val="24"/>
        </w:rPr>
        <w:t xml:space="preserve"> </w:t>
      </w:r>
      <w:r>
        <w:rPr>
          <w:rFonts w:hint="eastAsia"/>
          <w:sz w:val="24"/>
          <w:szCs w:val="24"/>
        </w:rPr>
        <w:t>&gt;10%为上涨市，&lt;-5%为下跌市，其余为震荡市）：</w:t>
      </w:r>
    </w:p>
    <w:tbl>
      <w:tblPr>
        <w:tblStyle w:val="41"/>
        <w:tblW w:w="0" w:type="auto"/>
        <w:tblInd w:w="0" w:type="dxa"/>
        <w:tblLayout w:type="autofit"/>
        <w:tblCellMar>
          <w:top w:w="0" w:type="dxa"/>
          <w:left w:w="108" w:type="dxa"/>
          <w:bottom w:w="0" w:type="dxa"/>
          <w:right w:w="108" w:type="dxa"/>
        </w:tblCellMar>
      </w:tblPr>
      <w:tblGrid>
        <w:gridCol w:w="1176"/>
        <w:gridCol w:w="1066"/>
        <w:gridCol w:w="1416"/>
        <w:gridCol w:w="1416"/>
        <w:gridCol w:w="1176"/>
      </w:tblGrid>
      <w:tr w14:paraId="552167C9">
        <w:trPr>
          <w:tblHeader/>
        </w:trPr>
        <w:tc>
          <w:p w14:paraId="6BDB12B7">
            <w:pPr>
              <w:pStyle w:val="24"/>
              <w:jc w:val="left"/>
              <w:rPr>
                <w:sz w:val="24"/>
                <w:szCs w:val="24"/>
              </w:rPr>
            </w:pPr>
            <w:r>
              <w:rPr>
                <w:rFonts w:hint="eastAsia"/>
                <w:sz w:val="24"/>
                <w:szCs w:val="24"/>
              </w:rPr>
              <w:t>市场状态</w:t>
            </w:r>
          </w:p>
        </w:tc>
        <w:tc>
          <w:p w14:paraId="6EB7F11F">
            <w:pPr>
              <w:pStyle w:val="24"/>
              <w:jc w:val="left"/>
              <w:rPr>
                <w:sz w:val="24"/>
                <w:szCs w:val="24"/>
              </w:rPr>
            </w:pPr>
            <w:r>
              <w:rPr>
                <w:rFonts w:hint="eastAsia"/>
                <w:sz w:val="24"/>
                <w:szCs w:val="24"/>
              </w:rPr>
              <w:t>时段</w:t>
            </w:r>
          </w:p>
        </w:tc>
        <w:tc>
          <w:p w14:paraId="7CB0C609">
            <w:pPr>
              <w:pStyle w:val="24"/>
              <w:jc w:val="right"/>
              <w:rPr>
                <w:sz w:val="24"/>
                <w:szCs w:val="24"/>
              </w:rPr>
            </w:pPr>
            <w:r>
              <w:rPr>
                <w:rFonts w:hint="eastAsia"/>
                <w:sz w:val="24"/>
                <w:szCs w:val="24"/>
              </w:rPr>
              <w:t>组合收益率</w:t>
            </w:r>
          </w:p>
        </w:tc>
        <w:tc>
          <w:p w14:paraId="03BDB9B6">
            <w:pPr>
              <w:pStyle w:val="24"/>
              <w:jc w:val="right"/>
              <w:rPr>
                <w:sz w:val="24"/>
                <w:szCs w:val="24"/>
              </w:rPr>
            </w:pPr>
            <w:r>
              <w:rPr>
                <w:rFonts w:hint="eastAsia"/>
                <w:sz w:val="24"/>
                <w:szCs w:val="24"/>
              </w:rPr>
              <w:t>基准收益率</w:t>
            </w:r>
          </w:p>
        </w:tc>
        <w:tc>
          <w:p w14:paraId="4F579642">
            <w:pPr>
              <w:pStyle w:val="24"/>
              <w:jc w:val="center"/>
              <w:rPr>
                <w:sz w:val="24"/>
                <w:szCs w:val="24"/>
              </w:rPr>
            </w:pPr>
            <w:r>
              <w:rPr>
                <w:rFonts w:hint="eastAsia"/>
                <w:sz w:val="24"/>
                <w:szCs w:val="24"/>
              </w:rPr>
              <w:t>是否跑赢</w:t>
            </w:r>
          </w:p>
        </w:tc>
      </w:tr>
      <w:tr w14:paraId="352D842C">
        <w:tc>
          <w:p w14:paraId="1C64D3BE">
            <w:pPr>
              <w:pStyle w:val="24"/>
              <w:jc w:val="left"/>
              <w:rPr>
                <w:sz w:val="24"/>
                <w:szCs w:val="24"/>
              </w:rPr>
            </w:pPr>
            <w:r>
              <w:rPr>
                <w:rFonts w:hint="eastAsia"/>
                <w:sz w:val="24"/>
                <w:szCs w:val="24"/>
              </w:rPr>
              <w:t>震荡市</w:t>
            </w:r>
          </w:p>
        </w:tc>
        <w:tc>
          <w:p w14:paraId="0ECF34BD">
            <w:pPr>
              <w:pStyle w:val="24"/>
              <w:jc w:val="left"/>
              <w:rPr>
                <w:sz w:val="24"/>
                <w:szCs w:val="24"/>
              </w:rPr>
            </w:pPr>
            <w:r>
              <w:rPr>
                <w:sz w:val="24"/>
                <w:szCs w:val="24"/>
              </w:rPr>
              <w:t>2025Q1</w:t>
            </w:r>
          </w:p>
        </w:tc>
        <w:tc>
          <w:p w14:paraId="3B624320">
            <w:pPr>
              <w:pStyle w:val="24"/>
              <w:jc w:val="right"/>
              <w:rPr>
                <w:sz w:val="24"/>
                <w:szCs w:val="24"/>
              </w:rPr>
            </w:pPr>
            <w:r>
              <w:rPr>
                <w:sz w:val="24"/>
                <w:szCs w:val="24"/>
              </w:rPr>
              <w:t>+13.7%</w:t>
            </w:r>
          </w:p>
        </w:tc>
        <w:tc>
          <w:p w14:paraId="0F7FB584">
            <w:pPr>
              <w:pStyle w:val="24"/>
              <w:jc w:val="right"/>
              <w:rPr>
                <w:sz w:val="24"/>
                <w:szCs w:val="24"/>
              </w:rPr>
            </w:pPr>
            <w:r>
              <w:rPr>
                <w:sz w:val="24"/>
                <w:szCs w:val="24"/>
              </w:rPr>
              <w:t>+1.8%</w:t>
            </w:r>
          </w:p>
        </w:tc>
        <w:tc>
          <w:p w14:paraId="72712A8C">
            <w:pPr>
              <w:pStyle w:val="24"/>
              <w:jc w:val="center"/>
              <w:rPr>
                <w:sz w:val="24"/>
                <w:szCs w:val="24"/>
              </w:rPr>
            </w:pPr>
            <w:r>
              <w:rPr>
                <w:rFonts w:hint="eastAsia"/>
                <w:sz w:val="24"/>
                <w:szCs w:val="24"/>
              </w:rPr>
              <w:t>是</w:t>
            </w:r>
          </w:p>
        </w:tc>
      </w:tr>
      <w:tr w14:paraId="497D21F0">
        <w:tc>
          <w:p w14:paraId="5B4C6470">
            <w:pPr>
              <w:pStyle w:val="24"/>
              <w:jc w:val="left"/>
              <w:rPr>
                <w:sz w:val="24"/>
                <w:szCs w:val="24"/>
              </w:rPr>
            </w:pPr>
            <w:r>
              <w:rPr>
                <w:rFonts w:hint="eastAsia"/>
                <w:sz w:val="24"/>
                <w:szCs w:val="24"/>
              </w:rPr>
              <w:t>震荡市</w:t>
            </w:r>
          </w:p>
        </w:tc>
        <w:tc>
          <w:p w14:paraId="34D67B3C">
            <w:pPr>
              <w:pStyle w:val="24"/>
              <w:jc w:val="left"/>
              <w:rPr>
                <w:sz w:val="24"/>
                <w:szCs w:val="24"/>
              </w:rPr>
            </w:pPr>
            <w:r>
              <w:rPr>
                <w:sz w:val="24"/>
                <w:szCs w:val="24"/>
              </w:rPr>
              <w:t>2025Q2</w:t>
            </w:r>
          </w:p>
        </w:tc>
        <w:tc>
          <w:p w14:paraId="110DDE3D">
            <w:pPr>
              <w:pStyle w:val="24"/>
              <w:jc w:val="right"/>
              <w:rPr>
                <w:sz w:val="24"/>
                <w:szCs w:val="24"/>
              </w:rPr>
            </w:pPr>
            <w:r>
              <w:rPr>
                <w:sz w:val="24"/>
                <w:szCs w:val="24"/>
              </w:rPr>
              <w:t>+2.7%</w:t>
            </w:r>
          </w:p>
        </w:tc>
        <w:tc>
          <w:p w14:paraId="63E506BC">
            <w:pPr>
              <w:pStyle w:val="24"/>
              <w:jc w:val="right"/>
              <w:rPr>
                <w:sz w:val="24"/>
                <w:szCs w:val="24"/>
              </w:rPr>
            </w:pPr>
            <w:r>
              <w:rPr>
                <w:sz w:val="24"/>
                <w:szCs w:val="24"/>
              </w:rPr>
              <w:t>+1.2%</w:t>
            </w:r>
          </w:p>
        </w:tc>
        <w:tc>
          <w:p w14:paraId="57BDBCDA">
            <w:pPr>
              <w:pStyle w:val="24"/>
              <w:jc w:val="center"/>
              <w:rPr>
                <w:sz w:val="24"/>
                <w:szCs w:val="24"/>
              </w:rPr>
            </w:pPr>
            <w:r>
              <w:rPr>
                <w:rFonts w:hint="eastAsia"/>
                <w:sz w:val="24"/>
                <w:szCs w:val="24"/>
              </w:rPr>
              <w:t>是</w:t>
            </w:r>
          </w:p>
        </w:tc>
      </w:tr>
      <w:tr w14:paraId="42161EC1">
        <w:tc>
          <w:p w14:paraId="0ED89F2A">
            <w:pPr>
              <w:pStyle w:val="24"/>
              <w:jc w:val="left"/>
              <w:rPr>
                <w:sz w:val="24"/>
                <w:szCs w:val="24"/>
              </w:rPr>
            </w:pPr>
            <w:r>
              <w:rPr>
                <w:rFonts w:hint="eastAsia"/>
                <w:sz w:val="24"/>
                <w:szCs w:val="24"/>
              </w:rPr>
              <w:t>上涨市</w:t>
            </w:r>
          </w:p>
        </w:tc>
        <w:tc>
          <w:p w14:paraId="0B6845ED">
            <w:pPr>
              <w:pStyle w:val="24"/>
              <w:jc w:val="left"/>
              <w:rPr>
                <w:sz w:val="24"/>
                <w:szCs w:val="24"/>
              </w:rPr>
            </w:pPr>
            <w:r>
              <w:rPr>
                <w:sz w:val="24"/>
                <w:szCs w:val="24"/>
              </w:rPr>
              <w:t>2025Q3</w:t>
            </w:r>
          </w:p>
        </w:tc>
        <w:tc>
          <w:p w14:paraId="4E6AE446">
            <w:pPr>
              <w:pStyle w:val="24"/>
              <w:jc w:val="right"/>
              <w:rPr>
                <w:sz w:val="24"/>
                <w:szCs w:val="24"/>
              </w:rPr>
            </w:pPr>
            <w:r>
              <w:rPr>
                <w:sz w:val="24"/>
                <w:szCs w:val="24"/>
              </w:rPr>
              <w:t>+69.8%</w:t>
            </w:r>
          </w:p>
        </w:tc>
        <w:tc>
          <w:p w14:paraId="371ED214">
            <w:pPr>
              <w:pStyle w:val="24"/>
              <w:jc w:val="right"/>
              <w:rPr>
                <w:sz w:val="24"/>
                <w:szCs w:val="24"/>
              </w:rPr>
            </w:pPr>
            <w:r>
              <w:rPr>
                <w:sz w:val="24"/>
                <w:szCs w:val="24"/>
              </w:rPr>
              <w:t>+17.7%</w:t>
            </w:r>
          </w:p>
        </w:tc>
        <w:tc>
          <w:p w14:paraId="0790C700">
            <w:pPr>
              <w:pStyle w:val="24"/>
              <w:jc w:val="center"/>
              <w:rPr>
                <w:sz w:val="24"/>
                <w:szCs w:val="24"/>
              </w:rPr>
            </w:pPr>
            <w:r>
              <w:rPr>
                <w:rFonts w:hint="eastAsia"/>
                <w:sz w:val="24"/>
                <w:szCs w:val="24"/>
              </w:rPr>
              <w:t>是</w:t>
            </w:r>
          </w:p>
        </w:tc>
      </w:tr>
      <w:tr w14:paraId="454A91B5">
        <w:tc>
          <w:p w14:paraId="312FC80A">
            <w:pPr>
              <w:pStyle w:val="24"/>
              <w:jc w:val="left"/>
              <w:rPr>
                <w:sz w:val="24"/>
                <w:szCs w:val="24"/>
              </w:rPr>
            </w:pPr>
            <w:r>
              <w:rPr>
                <w:rFonts w:hint="eastAsia"/>
                <w:sz w:val="24"/>
                <w:szCs w:val="24"/>
              </w:rPr>
              <w:t>震荡市</w:t>
            </w:r>
          </w:p>
        </w:tc>
        <w:tc>
          <w:p w14:paraId="62E2F7F0">
            <w:pPr>
              <w:pStyle w:val="24"/>
              <w:jc w:val="left"/>
              <w:rPr>
                <w:sz w:val="24"/>
                <w:szCs w:val="24"/>
              </w:rPr>
            </w:pPr>
            <w:r>
              <w:rPr>
                <w:sz w:val="24"/>
                <w:szCs w:val="24"/>
              </w:rPr>
              <w:t>2025Q4</w:t>
            </w:r>
          </w:p>
        </w:tc>
        <w:tc>
          <w:p w14:paraId="0D16A346">
            <w:pPr>
              <w:pStyle w:val="24"/>
              <w:jc w:val="right"/>
              <w:rPr>
                <w:sz w:val="24"/>
                <w:szCs w:val="24"/>
              </w:rPr>
            </w:pPr>
            <w:r>
              <w:rPr>
                <w:sz w:val="24"/>
                <w:szCs w:val="24"/>
              </w:rPr>
              <w:t>+14.9%</w:t>
            </w:r>
          </w:p>
        </w:tc>
        <w:tc>
          <w:p w14:paraId="600D25D7">
            <w:pPr>
              <w:pStyle w:val="24"/>
              <w:jc w:val="right"/>
              <w:rPr>
                <w:sz w:val="24"/>
                <w:szCs w:val="24"/>
              </w:rPr>
            </w:pPr>
            <w:r>
              <w:rPr>
                <w:sz w:val="24"/>
                <w:szCs w:val="24"/>
              </w:rPr>
              <w:t>-1.7%</w:t>
            </w:r>
          </w:p>
        </w:tc>
        <w:tc>
          <w:p w14:paraId="2B04BE32">
            <w:pPr>
              <w:pStyle w:val="24"/>
              <w:jc w:val="center"/>
              <w:rPr>
                <w:sz w:val="24"/>
                <w:szCs w:val="24"/>
              </w:rPr>
            </w:pPr>
            <w:r>
              <w:rPr>
                <w:rFonts w:hint="eastAsia"/>
                <w:sz w:val="24"/>
                <w:szCs w:val="24"/>
              </w:rPr>
              <w:t>是</w:t>
            </w:r>
          </w:p>
        </w:tc>
      </w:tr>
      <w:tr w14:paraId="03E5D513">
        <w:tc>
          <w:p w14:paraId="4F3EADB6">
            <w:pPr>
              <w:pStyle w:val="24"/>
              <w:jc w:val="left"/>
              <w:rPr>
                <w:sz w:val="24"/>
                <w:szCs w:val="24"/>
              </w:rPr>
            </w:pPr>
            <w:r>
              <w:rPr>
                <w:rFonts w:hint="eastAsia"/>
                <w:sz w:val="24"/>
                <w:szCs w:val="24"/>
              </w:rPr>
              <w:t>下跌市</w:t>
            </w:r>
          </w:p>
        </w:tc>
        <w:tc>
          <w:p w14:paraId="35A1013C">
            <w:pPr>
              <w:pStyle w:val="24"/>
              <w:jc w:val="left"/>
              <w:rPr>
                <w:sz w:val="24"/>
                <w:szCs w:val="24"/>
              </w:rPr>
            </w:pPr>
            <w:r>
              <w:rPr>
                <w:sz w:val="24"/>
                <w:szCs w:val="24"/>
              </w:rPr>
              <w:t>2026Q1</w:t>
            </w:r>
          </w:p>
        </w:tc>
        <w:tc>
          <w:p w14:paraId="4033AFC2">
            <w:pPr>
              <w:pStyle w:val="24"/>
              <w:jc w:val="right"/>
              <w:rPr>
                <w:sz w:val="24"/>
                <w:szCs w:val="24"/>
              </w:rPr>
            </w:pPr>
            <w:r>
              <w:rPr>
                <w:sz w:val="24"/>
                <w:szCs w:val="24"/>
              </w:rPr>
              <w:t>-0.5%</w:t>
            </w:r>
          </w:p>
        </w:tc>
        <w:tc>
          <w:p w14:paraId="2BC2C072">
            <w:pPr>
              <w:pStyle w:val="24"/>
              <w:jc w:val="right"/>
              <w:rPr>
                <w:sz w:val="24"/>
                <w:szCs w:val="24"/>
              </w:rPr>
            </w:pPr>
            <w:r>
              <w:rPr>
                <w:sz w:val="24"/>
                <w:szCs w:val="24"/>
              </w:rPr>
              <w:t>-5.7%</w:t>
            </w:r>
          </w:p>
        </w:tc>
        <w:tc>
          <w:p w14:paraId="27F193BC">
            <w:pPr>
              <w:pStyle w:val="24"/>
              <w:jc w:val="center"/>
              <w:rPr>
                <w:sz w:val="24"/>
                <w:szCs w:val="24"/>
              </w:rPr>
            </w:pPr>
            <w:r>
              <w:rPr>
                <w:rFonts w:hint="eastAsia"/>
                <w:sz w:val="24"/>
                <w:szCs w:val="24"/>
              </w:rPr>
              <w:t>是</w:t>
            </w:r>
          </w:p>
        </w:tc>
      </w:tr>
      <w:tr w14:paraId="1E6C3FE5">
        <w:tc>
          <w:p w14:paraId="396353E0">
            <w:pPr>
              <w:pStyle w:val="24"/>
              <w:jc w:val="left"/>
              <w:rPr>
                <w:sz w:val="24"/>
                <w:szCs w:val="24"/>
              </w:rPr>
            </w:pPr>
            <w:r>
              <w:rPr>
                <w:rFonts w:hint="eastAsia"/>
                <w:sz w:val="24"/>
                <w:szCs w:val="24"/>
              </w:rPr>
              <w:t>上涨市</w:t>
            </w:r>
          </w:p>
        </w:tc>
        <w:tc>
          <w:p w14:paraId="795CAE70">
            <w:pPr>
              <w:pStyle w:val="24"/>
              <w:jc w:val="left"/>
              <w:rPr>
                <w:sz w:val="24"/>
                <w:szCs w:val="24"/>
              </w:rPr>
            </w:pPr>
            <w:r>
              <w:rPr>
                <w:sz w:val="24"/>
                <w:szCs w:val="24"/>
              </w:rPr>
              <w:t>2026Q2</w:t>
            </w:r>
          </w:p>
        </w:tc>
        <w:tc>
          <w:p w14:paraId="2A9634E3">
            <w:pPr>
              <w:pStyle w:val="24"/>
              <w:jc w:val="right"/>
              <w:rPr>
                <w:sz w:val="24"/>
                <w:szCs w:val="24"/>
              </w:rPr>
            </w:pPr>
            <w:r>
              <w:rPr>
                <w:sz w:val="24"/>
                <w:szCs w:val="24"/>
              </w:rPr>
              <w:t>+47.3%</w:t>
            </w:r>
          </w:p>
        </w:tc>
        <w:tc>
          <w:p w14:paraId="09A61E47">
            <w:pPr>
              <w:pStyle w:val="24"/>
              <w:jc w:val="right"/>
              <w:rPr>
                <w:sz w:val="24"/>
                <w:szCs w:val="24"/>
              </w:rPr>
            </w:pPr>
            <w:r>
              <w:rPr>
                <w:sz w:val="24"/>
                <w:szCs w:val="24"/>
              </w:rPr>
              <w:t>+10.0%</w:t>
            </w:r>
          </w:p>
        </w:tc>
        <w:tc>
          <w:p w14:paraId="45989F30">
            <w:pPr>
              <w:pStyle w:val="24"/>
              <w:jc w:val="center"/>
              <w:rPr>
                <w:sz w:val="24"/>
                <w:szCs w:val="24"/>
              </w:rPr>
            </w:pPr>
            <w:r>
              <w:rPr>
                <w:rFonts w:hint="eastAsia"/>
                <w:sz w:val="24"/>
                <w:szCs w:val="24"/>
              </w:rPr>
              <w:t>是</w:t>
            </w:r>
          </w:p>
        </w:tc>
      </w:tr>
      <w:tr w14:paraId="15858C43">
        <w:tc>
          <w:p w14:paraId="794128E4">
            <w:pPr>
              <w:pStyle w:val="24"/>
              <w:jc w:val="left"/>
              <w:rPr>
                <w:sz w:val="24"/>
                <w:szCs w:val="24"/>
              </w:rPr>
            </w:pPr>
            <w:r>
              <w:rPr>
                <w:rFonts w:hint="eastAsia"/>
                <w:sz w:val="24"/>
                <w:szCs w:val="24"/>
              </w:rPr>
              <w:t>震荡市</w:t>
            </w:r>
          </w:p>
        </w:tc>
        <w:tc>
          <w:p w14:paraId="4409E146">
            <w:pPr>
              <w:pStyle w:val="24"/>
              <w:jc w:val="left"/>
              <w:rPr>
                <w:sz w:val="24"/>
                <w:szCs w:val="24"/>
              </w:rPr>
            </w:pPr>
            <w:r>
              <w:rPr>
                <w:sz w:val="24"/>
                <w:szCs w:val="24"/>
              </w:rPr>
              <w:t>2026Q3</w:t>
            </w:r>
          </w:p>
        </w:tc>
        <w:tc>
          <w:p w14:paraId="512F6482">
            <w:pPr>
              <w:pStyle w:val="24"/>
              <w:jc w:val="right"/>
              <w:rPr>
                <w:sz w:val="24"/>
                <w:szCs w:val="24"/>
              </w:rPr>
            </w:pPr>
            <w:r>
              <w:rPr>
                <w:sz w:val="24"/>
                <w:szCs w:val="24"/>
              </w:rPr>
              <w:t>-5.7%</w:t>
            </w:r>
          </w:p>
        </w:tc>
        <w:tc>
          <w:p w14:paraId="2C3A4950">
            <w:pPr>
              <w:pStyle w:val="24"/>
              <w:jc w:val="right"/>
              <w:rPr>
                <w:sz w:val="24"/>
                <w:szCs w:val="24"/>
              </w:rPr>
            </w:pPr>
            <w:r>
              <w:rPr>
                <w:sz w:val="24"/>
                <w:szCs w:val="24"/>
              </w:rPr>
              <w:t>-4.4%</w:t>
            </w:r>
          </w:p>
        </w:tc>
        <w:tc>
          <w:p w14:paraId="330E9432">
            <w:pPr>
              <w:pStyle w:val="24"/>
              <w:jc w:val="center"/>
              <w:rPr>
                <w:sz w:val="24"/>
                <w:szCs w:val="24"/>
              </w:rPr>
            </w:pPr>
            <w:r>
              <w:rPr>
                <w:rFonts w:hint="eastAsia"/>
                <w:sz w:val="24"/>
                <w:szCs w:val="24"/>
              </w:rPr>
              <w:t>否</w:t>
            </w:r>
          </w:p>
        </w:tc>
      </w:tr>
    </w:tbl>
    <w:p w14:paraId="2602CD54">
      <w:pPr>
        <w:pStyle w:val="3"/>
        <w:rPr>
          <w:sz w:val="24"/>
          <w:szCs w:val="24"/>
        </w:rPr>
      </w:pPr>
      <w:r>
        <w:rPr>
          <w:rFonts w:hint="eastAsia"/>
          <w:b/>
          <w:bCs/>
          <w:sz w:val="24"/>
          <w:szCs w:val="24"/>
        </w:rPr>
        <w:t>汇总</w:t>
      </w:r>
      <w:r>
        <w:rPr>
          <w:rFonts w:hint="eastAsia"/>
          <w:sz w:val="24"/>
          <w:szCs w:val="24"/>
        </w:rPr>
        <w:t>：</w:t>
      </w:r>
    </w:p>
    <w:tbl>
      <w:tblPr>
        <w:tblStyle w:val="41"/>
        <w:tblW w:w="0" w:type="auto"/>
        <w:tblInd w:w="0" w:type="dxa"/>
        <w:tblLayout w:type="autofit"/>
        <w:tblCellMar>
          <w:top w:w="0" w:type="dxa"/>
          <w:left w:w="108" w:type="dxa"/>
          <w:bottom w:w="0" w:type="dxa"/>
          <w:right w:w="108" w:type="dxa"/>
        </w:tblCellMar>
      </w:tblPr>
      <w:tblGrid>
        <w:gridCol w:w="2324"/>
        <w:gridCol w:w="1656"/>
        <w:gridCol w:w="1656"/>
        <w:gridCol w:w="1176"/>
      </w:tblGrid>
      <w:tr w14:paraId="3BBF9311">
        <w:trPr>
          <w:tblHeader/>
        </w:trPr>
        <w:tc>
          <w:p w14:paraId="1D935041">
            <w:pPr>
              <w:pStyle w:val="24"/>
              <w:jc w:val="left"/>
              <w:rPr>
                <w:sz w:val="24"/>
                <w:szCs w:val="24"/>
              </w:rPr>
            </w:pPr>
            <w:r>
              <w:rPr>
                <w:rFonts w:hint="eastAsia"/>
                <w:sz w:val="24"/>
                <w:szCs w:val="24"/>
              </w:rPr>
              <w:t>市场状态</w:t>
            </w:r>
          </w:p>
        </w:tc>
        <w:tc>
          <w:p w14:paraId="2C518286">
            <w:pPr>
              <w:pStyle w:val="24"/>
              <w:jc w:val="right"/>
              <w:rPr>
                <w:sz w:val="24"/>
                <w:szCs w:val="24"/>
              </w:rPr>
            </w:pPr>
            <w:r>
              <w:rPr>
                <w:rFonts w:hint="eastAsia"/>
                <w:sz w:val="24"/>
                <w:szCs w:val="24"/>
              </w:rPr>
              <w:t>组合平均收益</w:t>
            </w:r>
          </w:p>
        </w:tc>
        <w:tc>
          <w:p w14:paraId="7A32C3EE">
            <w:pPr>
              <w:pStyle w:val="24"/>
              <w:jc w:val="right"/>
              <w:rPr>
                <w:sz w:val="24"/>
                <w:szCs w:val="24"/>
              </w:rPr>
            </w:pPr>
            <w:r>
              <w:rPr>
                <w:rFonts w:hint="eastAsia"/>
                <w:sz w:val="24"/>
                <w:szCs w:val="24"/>
              </w:rPr>
              <w:t>基准平均收益</w:t>
            </w:r>
          </w:p>
        </w:tc>
        <w:tc>
          <w:p w14:paraId="08A90D4A">
            <w:pPr>
              <w:pStyle w:val="24"/>
              <w:jc w:val="center"/>
              <w:rPr>
                <w:sz w:val="24"/>
                <w:szCs w:val="24"/>
              </w:rPr>
            </w:pPr>
            <w:r>
              <w:rPr>
                <w:rFonts w:hint="eastAsia"/>
                <w:sz w:val="24"/>
                <w:szCs w:val="24"/>
              </w:rPr>
              <w:t>是否跑赢</w:t>
            </w:r>
          </w:p>
        </w:tc>
      </w:tr>
      <w:tr w14:paraId="6F1B7EA9">
        <w:tc>
          <w:p w14:paraId="73BB7DE3">
            <w:pPr>
              <w:pStyle w:val="24"/>
              <w:jc w:val="left"/>
              <w:rPr>
                <w:sz w:val="24"/>
                <w:szCs w:val="24"/>
              </w:rPr>
            </w:pPr>
            <w:r>
              <w:rPr>
                <w:rFonts w:hint="eastAsia"/>
                <w:sz w:val="24"/>
                <w:szCs w:val="24"/>
              </w:rPr>
              <w:t>上涨市（2个季度）</w:t>
            </w:r>
          </w:p>
        </w:tc>
        <w:tc>
          <w:p w14:paraId="2D6B4C64">
            <w:pPr>
              <w:pStyle w:val="24"/>
              <w:jc w:val="right"/>
              <w:rPr>
                <w:sz w:val="24"/>
                <w:szCs w:val="24"/>
              </w:rPr>
            </w:pPr>
            <w:r>
              <w:rPr>
                <w:sz w:val="24"/>
                <w:szCs w:val="24"/>
              </w:rPr>
              <w:t>+58.5%</w:t>
            </w:r>
          </w:p>
        </w:tc>
        <w:tc>
          <w:p w14:paraId="176AB7AB">
            <w:pPr>
              <w:pStyle w:val="24"/>
              <w:jc w:val="right"/>
              <w:rPr>
                <w:sz w:val="24"/>
                <w:szCs w:val="24"/>
              </w:rPr>
            </w:pPr>
            <w:r>
              <w:rPr>
                <w:sz w:val="24"/>
                <w:szCs w:val="24"/>
              </w:rPr>
              <w:t>+13.9%</w:t>
            </w:r>
          </w:p>
        </w:tc>
        <w:tc>
          <w:p w14:paraId="40CFD3F3">
            <w:pPr>
              <w:pStyle w:val="24"/>
              <w:jc w:val="center"/>
              <w:rPr>
                <w:sz w:val="24"/>
                <w:szCs w:val="24"/>
              </w:rPr>
            </w:pPr>
            <w:r>
              <w:rPr>
                <w:rFonts w:hint="eastAsia"/>
                <w:sz w:val="24"/>
                <w:szCs w:val="24"/>
              </w:rPr>
              <w:t>是</w:t>
            </w:r>
          </w:p>
        </w:tc>
      </w:tr>
      <w:tr w14:paraId="71DAC2BF">
        <w:tc>
          <w:p w14:paraId="16FD96A2">
            <w:pPr>
              <w:pStyle w:val="24"/>
              <w:jc w:val="left"/>
              <w:rPr>
                <w:sz w:val="24"/>
                <w:szCs w:val="24"/>
              </w:rPr>
            </w:pPr>
            <w:r>
              <w:rPr>
                <w:rFonts w:hint="eastAsia"/>
                <w:sz w:val="24"/>
                <w:szCs w:val="24"/>
              </w:rPr>
              <w:t>下跌市（1个季度）</w:t>
            </w:r>
          </w:p>
        </w:tc>
        <w:tc>
          <w:p w14:paraId="69201D96">
            <w:pPr>
              <w:pStyle w:val="24"/>
              <w:jc w:val="right"/>
              <w:rPr>
                <w:sz w:val="24"/>
                <w:szCs w:val="24"/>
              </w:rPr>
            </w:pPr>
            <w:r>
              <w:rPr>
                <w:sz w:val="24"/>
                <w:szCs w:val="24"/>
              </w:rPr>
              <w:t>-0.5%</w:t>
            </w:r>
          </w:p>
        </w:tc>
        <w:tc>
          <w:p w14:paraId="4DB2BAEA">
            <w:pPr>
              <w:pStyle w:val="24"/>
              <w:jc w:val="right"/>
              <w:rPr>
                <w:sz w:val="24"/>
                <w:szCs w:val="24"/>
              </w:rPr>
            </w:pPr>
            <w:r>
              <w:rPr>
                <w:sz w:val="24"/>
                <w:szCs w:val="24"/>
              </w:rPr>
              <w:t>-5.7%</w:t>
            </w:r>
          </w:p>
        </w:tc>
        <w:tc>
          <w:p w14:paraId="73C2A6EF">
            <w:pPr>
              <w:pStyle w:val="24"/>
              <w:jc w:val="center"/>
              <w:rPr>
                <w:sz w:val="24"/>
                <w:szCs w:val="24"/>
              </w:rPr>
            </w:pPr>
            <w:r>
              <w:rPr>
                <w:rFonts w:hint="eastAsia"/>
                <w:sz w:val="24"/>
                <w:szCs w:val="24"/>
              </w:rPr>
              <w:t>是</w:t>
            </w:r>
          </w:p>
        </w:tc>
      </w:tr>
      <w:tr w14:paraId="70B8F2A4">
        <w:tc>
          <w:p w14:paraId="781B2331">
            <w:pPr>
              <w:pStyle w:val="24"/>
              <w:jc w:val="left"/>
              <w:rPr>
                <w:sz w:val="24"/>
                <w:szCs w:val="24"/>
              </w:rPr>
            </w:pPr>
            <w:r>
              <w:rPr>
                <w:rFonts w:hint="eastAsia"/>
                <w:sz w:val="24"/>
                <w:szCs w:val="24"/>
              </w:rPr>
              <w:t>震荡市（4个季度）</w:t>
            </w:r>
          </w:p>
        </w:tc>
        <w:tc>
          <w:p w14:paraId="35E7A0B3">
            <w:pPr>
              <w:pStyle w:val="24"/>
              <w:jc w:val="right"/>
              <w:rPr>
                <w:sz w:val="24"/>
                <w:szCs w:val="24"/>
              </w:rPr>
            </w:pPr>
            <w:r>
              <w:rPr>
                <w:sz w:val="24"/>
                <w:szCs w:val="24"/>
              </w:rPr>
              <w:t>+6.4%</w:t>
            </w:r>
          </w:p>
        </w:tc>
        <w:tc>
          <w:p w14:paraId="54E3D89F">
            <w:pPr>
              <w:pStyle w:val="24"/>
              <w:jc w:val="right"/>
              <w:rPr>
                <w:sz w:val="24"/>
                <w:szCs w:val="24"/>
              </w:rPr>
            </w:pPr>
            <w:r>
              <w:rPr>
                <w:sz w:val="24"/>
                <w:szCs w:val="24"/>
              </w:rPr>
              <w:t>-0.8%</w:t>
            </w:r>
          </w:p>
        </w:tc>
        <w:tc>
          <w:p w14:paraId="6D468E65">
            <w:pPr>
              <w:pStyle w:val="24"/>
              <w:jc w:val="center"/>
              <w:rPr>
                <w:sz w:val="24"/>
                <w:szCs w:val="24"/>
              </w:rPr>
            </w:pPr>
            <w:r>
              <w:rPr>
                <w:rFonts w:hint="eastAsia"/>
                <w:sz w:val="24"/>
                <w:szCs w:val="24"/>
              </w:rPr>
              <w:t>部分</w:t>
            </w:r>
          </w:p>
        </w:tc>
      </w:tr>
    </w:tbl>
    <w:p w14:paraId="638EAA19">
      <w:pPr>
        <w:pStyle w:val="3"/>
        <w:rPr>
          <w:sz w:val="24"/>
          <w:szCs w:val="24"/>
        </w:rPr>
      </w:pPr>
      <w:r>
        <w:rPr>
          <w:rFonts w:hint="eastAsia"/>
          <w:sz w:val="24"/>
          <w:szCs w:val="24"/>
        </w:rPr>
        <w:t>策略在上涨市和下跌市中均跑赢基准。在震荡市中4个季度有3个跑赢，唯一例外是2026Q3（科技股回调），策略因重仓存储芯片而小幅跑输基准，但回撤控制机制限制了损失幅度。</w:t>
      </w:r>
    </w:p>
    <w:bookmarkEnd w:id="29"/>
    <w:p w14:paraId="11124C3C">
      <w:pPr>
        <w:pStyle w:val="4"/>
        <w:rPr>
          <w:sz w:val="24"/>
          <w:szCs w:val="24"/>
        </w:rPr>
      </w:pPr>
      <w:bookmarkStart w:id="30" w:name="攻防风格分析"/>
      <w:r>
        <w:rPr>
          <w:sz w:val="24"/>
          <w:szCs w:val="24"/>
        </w:rPr>
        <w:t xml:space="preserve">5.4 </w:t>
      </w:r>
      <w:r>
        <w:rPr>
          <w:rFonts w:hint="eastAsia"/>
          <w:sz w:val="24"/>
          <w:szCs w:val="24"/>
        </w:rPr>
        <w:t>攻防风格分析</w:t>
      </w:r>
    </w:p>
    <w:p w14:paraId="705AB512">
      <w:pPr>
        <w:pStyle w:val="5"/>
        <w:rPr>
          <w:sz w:val="24"/>
          <w:szCs w:val="24"/>
        </w:rPr>
      </w:pPr>
      <w:bookmarkStart w:id="31" w:name="风格分类"/>
      <w:r>
        <w:rPr>
          <w:sz w:val="24"/>
          <w:szCs w:val="24"/>
        </w:rPr>
        <w:t xml:space="preserve">5.4.1 </w:t>
      </w:r>
      <w:r>
        <w:rPr>
          <w:rFonts w:hint="eastAsia"/>
          <w:sz w:val="24"/>
          <w:szCs w:val="24"/>
        </w:rPr>
        <w:t>风格分类</w:t>
      </w:r>
    </w:p>
    <w:p w14:paraId="766DF5DE">
      <w:pPr>
        <w:pStyle w:val="23"/>
        <w:rPr>
          <w:sz w:val="24"/>
          <w:szCs w:val="24"/>
        </w:rPr>
      </w:pPr>
      <w:r>
        <w:rPr>
          <w:rFonts w:hint="eastAsia"/>
          <w:sz w:val="24"/>
          <w:szCs w:val="24"/>
        </w:rPr>
        <w:t>将20只股票按年化波动率和Beta系数划分为三种风格：</w:t>
      </w:r>
      <w:r>
        <w:rPr>
          <w:rFonts w:hint="eastAsia"/>
          <w:b/>
          <w:bCs/>
          <w:sz w:val="24"/>
          <w:szCs w:val="24"/>
        </w:rPr>
        <w:t>进攻型</w:t>
      </w:r>
      <w:r>
        <w:rPr>
          <w:rFonts w:hint="eastAsia"/>
          <w:sz w:val="24"/>
          <w:szCs w:val="24"/>
        </w:rPr>
        <w:t>（年化波动率</w:t>
      </w:r>
      <w:r>
        <w:rPr>
          <w:sz w:val="24"/>
          <w:szCs w:val="24"/>
        </w:rPr>
        <w:t xml:space="preserve"> &gt; 35% </w:t>
      </w:r>
      <w:r>
        <w:rPr>
          <w:rFonts w:hint="eastAsia"/>
          <w:sz w:val="24"/>
          <w:szCs w:val="24"/>
        </w:rPr>
        <w:t>或</w:t>
      </w:r>
      <w:r>
        <w:rPr>
          <w:sz w:val="24"/>
          <w:szCs w:val="24"/>
        </w:rPr>
        <w:t xml:space="preserve"> Beta &gt; </w:t>
      </w:r>
      <w:r>
        <w:rPr>
          <w:rFonts w:hint="eastAsia"/>
          <w:sz w:val="24"/>
          <w:szCs w:val="24"/>
        </w:rPr>
        <w:t>1.2）、</w:t>
      </w:r>
      <w:r>
        <w:rPr>
          <w:rFonts w:hint="eastAsia"/>
          <w:b/>
          <w:bCs/>
          <w:sz w:val="24"/>
          <w:szCs w:val="24"/>
        </w:rPr>
        <w:t>平衡型</w:t>
      </w:r>
      <w:r>
        <w:rPr>
          <w:rFonts w:hint="eastAsia"/>
          <w:sz w:val="24"/>
          <w:szCs w:val="24"/>
        </w:rPr>
        <w:t>（居中）、</w:t>
      </w:r>
      <w:r>
        <w:rPr>
          <w:rFonts w:hint="eastAsia"/>
          <w:b/>
          <w:bCs/>
          <w:sz w:val="24"/>
          <w:szCs w:val="24"/>
        </w:rPr>
        <w:t>防守型</w:t>
      </w:r>
      <w:r>
        <w:rPr>
          <w:rFonts w:hint="eastAsia"/>
          <w:sz w:val="24"/>
          <w:szCs w:val="24"/>
        </w:rPr>
        <w:t>（年化波动率</w:t>
      </w:r>
      <w:r>
        <w:rPr>
          <w:sz w:val="24"/>
          <w:szCs w:val="24"/>
        </w:rPr>
        <w:t xml:space="preserve"> &lt; 25% </w:t>
      </w:r>
      <w:r>
        <w:rPr>
          <w:rFonts w:hint="eastAsia"/>
          <w:sz w:val="24"/>
          <w:szCs w:val="24"/>
        </w:rPr>
        <w:t>且</w:t>
      </w:r>
      <w:r>
        <w:rPr>
          <w:sz w:val="24"/>
          <w:szCs w:val="24"/>
        </w:rPr>
        <w:t xml:space="preserve"> Beta &lt; </w:t>
      </w:r>
      <w:r>
        <w:rPr>
          <w:rFonts w:hint="eastAsia"/>
          <w:sz w:val="24"/>
          <w:szCs w:val="24"/>
        </w:rPr>
        <w:t>0.8）。此分类方法参考</w:t>
      </w:r>
      <w:r>
        <w:rPr>
          <w:sz w:val="24"/>
          <w:szCs w:val="24"/>
        </w:rPr>
        <w:t xml:space="preserve"> Asness, Frazzini &amp; Pedersen (2019) </w:t>
      </w:r>
      <w:r>
        <w:rPr>
          <w:rFonts w:hint="eastAsia"/>
          <w:sz w:val="24"/>
          <w:szCs w:val="24"/>
        </w:rPr>
        <w:t>的质量因子分组框架。</w:t>
      </w:r>
    </w:p>
    <w:tbl>
      <w:tblPr>
        <w:tblStyle w:val="41"/>
        <w:tblW w:w="5414" w:type="pct"/>
        <w:tblInd w:w="0" w:type="dxa"/>
        <w:tblLayout w:type="fixed"/>
        <w:tblCellMar>
          <w:top w:w="0" w:type="dxa"/>
          <w:left w:w="108" w:type="dxa"/>
          <w:bottom w:w="0" w:type="dxa"/>
          <w:right w:w="108" w:type="dxa"/>
        </w:tblCellMar>
      </w:tblPr>
      <w:tblGrid>
        <w:gridCol w:w="1107"/>
        <w:gridCol w:w="532"/>
        <w:gridCol w:w="2868"/>
        <w:gridCol w:w="1011"/>
        <w:gridCol w:w="988"/>
        <w:gridCol w:w="1048"/>
        <w:gridCol w:w="892"/>
        <w:gridCol w:w="1144"/>
      </w:tblGrid>
      <w:tr w14:paraId="6A319E46">
        <w:trPr>
          <w:tblHeader/>
        </w:trPr>
        <w:tc>
          <w:p w14:paraId="1513BD42">
            <w:pPr>
              <w:pStyle w:val="24"/>
              <w:jc w:val="left"/>
              <w:rPr>
                <w:sz w:val="24"/>
                <w:szCs w:val="24"/>
              </w:rPr>
            </w:pPr>
            <w:r>
              <w:rPr>
                <w:rFonts w:hint="eastAsia"/>
                <w:sz w:val="24"/>
                <w:szCs w:val="24"/>
              </w:rPr>
              <w:t>风格</w:t>
            </w:r>
          </w:p>
        </w:tc>
        <w:tc>
          <w:tcPr>
            <w:tcW w:w="277" w:type="pct"/>
          </w:tcPr>
          <w:p w14:paraId="28C76C2A">
            <w:pPr>
              <w:pStyle w:val="24"/>
              <w:jc w:val="right"/>
              <w:rPr>
                <w:sz w:val="24"/>
                <w:szCs w:val="24"/>
              </w:rPr>
            </w:pPr>
            <w:r>
              <w:rPr>
                <w:rFonts w:hint="eastAsia"/>
                <w:sz w:val="24"/>
                <w:szCs w:val="24"/>
              </w:rPr>
              <w:t>数量</w:t>
            </w:r>
          </w:p>
        </w:tc>
        <w:tc>
          <w:tcPr>
            <w:tcW w:w="1495" w:type="pct"/>
          </w:tcPr>
          <w:p w14:paraId="1B38251F">
            <w:pPr>
              <w:pStyle w:val="24"/>
              <w:jc w:val="left"/>
              <w:rPr>
                <w:sz w:val="24"/>
                <w:szCs w:val="24"/>
              </w:rPr>
            </w:pPr>
            <w:r>
              <w:rPr>
                <w:rFonts w:hint="eastAsia"/>
                <w:sz w:val="24"/>
                <w:szCs w:val="24"/>
              </w:rPr>
              <w:t>代表股票</w:t>
            </w:r>
          </w:p>
        </w:tc>
        <w:tc>
          <w:tcPr>
            <w:tcW w:w="527" w:type="pct"/>
          </w:tcPr>
          <w:p w14:paraId="5A1DFE3C">
            <w:pPr>
              <w:pStyle w:val="24"/>
              <w:jc w:val="right"/>
              <w:rPr>
                <w:sz w:val="24"/>
                <w:szCs w:val="24"/>
              </w:rPr>
            </w:pPr>
            <w:r>
              <w:rPr>
                <w:rFonts w:hint="eastAsia"/>
                <w:sz w:val="24"/>
                <w:szCs w:val="24"/>
              </w:rPr>
              <w:t>平均波动率</w:t>
            </w:r>
          </w:p>
        </w:tc>
        <w:tc>
          <w:tcPr>
            <w:tcW w:w="515" w:type="pct"/>
          </w:tcPr>
          <w:p w14:paraId="6C6A2A19">
            <w:pPr>
              <w:pStyle w:val="24"/>
              <w:jc w:val="right"/>
              <w:rPr>
                <w:sz w:val="24"/>
                <w:szCs w:val="24"/>
              </w:rPr>
            </w:pPr>
            <w:r>
              <w:rPr>
                <w:rFonts w:hint="eastAsia"/>
                <w:sz w:val="24"/>
                <w:szCs w:val="24"/>
              </w:rPr>
              <w:t>平均区间收益</w:t>
            </w:r>
          </w:p>
        </w:tc>
        <w:tc>
          <w:tcPr>
            <w:tcW w:w="546" w:type="pct"/>
          </w:tcPr>
          <w:p w14:paraId="7FD61B00">
            <w:pPr>
              <w:pStyle w:val="24"/>
              <w:jc w:val="right"/>
              <w:rPr>
                <w:sz w:val="24"/>
                <w:szCs w:val="24"/>
              </w:rPr>
            </w:pPr>
            <w:r>
              <w:rPr>
                <w:rFonts w:hint="eastAsia"/>
                <w:sz w:val="24"/>
                <w:szCs w:val="24"/>
              </w:rPr>
              <w:t>平均最大回撤</w:t>
            </w:r>
          </w:p>
        </w:tc>
        <w:tc>
          <w:tcPr>
            <w:tcW w:w="465" w:type="pct"/>
          </w:tcPr>
          <w:p w14:paraId="1500506D">
            <w:pPr>
              <w:pStyle w:val="24"/>
              <w:jc w:val="right"/>
              <w:rPr>
                <w:sz w:val="24"/>
                <w:szCs w:val="24"/>
              </w:rPr>
            </w:pPr>
            <w:r>
              <w:rPr>
                <w:rFonts w:hint="eastAsia"/>
                <w:sz w:val="24"/>
                <w:szCs w:val="24"/>
              </w:rPr>
              <w:t>平均夏普</w:t>
            </w:r>
          </w:p>
        </w:tc>
        <w:tc>
          <w:tcPr>
            <w:tcW w:w="596" w:type="pct"/>
          </w:tcPr>
          <w:p w14:paraId="3E7EF1FC">
            <w:pPr>
              <w:pStyle w:val="24"/>
              <w:jc w:val="right"/>
              <w:rPr>
                <w:sz w:val="24"/>
                <w:szCs w:val="24"/>
              </w:rPr>
            </w:pPr>
            <w:r>
              <w:rPr>
                <w:rFonts w:hint="eastAsia"/>
                <w:sz w:val="24"/>
                <w:szCs w:val="24"/>
              </w:rPr>
              <w:t>平均Beta</w:t>
            </w:r>
          </w:p>
        </w:tc>
      </w:tr>
      <w:tr w14:paraId="2EDA9439">
        <w:tc>
          <w:p w14:paraId="63F4BDF4">
            <w:pPr>
              <w:pStyle w:val="24"/>
              <w:jc w:val="left"/>
              <w:rPr>
                <w:sz w:val="24"/>
                <w:szCs w:val="24"/>
              </w:rPr>
            </w:pPr>
            <w:r>
              <w:rPr>
                <w:rFonts w:hint="eastAsia"/>
                <w:sz w:val="24"/>
                <w:szCs w:val="24"/>
              </w:rPr>
              <w:t>进攻</w:t>
            </w:r>
          </w:p>
        </w:tc>
        <w:tc>
          <w:tcPr>
            <w:tcW w:w="277" w:type="pct"/>
          </w:tcPr>
          <w:p w14:paraId="37C1C543">
            <w:pPr>
              <w:pStyle w:val="24"/>
              <w:jc w:val="right"/>
              <w:rPr>
                <w:sz w:val="24"/>
                <w:szCs w:val="24"/>
              </w:rPr>
            </w:pPr>
            <w:r>
              <w:rPr>
                <w:sz w:val="24"/>
                <w:szCs w:val="24"/>
              </w:rPr>
              <w:t>9</w:t>
            </w:r>
          </w:p>
        </w:tc>
        <w:tc>
          <w:tcPr>
            <w:tcW w:w="1495" w:type="pct"/>
          </w:tcPr>
          <w:p w14:paraId="57ED79D8">
            <w:pPr>
              <w:pStyle w:val="24"/>
              <w:jc w:val="left"/>
              <w:rPr>
                <w:sz w:val="24"/>
                <w:szCs w:val="24"/>
              </w:rPr>
            </w:pPr>
            <w:r>
              <w:rPr>
                <w:rFonts w:hint="eastAsia"/>
                <w:sz w:val="24"/>
                <w:szCs w:val="24"/>
              </w:rPr>
              <w:t>德明利、江波龙、佰维存储、普冉股份、兆易创新、澜起科技、泡泡玛特、科伦药业、百济神州</w:t>
            </w:r>
          </w:p>
        </w:tc>
        <w:tc>
          <w:tcPr>
            <w:tcW w:w="527" w:type="pct"/>
          </w:tcPr>
          <w:p w14:paraId="3D0611EA">
            <w:pPr>
              <w:pStyle w:val="24"/>
              <w:jc w:val="right"/>
              <w:rPr>
                <w:sz w:val="24"/>
                <w:szCs w:val="24"/>
              </w:rPr>
            </w:pPr>
            <w:r>
              <w:rPr>
                <w:sz w:val="24"/>
                <w:szCs w:val="24"/>
              </w:rPr>
              <w:t>64.9%</w:t>
            </w:r>
          </w:p>
        </w:tc>
        <w:tc>
          <w:tcPr>
            <w:tcW w:w="515" w:type="pct"/>
          </w:tcPr>
          <w:p w14:paraId="714DF842">
            <w:pPr>
              <w:pStyle w:val="24"/>
              <w:jc w:val="right"/>
              <w:rPr>
                <w:sz w:val="24"/>
                <w:szCs w:val="24"/>
              </w:rPr>
            </w:pPr>
            <w:r>
              <w:rPr>
                <w:sz w:val="24"/>
                <w:szCs w:val="24"/>
              </w:rPr>
              <w:t>+357.5%</w:t>
            </w:r>
          </w:p>
        </w:tc>
        <w:tc>
          <w:tcPr>
            <w:tcW w:w="546" w:type="pct"/>
          </w:tcPr>
          <w:p w14:paraId="0FCD66E0">
            <w:pPr>
              <w:pStyle w:val="24"/>
              <w:jc w:val="right"/>
              <w:rPr>
                <w:sz w:val="24"/>
                <w:szCs w:val="24"/>
              </w:rPr>
            </w:pPr>
            <w:r>
              <w:rPr>
                <w:sz w:val="24"/>
                <w:szCs w:val="24"/>
              </w:rPr>
              <w:t>-46.4%</w:t>
            </w:r>
          </w:p>
        </w:tc>
        <w:tc>
          <w:tcPr>
            <w:tcW w:w="465" w:type="pct"/>
          </w:tcPr>
          <w:p w14:paraId="6600ECCD">
            <w:pPr>
              <w:pStyle w:val="24"/>
              <w:jc w:val="right"/>
              <w:rPr>
                <w:sz w:val="24"/>
                <w:szCs w:val="24"/>
              </w:rPr>
            </w:pPr>
            <w:r>
              <w:rPr>
                <w:sz w:val="24"/>
                <w:szCs w:val="24"/>
              </w:rPr>
              <w:t>1.38</w:t>
            </w:r>
          </w:p>
        </w:tc>
        <w:tc>
          <w:tcPr>
            <w:tcW w:w="596" w:type="pct"/>
          </w:tcPr>
          <w:p w14:paraId="40D185C9">
            <w:pPr>
              <w:pStyle w:val="24"/>
              <w:jc w:val="right"/>
              <w:rPr>
                <w:sz w:val="24"/>
                <w:szCs w:val="24"/>
              </w:rPr>
            </w:pPr>
            <w:r>
              <w:rPr>
                <w:sz w:val="24"/>
                <w:szCs w:val="24"/>
              </w:rPr>
              <w:t>1.92</w:t>
            </w:r>
          </w:p>
        </w:tc>
      </w:tr>
      <w:tr w14:paraId="77816E32">
        <w:tc>
          <w:p w14:paraId="22DFDF79">
            <w:pPr>
              <w:pStyle w:val="24"/>
              <w:jc w:val="left"/>
              <w:rPr>
                <w:sz w:val="24"/>
                <w:szCs w:val="24"/>
              </w:rPr>
            </w:pPr>
            <w:r>
              <w:rPr>
                <w:rFonts w:hint="eastAsia"/>
                <w:sz w:val="24"/>
                <w:szCs w:val="24"/>
              </w:rPr>
              <w:t>平衡</w:t>
            </w:r>
          </w:p>
        </w:tc>
        <w:tc>
          <w:tcPr>
            <w:tcW w:w="277" w:type="pct"/>
          </w:tcPr>
          <w:p w14:paraId="637528AE">
            <w:pPr>
              <w:pStyle w:val="24"/>
              <w:jc w:val="right"/>
              <w:rPr>
                <w:sz w:val="24"/>
                <w:szCs w:val="24"/>
              </w:rPr>
            </w:pPr>
            <w:r>
              <w:rPr>
                <w:sz w:val="24"/>
                <w:szCs w:val="24"/>
              </w:rPr>
              <w:t>2</w:t>
            </w:r>
          </w:p>
        </w:tc>
        <w:tc>
          <w:tcPr>
            <w:tcW w:w="1495" w:type="pct"/>
          </w:tcPr>
          <w:p w14:paraId="5916CA38">
            <w:pPr>
              <w:pStyle w:val="24"/>
              <w:jc w:val="left"/>
              <w:rPr>
                <w:sz w:val="24"/>
                <w:szCs w:val="24"/>
              </w:rPr>
            </w:pPr>
            <w:r>
              <w:rPr>
                <w:rFonts w:hint="eastAsia"/>
                <w:sz w:val="24"/>
                <w:szCs w:val="24"/>
              </w:rPr>
              <w:t>腾讯控股、恒瑞医药</w:t>
            </w:r>
          </w:p>
        </w:tc>
        <w:tc>
          <w:tcPr>
            <w:tcW w:w="527" w:type="pct"/>
          </w:tcPr>
          <w:p w14:paraId="2EC31655">
            <w:pPr>
              <w:pStyle w:val="24"/>
              <w:jc w:val="right"/>
              <w:rPr>
                <w:sz w:val="24"/>
                <w:szCs w:val="24"/>
              </w:rPr>
            </w:pPr>
            <w:r>
              <w:rPr>
                <w:sz w:val="24"/>
                <w:szCs w:val="24"/>
              </w:rPr>
              <w:t>33.4%</w:t>
            </w:r>
          </w:p>
        </w:tc>
        <w:tc>
          <w:tcPr>
            <w:tcW w:w="515" w:type="pct"/>
          </w:tcPr>
          <w:p w14:paraId="7A4D229A">
            <w:pPr>
              <w:pStyle w:val="24"/>
              <w:jc w:val="right"/>
              <w:rPr>
                <w:sz w:val="24"/>
                <w:szCs w:val="24"/>
              </w:rPr>
            </w:pPr>
            <w:r>
              <w:rPr>
                <w:sz w:val="24"/>
                <w:szCs w:val="24"/>
              </w:rPr>
              <w:t>+32.0%</w:t>
            </w:r>
          </w:p>
        </w:tc>
        <w:tc>
          <w:tcPr>
            <w:tcW w:w="546" w:type="pct"/>
          </w:tcPr>
          <w:p w14:paraId="3568DEAC">
            <w:pPr>
              <w:pStyle w:val="24"/>
              <w:jc w:val="right"/>
              <w:rPr>
                <w:sz w:val="24"/>
                <w:szCs w:val="24"/>
              </w:rPr>
            </w:pPr>
            <w:r>
              <w:rPr>
                <w:sz w:val="24"/>
                <w:szCs w:val="24"/>
              </w:rPr>
              <w:t>-37.4%</w:t>
            </w:r>
          </w:p>
        </w:tc>
        <w:tc>
          <w:tcPr>
            <w:tcW w:w="465" w:type="pct"/>
          </w:tcPr>
          <w:p w14:paraId="02601B29">
            <w:pPr>
              <w:pStyle w:val="24"/>
              <w:jc w:val="right"/>
              <w:rPr>
                <w:sz w:val="24"/>
                <w:szCs w:val="24"/>
              </w:rPr>
            </w:pPr>
            <w:r>
              <w:rPr>
                <w:sz w:val="24"/>
                <w:szCs w:val="24"/>
              </w:rPr>
              <w:t>0.54</w:t>
            </w:r>
          </w:p>
        </w:tc>
        <w:tc>
          <w:tcPr>
            <w:tcW w:w="596" w:type="pct"/>
          </w:tcPr>
          <w:p w14:paraId="0E8B488B">
            <w:pPr>
              <w:pStyle w:val="24"/>
              <w:jc w:val="right"/>
              <w:rPr>
                <w:sz w:val="24"/>
                <w:szCs w:val="24"/>
              </w:rPr>
            </w:pPr>
            <w:r>
              <w:rPr>
                <w:sz w:val="24"/>
                <w:szCs w:val="24"/>
              </w:rPr>
              <w:t>0.88</w:t>
            </w:r>
          </w:p>
        </w:tc>
      </w:tr>
      <w:tr w14:paraId="4F72F1BA">
        <w:tc>
          <w:p w14:paraId="0E001B24">
            <w:pPr>
              <w:pStyle w:val="24"/>
              <w:jc w:val="left"/>
              <w:rPr>
                <w:sz w:val="24"/>
                <w:szCs w:val="24"/>
              </w:rPr>
            </w:pPr>
            <w:r>
              <w:rPr>
                <w:rFonts w:hint="eastAsia"/>
                <w:sz w:val="24"/>
                <w:szCs w:val="24"/>
              </w:rPr>
              <w:t>防守</w:t>
            </w:r>
          </w:p>
        </w:tc>
        <w:tc>
          <w:tcPr>
            <w:tcW w:w="277" w:type="pct"/>
          </w:tcPr>
          <w:p w14:paraId="360823E4">
            <w:pPr>
              <w:pStyle w:val="24"/>
              <w:jc w:val="right"/>
              <w:rPr>
                <w:sz w:val="24"/>
                <w:szCs w:val="24"/>
              </w:rPr>
            </w:pPr>
            <w:r>
              <w:rPr>
                <w:sz w:val="24"/>
                <w:szCs w:val="24"/>
              </w:rPr>
              <w:t>9</w:t>
            </w:r>
          </w:p>
        </w:tc>
        <w:tc>
          <w:tcPr>
            <w:tcW w:w="1495" w:type="pct"/>
          </w:tcPr>
          <w:p w14:paraId="12B9EE97">
            <w:pPr>
              <w:pStyle w:val="24"/>
              <w:jc w:val="left"/>
              <w:rPr>
                <w:sz w:val="24"/>
                <w:szCs w:val="24"/>
              </w:rPr>
            </w:pPr>
            <w:r>
              <w:rPr>
                <w:rFonts w:hint="eastAsia"/>
                <w:sz w:val="24"/>
                <w:szCs w:val="24"/>
              </w:rPr>
              <w:t>红利ETF、伊利股份、美的集团、云南白药、同仁堂、达仁堂、片仔癀、贵州茅台、奇正藏药</w:t>
            </w:r>
          </w:p>
        </w:tc>
        <w:tc>
          <w:tcPr>
            <w:tcW w:w="527" w:type="pct"/>
          </w:tcPr>
          <w:p w14:paraId="402D6E66">
            <w:pPr>
              <w:pStyle w:val="24"/>
              <w:jc w:val="right"/>
              <w:rPr>
                <w:sz w:val="24"/>
                <w:szCs w:val="24"/>
              </w:rPr>
            </w:pPr>
            <w:r>
              <w:rPr>
                <w:sz w:val="24"/>
                <w:szCs w:val="24"/>
              </w:rPr>
              <w:t>24.9%</w:t>
            </w:r>
          </w:p>
        </w:tc>
        <w:tc>
          <w:tcPr>
            <w:tcW w:w="515" w:type="pct"/>
          </w:tcPr>
          <w:p w14:paraId="59341700">
            <w:pPr>
              <w:pStyle w:val="24"/>
              <w:jc w:val="right"/>
              <w:rPr>
                <w:sz w:val="24"/>
                <w:szCs w:val="24"/>
              </w:rPr>
            </w:pPr>
            <w:r>
              <w:rPr>
                <w:sz w:val="24"/>
                <w:szCs w:val="24"/>
              </w:rPr>
              <w:t>+5.4%</w:t>
            </w:r>
          </w:p>
        </w:tc>
        <w:tc>
          <w:tcPr>
            <w:tcW w:w="546" w:type="pct"/>
          </w:tcPr>
          <w:p w14:paraId="4A408C4A">
            <w:pPr>
              <w:pStyle w:val="24"/>
              <w:jc w:val="right"/>
              <w:rPr>
                <w:sz w:val="24"/>
                <w:szCs w:val="24"/>
              </w:rPr>
            </w:pPr>
            <w:r>
              <w:rPr>
                <w:sz w:val="24"/>
                <w:szCs w:val="24"/>
              </w:rPr>
              <w:t>-30.4%</w:t>
            </w:r>
          </w:p>
        </w:tc>
        <w:tc>
          <w:tcPr>
            <w:tcW w:w="465" w:type="pct"/>
          </w:tcPr>
          <w:p w14:paraId="099958C1">
            <w:pPr>
              <w:pStyle w:val="24"/>
              <w:jc w:val="right"/>
              <w:rPr>
                <w:sz w:val="24"/>
                <w:szCs w:val="24"/>
              </w:rPr>
            </w:pPr>
            <w:r>
              <w:rPr>
                <w:sz w:val="24"/>
                <w:szCs w:val="24"/>
              </w:rPr>
              <w:t>0.10</w:t>
            </w:r>
          </w:p>
        </w:tc>
        <w:tc>
          <w:tcPr>
            <w:tcW w:w="596" w:type="pct"/>
          </w:tcPr>
          <w:p w14:paraId="68BAE313">
            <w:pPr>
              <w:pStyle w:val="24"/>
              <w:jc w:val="right"/>
              <w:rPr>
                <w:sz w:val="24"/>
                <w:szCs w:val="24"/>
              </w:rPr>
            </w:pPr>
            <w:r>
              <w:rPr>
                <w:sz w:val="24"/>
                <w:szCs w:val="24"/>
              </w:rPr>
              <w:t>0.31</w:t>
            </w:r>
          </w:p>
        </w:tc>
      </w:tr>
    </w:tbl>
    <w:p w14:paraId="530CD96D">
      <w:pPr>
        <w:pStyle w:val="3"/>
        <w:rPr>
          <w:sz w:val="24"/>
          <w:szCs w:val="24"/>
        </w:rPr>
      </w:pPr>
      <w:r>
        <w:rPr>
          <w:rFonts w:hint="eastAsia"/>
          <w:sz w:val="24"/>
          <w:szCs w:val="24"/>
        </w:rPr>
        <w:t>进攻型以半导体为主（6只），具有高弹性：上涨季度平均收益</w:t>
      </w:r>
      <w:r>
        <w:rPr>
          <w:sz w:val="24"/>
          <w:szCs w:val="24"/>
        </w:rPr>
        <w:t xml:space="preserve"> </w:t>
      </w:r>
      <w:r>
        <w:rPr>
          <w:rFonts w:hint="eastAsia"/>
          <w:sz w:val="24"/>
          <w:szCs w:val="24"/>
        </w:rPr>
        <w:t>+12%~+111%，下跌季度</w:t>
      </w:r>
      <w:r>
        <w:rPr>
          <w:sz w:val="24"/>
          <w:szCs w:val="24"/>
        </w:rPr>
        <w:t xml:space="preserve"> </w:t>
      </w:r>
      <w:r>
        <w:rPr>
          <w:rFonts w:hint="eastAsia"/>
          <w:sz w:val="24"/>
          <w:szCs w:val="24"/>
        </w:rPr>
        <w:t>-3.7%~-30.8%。防守型以消费和医药为主，弹性低：上涨季度</w:t>
      </w:r>
      <w:r>
        <w:rPr>
          <w:sz w:val="24"/>
          <w:szCs w:val="24"/>
        </w:rPr>
        <w:t xml:space="preserve"> </w:t>
      </w:r>
      <w:r>
        <w:rPr>
          <w:rFonts w:hint="eastAsia"/>
          <w:sz w:val="24"/>
          <w:szCs w:val="24"/>
        </w:rPr>
        <w:t>+0.2%~+6.3%，下跌季度</w:t>
      </w:r>
      <w:r>
        <w:rPr>
          <w:sz w:val="24"/>
          <w:szCs w:val="24"/>
        </w:rPr>
        <w:t xml:space="preserve"> </w:t>
      </w:r>
      <w:r>
        <w:rPr>
          <w:rFonts w:hint="eastAsia"/>
          <w:sz w:val="24"/>
          <w:szCs w:val="24"/>
        </w:rPr>
        <w:t>-1.2%~-12.4%。红利ETF波动率最低（12.1%）、回撤最浅（-13.6%），是天然的防御锚。</w:t>
      </w:r>
    </w:p>
    <w:bookmarkEnd w:id="31"/>
    <w:p w14:paraId="18B7777B">
      <w:pPr>
        <w:pStyle w:val="5"/>
        <w:rPr>
          <w:sz w:val="24"/>
          <w:szCs w:val="24"/>
        </w:rPr>
      </w:pPr>
      <w:bookmarkStart w:id="32" w:name="季度攻防切换"/>
      <w:r>
        <w:rPr>
          <w:sz w:val="24"/>
          <w:szCs w:val="24"/>
        </w:rPr>
        <w:t xml:space="preserve">5.4.2 </w:t>
      </w:r>
      <w:r>
        <w:rPr>
          <w:rFonts w:hint="eastAsia"/>
          <w:sz w:val="24"/>
          <w:szCs w:val="24"/>
        </w:rPr>
        <w:t>季度攻防切换</w:t>
      </w:r>
    </w:p>
    <w:p w14:paraId="7DF55E97">
      <w:pPr>
        <w:pStyle w:val="23"/>
        <w:rPr>
          <w:sz w:val="24"/>
          <w:szCs w:val="24"/>
        </w:rPr>
      </w:pPr>
      <w:r>
        <w:rPr>
          <w:rFonts w:hint="eastAsia"/>
          <w:sz w:val="24"/>
          <w:szCs w:val="24"/>
        </w:rPr>
        <w:t>VQM策略并非静态配置，而是通过动量因子隐式地在季度间进行攻防切换。以下为各季度持仓的风格分布（每季</w:t>
      </w:r>
      <w:r>
        <w:rPr>
          <w:sz w:val="24"/>
          <w:szCs w:val="24"/>
        </w:rPr>
        <w:t xml:space="preserve"> </w:t>
      </w:r>
      <w:r>
        <w:rPr>
          <w:rFonts w:hint="eastAsia"/>
          <w:sz w:val="24"/>
          <w:szCs w:val="24"/>
        </w:rPr>
        <w:t>5只</w:t>
      </w:r>
      <w:r>
        <w:rPr>
          <w:sz w:val="24"/>
          <w:szCs w:val="24"/>
        </w:rPr>
        <w:t xml:space="preserve"> × </w:t>
      </w:r>
      <w:r>
        <w:rPr>
          <w:rFonts w:hint="eastAsia"/>
          <w:sz w:val="24"/>
          <w:szCs w:val="24"/>
        </w:rPr>
        <w:t>月数</w:t>
      </w:r>
      <w:r>
        <w:rPr>
          <w:sz w:val="24"/>
          <w:szCs w:val="24"/>
        </w:rPr>
        <w:t xml:space="preserve"> = </w:t>
      </w:r>
      <w:r>
        <w:rPr>
          <w:rFonts w:hint="eastAsia"/>
          <w:sz w:val="24"/>
          <w:szCs w:val="24"/>
        </w:rPr>
        <w:t>总持仓次数）：</w:t>
      </w:r>
    </w:p>
    <w:tbl>
      <w:tblPr>
        <w:tblStyle w:val="41"/>
        <w:tblW w:w="0" w:type="auto"/>
        <w:tblInd w:w="0" w:type="dxa"/>
        <w:tblLayout w:type="autofit"/>
        <w:tblCellMar>
          <w:top w:w="0" w:type="dxa"/>
          <w:left w:w="108" w:type="dxa"/>
          <w:bottom w:w="0" w:type="dxa"/>
          <w:right w:w="108" w:type="dxa"/>
        </w:tblCellMar>
      </w:tblPr>
      <w:tblGrid>
        <w:gridCol w:w="1066"/>
        <w:gridCol w:w="696"/>
        <w:gridCol w:w="696"/>
        <w:gridCol w:w="696"/>
        <w:gridCol w:w="696"/>
        <w:gridCol w:w="2616"/>
      </w:tblGrid>
      <w:tr w14:paraId="3E8D21BF">
        <w:trPr>
          <w:tblHeader/>
        </w:trPr>
        <w:tc>
          <w:p w14:paraId="382433F6">
            <w:pPr>
              <w:pStyle w:val="24"/>
              <w:jc w:val="left"/>
              <w:rPr>
                <w:sz w:val="24"/>
                <w:szCs w:val="24"/>
              </w:rPr>
            </w:pPr>
            <w:r>
              <w:rPr>
                <w:rFonts w:hint="eastAsia"/>
                <w:sz w:val="24"/>
                <w:szCs w:val="24"/>
              </w:rPr>
              <w:t>季度</w:t>
            </w:r>
          </w:p>
        </w:tc>
        <w:tc>
          <w:p w14:paraId="4D270424">
            <w:pPr>
              <w:pStyle w:val="24"/>
              <w:jc w:val="right"/>
              <w:rPr>
                <w:sz w:val="24"/>
                <w:szCs w:val="24"/>
              </w:rPr>
            </w:pPr>
            <w:r>
              <w:rPr>
                <w:rFonts w:hint="eastAsia"/>
                <w:sz w:val="24"/>
                <w:szCs w:val="24"/>
              </w:rPr>
              <w:t>进攻</w:t>
            </w:r>
          </w:p>
        </w:tc>
        <w:tc>
          <w:p w14:paraId="351C8BC5">
            <w:pPr>
              <w:pStyle w:val="24"/>
              <w:jc w:val="right"/>
              <w:rPr>
                <w:sz w:val="24"/>
                <w:szCs w:val="24"/>
              </w:rPr>
            </w:pPr>
            <w:r>
              <w:rPr>
                <w:rFonts w:hint="eastAsia"/>
                <w:sz w:val="24"/>
                <w:szCs w:val="24"/>
              </w:rPr>
              <w:t>平衡</w:t>
            </w:r>
          </w:p>
        </w:tc>
        <w:tc>
          <w:p w14:paraId="4E79F1AB">
            <w:pPr>
              <w:pStyle w:val="24"/>
              <w:jc w:val="right"/>
              <w:rPr>
                <w:sz w:val="24"/>
                <w:szCs w:val="24"/>
              </w:rPr>
            </w:pPr>
            <w:r>
              <w:rPr>
                <w:rFonts w:hint="eastAsia"/>
                <w:sz w:val="24"/>
                <w:szCs w:val="24"/>
              </w:rPr>
              <w:t>防守</w:t>
            </w:r>
          </w:p>
        </w:tc>
        <w:tc>
          <w:p w14:paraId="69EEC478">
            <w:pPr>
              <w:pStyle w:val="24"/>
              <w:jc w:val="right"/>
              <w:rPr>
                <w:sz w:val="24"/>
                <w:szCs w:val="24"/>
              </w:rPr>
            </w:pPr>
            <w:r>
              <w:rPr>
                <w:rFonts w:hint="eastAsia"/>
                <w:sz w:val="24"/>
                <w:szCs w:val="24"/>
              </w:rPr>
              <w:t>总计</w:t>
            </w:r>
          </w:p>
        </w:tc>
        <w:tc>
          <w:p w14:paraId="2978AFF1">
            <w:pPr>
              <w:pStyle w:val="24"/>
              <w:jc w:val="left"/>
              <w:rPr>
                <w:sz w:val="24"/>
                <w:szCs w:val="24"/>
              </w:rPr>
            </w:pPr>
            <w:r>
              <w:rPr>
                <w:rFonts w:hint="eastAsia"/>
                <w:sz w:val="24"/>
                <w:szCs w:val="24"/>
              </w:rPr>
              <w:t>特征</w:t>
            </w:r>
          </w:p>
        </w:tc>
      </w:tr>
      <w:tr w14:paraId="4345D479">
        <w:tc>
          <w:p w14:paraId="351C2A1C">
            <w:pPr>
              <w:pStyle w:val="24"/>
              <w:jc w:val="left"/>
              <w:rPr>
                <w:sz w:val="24"/>
                <w:szCs w:val="24"/>
              </w:rPr>
            </w:pPr>
            <w:r>
              <w:rPr>
                <w:sz w:val="24"/>
                <w:szCs w:val="24"/>
              </w:rPr>
              <w:t>2025Q1</w:t>
            </w:r>
          </w:p>
        </w:tc>
        <w:tc>
          <w:p w14:paraId="53B5FD8E">
            <w:pPr>
              <w:pStyle w:val="24"/>
              <w:jc w:val="right"/>
              <w:rPr>
                <w:sz w:val="24"/>
                <w:szCs w:val="24"/>
              </w:rPr>
            </w:pPr>
            <w:r>
              <w:rPr>
                <w:sz w:val="24"/>
                <w:szCs w:val="24"/>
              </w:rPr>
              <w:t>13</w:t>
            </w:r>
          </w:p>
        </w:tc>
        <w:tc>
          <w:p w14:paraId="69BC70B2">
            <w:pPr>
              <w:pStyle w:val="24"/>
              <w:jc w:val="right"/>
              <w:rPr>
                <w:sz w:val="24"/>
                <w:szCs w:val="24"/>
              </w:rPr>
            </w:pPr>
            <w:r>
              <w:rPr>
                <w:sz w:val="24"/>
                <w:szCs w:val="24"/>
              </w:rPr>
              <w:t>2</w:t>
            </w:r>
          </w:p>
        </w:tc>
        <w:tc>
          <w:p w14:paraId="5161FE4B">
            <w:pPr>
              <w:pStyle w:val="24"/>
              <w:jc w:val="right"/>
              <w:rPr>
                <w:sz w:val="24"/>
                <w:szCs w:val="24"/>
              </w:rPr>
            </w:pPr>
            <w:r>
              <w:rPr>
                <w:sz w:val="24"/>
                <w:szCs w:val="24"/>
              </w:rPr>
              <w:t>0</w:t>
            </w:r>
          </w:p>
        </w:tc>
        <w:tc>
          <w:p w14:paraId="3FB0AF1F">
            <w:pPr>
              <w:pStyle w:val="24"/>
              <w:jc w:val="right"/>
              <w:rPr>
                <w:sz w:val="24"/>
                <w:szCs w:val="24"/>
              </w:rPr>
            </w:pPr>
            <w:r>
              <w:rPr>
                <w:sz w:val="24"/>
                <w:szCs w:val="24"/>
              </w:rPr>
              <w:t>15</w:t>
            </w:r>
          </w:p>
        </w:tc>
        <w:tc>
          <w:p w14:paraId="2A77A2F0">
            <w:pPr>
              <w:pStyle w:val="24"/>
              <w:jc w:val="left"/>
              <w:rPr>
                <w:sz w:val="24"/>
                <w:szCs w:val="24"/>
              </w:rPr>
            </w:pPr>
            <w:r>
              <w:rPr>
                <w:rFonts w:hint="eastAsia"/>
                <w:sz w:val="24"/>
                <w:szCs w:val="24"/>
              </w:rPr>
              <w:t>全面进攻</w:t>
            </w:r>
          </w:p>
        </w:tc>
      </w:tr>
      <w:tr w14:paraId="29D1DDBF">
        <w:tc>
          <w:p w14:paraId="26B94737">
            <w:pPr>
              <w:pStyle w:val="24"/>
              <w:jc w:val="left"/>
              <w:rPr>
                <w:sz w:val="24"/>
                <w:szCs w:val="24"/>
              </w:rPr>
            </w:pPr>
            <w:r>
              <w:rPr>
                <w:sz w:val="24"/>
                <w:szCs w:val="24"/>
              </w:rPr>
              <w:t>2025Q2</w:t>
            </w:r>
          </w:p>
        </w:tc>
        <w:tc>
          <w:p w14:paraId="080BD4DA">
            <w:pPr>
              <w:pStyle w:val="24"/>
              <w:jc w:val="right"/>
              <w:rPr>
                <w:sz w:val="24"/>
                <w:szCs w:val="24"/>
              </w:rPr>
            </w:pPr>
            <w:r>
              <w:rPr>
                <w:sz w:val="24"/>
                <w:szCs w:val="24"/>
              </w:rPr>
              <w:t>6</w:t>
            </w:r>
          </w:p>
        </w:tc>
        <w:tc>
          <w:p w14:paraId="63422E9D">
            <w:pPr>
              <w:pStyle w:val="24"/>
              <w:jc w:val="right"/>
              <w:rPr>
                <w:sz w:val="24"/>
                <w:szCs w:val="24"/>
              </w:rPr>
            </w:pPr>
            <w:r>
              <w:rPr>
                <w:sz w:val="24"/>
                <w:szCs w:val="24"/>
              </w:rPr>
              <w:t>3</w:t>
            </w:r>
          </w:p>
        </w:tc>
        <w:tc>
          <w:p w14:paraId="546024E7">
            <w:pPr>
              <w:pStyle w:val="24"/>
              <w:jc w:val="right"/>
              <w:rPr>
                <w:sz w:val="24"/>
                <w:szCs w:val="24"/>
              </w:rPr>
            </w:pPr>
            <w:r>
              <w:rPr>
                <w:sz w:val="24"/>
                <w:szCs w:val="24"/>
              </w:rPr>
              <w:t>6</w:t>
            </w:r>
          </w:p>
        </w:tc>
        <w:tc>
          <w:p w14:paraId="2487EA0A">
            <w:pPr>
              <w:pStyle w:val="24"/>
              <w:jc w:val="right"/>
              <w:rPr>
                <w:sz w:val="24"/>
                <w:szCs w:val="24"/>
              </w:rPr>
            </w:pPr>
            <w:r>
              <w:rPr>
                <w:sz w:val="24"/>
                <w:szCs w:val="24"/>
              </w:rPr>
              <w:t>15</w:t>
            </w:r>
          </w:p>
        </w:tc>
        <w:tc>
          <w:p w14:paraId="3A44C04F">
            <w:pPr>
              <w:pStyle w:val="24"/>
              <w:jc w:val="left"/>
              <w:rPr>
                <w:sz w:val="24"/>
                <w:szCs w:val="24"/>
              </w:rPr>
            </w:pPr>
            <w:r>
              <w:rPr>
                <w:rFonts w:hint="eastAsia"/>
                <w:sz w:val="24"/>
                <w:szCs w:val="24"/>
              </w:rPr>
              <w:t>攻守均衡</w:t>
            </w:r>
          </w:p>
        </w:tc>
      </w:tr>
      <w:tr w14:paraId="53171E26">
        <w:tc>
          <w:p w14:paraId="2550FBF1">
            <w:pPr>
              <w:pStyle w:val="24"/>
              <w:jc w:val="left"/>
              <w:rPr>
                <w:sz w:val="24"/>
                <w:szCs w:val="24"/>
              </w:rPr>
            </w:pPr>
            <w:r>
              <w:rPr>
                <w:sz w:val="24"/>
                <w:szCs w:val="24"/>
              </w:rPr>
              <w:t>2025Q3</w:t>
            </w:r>
          </w:p>
        </w:tc>
        <w:tc>
          <w:p w14:paraId="4299AEA1">
            <w:pPr>
              <w:pStyle w:val="24"/>
              <w:jc w:val="right"/>
              <w:rPr>
                <w:sz w:val="24"/>
                <w:szCs w:val="24"/>
              </w:rPr>
            </w:pPr>
            <w:r>
              <w:rPr>
                <w:sz w:val="24"/>
                <w:szCs w:val="24"/>
              </w:rPr>
              <w:t>8</w:t>
            </w:r>
          </w:p>
        </w:tc>
        <w:tc>
          <w:p w14:paraId="21300701">
            <w:pPr>
              <w:pStyle w:val="24"/>
              <w:jc w:val="right"/>
              <w:rPr>
                <w:sz w:val="24"/>
                <w:szCs w:val="24"/>
              </w:rPr>
            </w:pPr>
            <w:r>
              <w:rPr>
                <w:sz w:val="24"/>
                <w:szCs w:val="24"/>
              </w:rPr>
              <w:t>3</w:t>
            </w:r>
          </w:p>
        </w:tc>
        <w:tc>
          <w:p w14:paraId="679B85C9">
            <w:pPr>
              <w:pStyle w:val="24"/>
              <w:jc w:val="right"/>
              <w:rPr>
                <w:sz w:val="24"/>
                <w:szCs w:val="24"/>
              </w:rPr>
            </w:pPr>
            <w:r>
              <w:rPr>
                <w:sz w:val="24"/>
                <w:szCs w:val="24"/>
              </w:rPr>
              <w:t>4</w:t>
            </w:r>
          </w:p>
        </w:tc>
        <w:tc>
          <w:p w14:paraId="1B98BA2E">
            <w:pPr>
              <w:pStyle w:val="24"/>
              <w:jc w:val="right"/>
              <w:rPr>
                <w:sz w:val="24"/>
                <w:szCs w:val="24"/>
              </w:rPr>
            </w:pPr>
            <w:r>
              <w:rPr>
                <w:sz w:val="24"/>
                <w:szCs w:val="24"/>
              </w:rPr>
              <w:t>15</w:t>
            </w:r>
          </w:p>
        </w:tc>
        <w:tc>
          <w:p w14:paraId="56B2E8AD">
            <w:pPr>
              <w:pStyle w:val="24"/>
              <w:jc w:val="left"/>
              <w:rPr>
                <w:sz w:val="24"/>
                <w:szCs w:val="24"/>
              </w:rPr>
            </w:pPr>
            <w:r>
              <w:rPr>
                <w:rFonts w:hint="eastAsia"/>
                <w:sz w:val="24"/>
                <w:szCs w:val="24"/>
              </w:rPr>
              <w:t>偏进攻</w:t>
            </w:r>
          </w:p>
        </w:tc>
      </w:tr>
      <w:tr w14:paraId="5754EC5C">
        <w:tc>
          <w:p w14:paraId="1315D85D">
            <w:pPr>
              <w:pStyle w:val="24"/>
              <w:jc w:val="left"/>
              <w:rPr>
                <w:sz w:val="24"/>
                <w:szCs w:val="24"/>
              </w:rPr>
            </w:pPr>
            <w:r>
              <w:rPr>
                <w:sz w:val="24"/>
                <w:szCs w:val="24"/>
              </w:rPr>
              <w:t>2025Q4</w:t>
            </w:r>
          </w:p>
        </w:tc>
        <w:tc>
          <w:p w14:paraId="15812913">
            <w:pPr>
              <w:pStyle w:val="24"/>
              <w:jc w:val="right"/>
              <w:rPr>
                <w:sz w:val="24"/>
                <w:szCs w:val="24"/>
              </w:rPr>
            </w:pPr>
            <w:r>
              <w:rPr>
                <w:sz w:val="24"/>
                <w:szCs w:val="24"/>
              </w:rPr>
              <w:t>9</w:t>
            </w:r>
          </w:p>
        </w:tc>
        <w:tc>
          <w:p w14:paraId="709D52B6">
            <w:pPr>
              <w:pStyle w:val="24"/>
              <w:jc w:val="right"/>
              <w:rPr>
                <w:sz w:val="24"/>
                <w:szCs w:val="24"/>
              </w:rPr>
            </w:pPr>
            <w:r>
              <w:rPr>
                <w:sz w:val="24"/>
                <w:szCs w:val="24"/>
              </w:rPr>
              <w:t>2</w:t>
            </w:r>
          </w:p>
        </w:tc>
        <w:tc>
          <w:p w14:paraId="735A42CD">
            <w:pPr>
              <w:pStyle w:val="24"/>
              <w:jc w:val="right"/>
              <w:rPr>
                <w:sz w:val="24"/>
                <w:szCs w:val="24"/>
              </w:rPr>
            </w:pPr>
            <w:r>
              <w:rPr>
                <w:sz w:val="24"/>
                <w:szCs w:val="24"/>
              </w:rPr>
              <w:t>4</w:t>
            </w:r>
          </w:p>
        </w:tc>
        <w:tc>
          <w:p w14:paraId="7A4725B9">
            <w:pPr>
              <w:pStyle w:val="24"/>
              <w:jc w:val="right"/>
              <w:rPr>
                <w:sz w:val="24"/>
                <w:szCs w:val="24"/>
              </w:rPr>
            </w:pPr>
            <w:r>
              <w:rPr>
                <w:sz w:val="24"/>
                <w:szCs w:val="24"/>
              </w:rPr>
              <w:t>15</w:t>
            </w:r>
          </w:p>
        </w:tc>
        <w:tc>
          <w:p w14:paraId="73B3D946">
            <w:pPr>
              <w:pStyle w:val="24"/>
              <w:jc w:val="left"/>
              <w:rPr>
                <w:sz w:val="24"/>
                <w:szCs w:val="24"/>
              </w:rPr>
            </w:pPr>
            <w:r>
              <w:rPr>
                <w:rFonts w:hint="eastAsia"/>
                <w:sz w:val="24"/>
                <w:szCs w:val="24"/>
              </w:rPr>
              <w:t>偏进攻</w:t>
            </w:r>
          </w:p>
        </w:tc>
      </w:tr>
      <w:tr w14:paraId="2CB583D6">
        <w:tc>
          <w:p w14:paraId="4796E9D0">
            <w:pPr>
              <w:pStyle w:val="24"/>
              <w:jc w:val="left"/>
              <w:rPr>
                <w:sz w:val="24"/>
                <w:szCs w:val="24"/>
              </w:rPr>
            </w:pPr>
            <w:r>
              <w:rPr>
                <w:sz w:val="24"/>
                <w:szCs w:val="24"/>
              </w:rPr>
              <w:t>2026Q1</w:t>
            </w:r>
          </w:p>
        </w:tc>
        <w:tc>
          <w:p w14:paraId="0AF7CF55">
            <w:pPr>
              <w:pStyle w:val="24"/>
              <w:jc w:val="right"/>
              <w:rPr>
                <w:sz w:val="24"/>
                <w:szCs w:val="24"/>
              </w:rPr>
            </w:pPr>
            <w:r>
              <w:rPr>
                <w:sz w:val="24"/>
                <w:szCs w:val="24"/>
              </w:rPr>
              <w:t>13</w:t>
            </w:r>
          </w:p>
        </w:tc>
        <w:tc>
          <w:p w14:paraId="08642EFE">
            <w:pPr>
              <w:pStyle w:val="24"/>
              <w:jc w:val="right"/>
              <w:rPr>
                <w:sz w:val="24"/>
                <w:szCs w:val="24"/>
              </w:rPr>
            </w:pPr>
            <w:r>
              <w:rPr>
                <w:sz w:val="24"/>
                <w:szCs w:val="24"/>
              </w:rPr>
              <w:t>0</w:t>
            </w:r>
          </w:p>
        </w:tc>
        <w:tc>
          <w:p w14:paraId="34FCF146">
            <w:pPr>
              <w:pStyle w:val="24"/>
              <w:jc w:val="right"/>
              <w:rPr>
                <w:sz w:val="24"/>
                <w:szCs w:val="24"/>
              </w:rPr>
            </w:pPr>
            <w:r>
              <w:rPr>
                <w:sz w:val="24"/>
                <w:szCs w:val="24"/>
              </w:rPr>
              <w:t>2</w:t>
            </w:r>
          </w:p>
        </w:tc>
        <w:tc>
          <w:p w14:paraId="0A10A33A">
            <w:pPr>
              <w:pStyle w:val="24"/>
              <w:jc w:val="right"/>
              <w:rPr>
                <w:sz w:val="24"/>
                <w:szCs w:val="24"/>
              </w:rPr>
            </w:pPr>
            <w:r>
              <w:rPr>
                <w:sz w:val="24"/>
                <w:szCs w:val="24"/>
              </w:rPr>
              <w:t>15</w:t>
            </w:r>
          </w:p>
        </w:tc>
        <w:tc>
          <w:p w14:paraId="27EF1F5B">
            <w:pPr>
              <w:pStyle w:val="24"/>
              <w:jc w:val="left"/>
              <w:rPr>
                <w:sz w:val="24"/>
                <w:szCs w:val="24"/>
              </w:rPr>
            </w:pPr>
            <w:r>
              <w:rPr>
                <w:rFonts w:hint="eastAsia"/>
                <w:sz w:val="24"/>
                <w:szCs w:val="24"/>
              </w:rPr>
              <w:t>全面进攻（风险信号）</w:t>
            </w:r>
          </w:p>
        </w:tc>
      </w:tr>
      <w:tr w14:paraId="143BFFCF">
        <w:tc>
          <w:p w14:paraId="6848E186">
            <w:pPr>
              <w:pStyle w:val="24"/>
              <w:jc w:val="left"/>
              <w:rPr>
                <w:sz w:val="24"/>
                <w:szCs w:val="24"/>
              </w:rPr>
            </w:pPr>
            <w:r>
              <w:rPr>
                <w:sz w:val="24"/>
                <w:szCs w:val="24"/>
              </w:rPr>
              <w:t>2026Q2</w:t>
            </w:r>
          </w:p>
        </w:tc>
        <w:tc>
          <w:p w14:paraId="75ECD9E9">
            <w:pPr>
              <w:pStyle w:val="24"/>
              <w:jc w:val="right"/>
              <w:rPr>
                <w:sz w:val="24"/>
                <w:szCs w:val="24"/>
              </w:rPr>
            </w:pPr>
            <w:r>
              <w:rPr>
                <w:sz w:val="24"/>
                <w:szCs w:val="24"/>
              </w:rPr>
              <w:t>12</w:t>
            </w:r>
          </w:p>
        </w:tc>
        <w:tc>
          <w:p w14:paraId="364098CE">
            <w:pPr>
              <w:pStyle w:val="24"/>
              <w:jc w:val="right"/>
              <w:rPr>
                <w:sz w:val="24"/>
                <w:szCs w:val="24"/>
              </w:rPr>
            </w:pPr>
            <w:r>
              <w:rPr>
                <w:sz w:val="24"/>
                <w:szCs w:val="24"/>
              </w:rPr>
              <w:t>0</w:t>
            </w:r>
          </w:p>
        </w:tc>
        <w:tc>
          <w:p w14:paraId="3771BC64">
            <w:pPr>
              <w:pStyle w:val="24"/>
              <w:jc w:val="right"/>
              <w:rPr>
                <w:sz w:val="24"/>
                <w:szCs w:val="24"/>
              </w:rPr>
            </w:pPr>
            <w:r>
              <w:rPr>
                <w:sz w:val="24"/>
                <w:szCs w:val="24"/>
              </w:rPr>
              <w:t>3</w:t>
            </w:r>
          </w:p>
        </w:tc>
        <w:tc>
          <w:p w14:paraId="43E8A231">
            <w:pPr>
              <w:pStyle w:val="24"/>
              <w:jc w:val="right"/>
              <w:rPr>
                <w:sz w:val="24"/>
                <w:szCs w:val="24"/>
              </w:rPr>
            </w:pPr>
            <w:r>
              <w:rPr>
                <w:sz w:val="24"/>
                <w:szCs w:val="24"/>
              </w:rPr>
              <w:t>15</w:t>
            </w:r>
          </w:p>
        </w:tc>
        <w:tc>
          <w:p w14:paraId="2F259E02">
            <w:pPr>
              <w:pStyle w:val="24"/>
              <w:jc w:val="left"/>
              <w:rPr>
                <w:sz w:val="24"/>
                <w:szCs w:val="24"/>
              </w:rPr>
            </w:pPr>
            <w:r>
              <w:rPr>
                <w:rFonts w:hint="eastAsia"/>
                <w:sz w:val="24"/>
                <w:szCs w:val="24"/>
              </w:rPr>
              <w:t>偏进攻</w:t>
            </w:r>
          </w:p>
        </w:tc>
      </w:tr>
      <w:tr w14:paraId="0D5229B3">
        <w:tc>
          <w:p w14:paraId="7079790F">
            <w:pPr>
              <w:pStyle w:val="24"/>
              <w:jc w:val="left"/>
              <w:rPr>
                <w:sz w:val="24"/>
                <w:szCs w:val="24"/>
              </w:rPr>
            </w:pPr>
            <w:r>
              <w:rPr>
                <w:sz w:val="24"/>
                <w:szCs w:val="24"/>
              </w:rPr>
              <w:t>2026Q3</w:t>
            </w:r>
          </w:p>
        </w:tc>
        <w:tc>
          <w:p w14:paraId="3EA0D06D">
            <w:pPr>
              <w:pStyle w:val="24"/>
              <w:jc w:val="right"/>
              <w:rPr>
                <w:sz w:val="24"/>
                <w:szCs w:val="24"/>
              </w:rPr>
            </w:pPr>
            <w:r>
              <w:rPr>
                <w:sz w:val="24"/>
                <w:szCs w:val="24"/>
              </w:rPr>
              <w:t>4</w:t>
            </w:r>
          </w:p>
        </w:tc>
        <w:tc>
          <w:p w14:paraId="6229C4AB">
            <w:pPr>
              <w:pStyle w:val="24"/>
              <w:jc w:val="right"/>
              <w:rPr>
                <w:sz w:val="24"/>
                <w:szCs w:val="24"/>
              </w:rPr>
            </w:pPr>
            <w:r>
              <w:rPr>
                <w:sz w:val="24"/>
                <w:szCs w:val="24"/>
              </w:rPr>
              <w:t>0</w:t>
            </w:r>
          </w:p>
        </w:tc>
        <w:tc>
          <w:p w14:paraId="6E4E3C7C">
            <w:pPr>
              <w:pStyle w:val="24"/>
              <w:jc w:val="right"/>
              <w:rPr>
                <w:sz w:val="24"/>
                <w:szCs w:val="24"/>
              </w:rPr>
            </w:pPr>
            <w:r>
              <w:rPr>
                <w:sz w:val="24"/>
                <w:szCs w:val="24"/>
              </w:rPr>
              <w:t>1</w:t>
            </w:r>
          </w:p>
        </w:tc>
        <w:tc>
          <w:p w14:paraId="52A13CBE">
            <w:pPr>
              <w:pStyle w:val="24"/>
              <w:jc w:val="right"/>
              <w:rPr>
                <w:sz w:val="24"/>
                <w:szCs w:val="24"/>
              </w:rPr>
            </w:pPr>
            <w:r>
              <w:rPr>
                <w:sz w:val="24"/>
                <w:szCs w:val="24"/>
              </w:rPr>
              <w:t>5</w:t>
            </w:r>
          </w:p>
        </w:tc>
        <w:tc>
          <w:p w14:paraId="42ADED17">
            <w:pPr>
              <w:pStyle w:val="24"/>
              <w:jc w:val="left"/>
              <w:rPr>
                <w:sz w:val="24"/>
                <w:szCs w:val="24"/>
              </w:rPr>
            </w:pPr>
            <w:r>
              <w:rPr>
                <w:rFonts w:hint="eastAsia"/>
                <w:sz w:val="24"/>
                <w:szCs w:val="24"/>
              </w:rPr>
              <w:t>减仓修正</w:t>
            </w:r>
          </w:p>
        </w:tc>
      </w:tr>
    </w:tbl>
    <w:p w14:paraId="24CF7544">
      <w:pPr>
        <w:pStyle w:val="3"/>
        <w:rPr>
          <w:sz w:val="24"/>
          <w:szCs w:val="24"/>
        </w:rPr>
      </w:pPr>
      <w:r>
        <w:rPr>
          <w:rFonts w:hint="eastAsia"/>
          <w:sz w:val="24"/>
          <w:szCs w:val="24"/>
        </w:rPr>
        <w:t>策略的攻防切换呈现明显的动量驱动特征：</w:t>
      </w:r>
    </w:p>
    <w:p w14:paraId="0399061E">
      <w:pPr>
        <w:pStyle w:val="24"/>
        <w:numPr>
          <w:ilvl w:val="0"/>
          <w:numId w:val="1"/>
        </w:numPr>
        <w:rPr>
          <w:sz w:val="24"/>
          <w:szCs w:val="24"/>
        </w:rPr>
      </w:pPr>
      <w:r>
        <w:rPr>
          <w:b/>
          <w:bCs/>
          <w:sz w:val="24"/>
          <w:szCs w:val="24"/>
        </w:rPr>
        <w:t xml:space="preserve">2025Q1 </w:t>
      </w:r>
      <w:r>
        <w:rPr>
          <w:rFonts w:hint="eastAsia"/>
          <w:b/>
          <w:bCs/>
          <w:sz w:val="24"/>
          <w:szCs w:val="24"/>
        </w:rPr>
        <w:t>全面进攻</w:t>
      </w:r>
      <w:r>
        <w:rPr>
          <w:rFonts w:hint="eastAsia"/>
          <w:sz w:val="24"/>
          <w:szCs w:val="24"/>
        </w:rPr>
        <w:t>：半导体动量初起，策略重仓进攻型股票，为后续主升浪布局</w:t>
      </w:r>
    </w:p>
    <w:p w14:paraId="389032FE">
      <w:pPr>
        <w:pStyle w:val="24"/>
        <w:numPr>
          <w:ilvl w:val="0"/>
          <w:numId w:val="1"/>
        </w:numPr>
        <w:rPr>
          <w:sz w:val="24"/>
          <w:szCs w:val="24"/>
        </w:rPr>
      </w:pPr>
      <w:r>
        <w:rPr>
          <w:b/>
          <w:bCs/>
          <w:sz w:val="24"/>
          <w:szCs w:val="24"/>
        </w:rPr>
        <w:t xml:space="preserve">2025Q2 </w:t>
      </w:r>
      <w:r>
        <w:rPr>
          <w:rFonts w:hint="eastAsia"/>
          <w:b/>
          <w:bCs/>
          <w:sz w:val="24"/>
          <w:szCs w:val="24"/>
        </w:rPr>
        <w:t>攻守均衡</w:t>
      </w:r>
      <w:r>
        <w:rPr>
          <w:rFonts w:hint="eastAsia"/>
          <w:sz w:val="24"/>
          <w:szCs w:val="24"/>
        </w:rPr>
        <w:t>：市场不确定性增加，策略纳入6次防守型持仓，动量信号短暂趋平</w:t>
      </w:r>
    </w:p>
    <w:p w14:paraId="2A72E33E">
      <w:pPr>
        <w:pStyle w:val="24"/>
        <w:numPr>
          <w:ilvl w:val="0"/>
          <w:numId w:val="1"/>
        </w:numPr>
        <w:rPr>
          <w:sz w:val="24"/>
          <w:szCs w:val="24"/>
        </w:rPr>
      </w:pPr>
      <w:r>
        <w:rPr>
          <w:b/>
          <w:bCs/>
          <w:sz w:val="24"/>
          <w:szCs w:val="24"/>
        </w:rPr>
        <w:t xml:space="preserve">2025Q3-Q4 </w:t>
      </w:r>
      <w:r>
        <w:rPr>
          <w:rFonts w:hint="eastAsia"/>
          <w:b/>
          <w:bCs/>
          <w:sz w:val="24"/>
          <w:szCs w:val="24"/>
        </w:rPr>
        <w:t>偏进攻</w:t>
      </w:r>
      <w:r>
        <w:rPr>
          <w:rFonts w:hint="eastAsia"/>
          <w:sz w:val="24"/>
          <w:szCs w:val="24"/>
        </w:rPr>
        <w:t>：存储芯片主升浪期间，策略持续偏向进攻型，捕获了最大的超额收益</w:t>
      </w:r>
    </w:p>
    <w:p w14:paraId="024214F5">
      <w:pPr>
        <w:pStyle w:val="24"/>
        <w:numPr>
          <w:ilvl w:val="0"/>
          <w:numId w:val="1"/>
        </w:numPr>
        <w:rPr>
          <w:sz w:val="24"/>
          <w:szCs w:val="24"/>
        </w:rPr>
      </w:pPr>
      <w:r>
        <w:rPr>
          <w:b/>
          <w:bCs/>
          <w:sz w:val="24"/>
          <w:szCs w:val="24"/>
        </w:rPr>
        <w:t xml:space="preserve">2026Q1 </w:t>
      </w:r>
      <w:r>
        <w:rPr>
          <w:rFonts w:hint="eastAsia"/>
          <w:b/>
          <w:bCs/>
          <w:sz w:val="24"/>
          <w:szCs w:val="24"/>
        </w:rPr>
        <w:t>全面进攻（风险信号）</w:t>
      </w:r>
      <w:r>
        <w:rPr>
          <w:rFonts w:hint="eastAsia"/>
          <w:sz w:val="24"/>
          <w:szCs w:val="24"/>
        </w:rPr>
        <w:t>：市场已转入下跌市，但动量因子仍在追逐高位强势股，13次进攻、0次防守——这是动量策略在趋势拐点的典型滞后特征</w:t>
      </w:r>
      <w:r>
        <w:rPr>
          <w:sz w:val="24"/>
          <w:szCs w:val="24"/>
        </w:rPr>
        <w:t xml:space="preserve"> (Jegadeesh &amp; Titman, 1993; Carhart, 1997)</w:t>
      </w:r>
    </w:p>
    <w:p w14:paraId="019D939E">
      <w:pPr>
        <w:pStyle w:val="24"/>
        <w:numPr>
          <w:ilvl w:val="0"/>
          <w:numId w:val="1"/>
        </w:numPr>
        <w:rPr>
          <w:sz w:val="24"/>
          <w:szCs w:val="24"/>
        </w:rPr>
      </w:pPr>
      <w:r>
        <w:rPr>
          <w:b/>
          <w:bCs/>
          <w:sz w:val="24"/>
          <w:szCs w:val="24"/>
        </w:rPr>
        <w:t xml:space="preserve">2026Q3 </w:t>
      </w:r>
      <w:r>
        <w:rPr>
          <w:rFonts w:hint="eastAsia"/>
          <w:b/>
          <w:bCs/>
          <w:sz w:val="24"/>
          <w:szCs w:val="24"/>
        </w:rPr>
        <w:t>减仓修正</w:t>
      </w:r>
      <w:r>
        <w:rPr>
          <w:rFonts w:hint="eastAsia"/>
          <w:sz w:val="24"/>
          <w:szCs w:val="24"/>
        </w:rPr>
        <w:t>：7月科技股回调后，策略仅选出4次进攻型持仓，动量信号大幅衰减</w:t>
      </w:r>
    </w:p>
    <w:bookmarkEnd w:id="26"/>
    <w:bookmarkEnd w:id="30"/>
    <w:bookmarkEnd w:id="32"/>
    <w:p w14:paraId="615E4F4C">
      <w:pPr>
        <w:pStyle w:val="2"/>
        <w:rPr>
          <w:sz w:val="24"/>
          <w:szCs w:val="24"/>
        </w:rPr>
      </w:pPr>
      <w:bookmarkStart w:id="33" w:name="第6章-结论局限与下一步"/>
      <w:r>
        <w:rPr>
          <w:rFonts w:hint="eastAsia"/>
          <w:sz w:val="24"/>
          <w:szCs w:val="24"/>
        </w:rPr>
        <w:t>第6章</w:t>
      </w:r>
      <w:r>
        <w:rPr>
          <w:sz w:val="24"/>
          <w:szCs w:val="24"/>
        </w:rPr>
        <w:t xml:space="preserve"> </w:t>
      </w:r>
      <w:r>
        <w:rPr>
          <w:rFonts w:hint="eastAsia"/>
          <w:sz w:val="24"/>
          <w:szCs w:val="24"/>
        </w:rPr>
        <w:t>结论、局限与下一步</w:t>
      </w:r>
    </w:p>
    <w:p w14:paraId="00D9CF4F">
      <w:pPr>
        <w:pStyle w:val="4"/>
        <w:rPr>
          <w:sz w:val="24"/>
          <w:szCs w:val="24"/>
        </w:rPr>
      </w:pPr>
      <w:bookmarkStart w:id="34" w:name="结论"/>
      <w:r>
        <w:rPr>
          <w:sz w:val="24"/>
          <w:szCs w:val="24"/>
        </w:rPr>
        <w:t xml:space="preserve">6.1 </w:t>
      </w:r>
      <w:r>
        <w:rPr>
          <w:rFonts w:hint="eastAsia"/>
          <w:sz w:val="24"/>
          <w:szCs w:val="24"/>
        </w:rPr>
        <w:t>结论</w:t>
      </w:r>
    </w:p>
    <w:p w14:paraId="494B4F87">
      <w:pPr>
        <w:pStyle w:val="24"/>
        <w:numPr>
          <w:ilvl w:val="0"/>
          <w:numId w:val="3"/>
        </w:numPr>
        <w:rPr>
          <w:sz w:val="24"/>
          <w:szCs w:val="24"/>
        </w:rPr>
      </w:pPr>
      <w:r>
        <w:rPr>
          <w:rFonts w:hint="eastAsia"/>
          <w:sz w:val="24"/>
          <w:szCs w:val="24"/>
        </w:rPr>
        <w:t>VQM三因子策略在2025-01-27至2026-07-21期间累计收益210.8%，超额沪深300达186.7%，年化收益123.2%远超基准的16.6%，三项成功标准（绝对收益≥0、超额收益≥0、最大回撤≤15%）全部通过。</w:t>
      </w:r>
    </w:p>
    <w:p w14:paraId="795CBB05">
      <w:pPr>
        <w:pStyle w:val="24"/>
        <w:numPr>
          <w:ilvl w:val="0"/>
          <w:numId w:val="3"/>
        </w:numPr>
        <w:rPr>
          <w:sz w:val="24"/>
          <w:szCs w:val="24"/>
        </w:rPr>
      </w:pPr>
      <w:r>
        <w:rPr>
          <w:rFonts w:hint="eastAsia"/>
          <w:sz w:val="24"/>
          <w:szCs w:val="24"/>
        </w:rPr>
        <w:t>最大回撤仅-14.7%，低于预设15%的风控线，15%回撤控制机制在2025年末存储芯片板块回调中发挥了关键作用，夏普比率2.32显著优于基准的0.87，风险控制良好。</w:t>
      </w:r>
    </w:p>
    <w:p w14:paraId="2C54EF62">
      <w:pPr>
        <w:pStyle w:val="24"/>
        <w:numPr>
          <w:ilvl w:val="0"/>
          <w:numId w:val="3"/>
        </w:numPr>
        <w:rPr>
          <w:sz w:val="24"/>
          <w:szCs w:val="24"/>
        </w:rPr>
      </w:pPr>
      <w:r>
        <w:rPr>
          <w:rFonts w:hint="eastAsia"/>
          <w:sz w:val="24"/>
          <w:szCs w:val="24"/>
        </w:rPr>
        <w:t>策略收益高度来源于动量因子对存储芯片板块的捕捉，德明利、江波龙、佰维存储三只股票合计贡献约124%的组合收益，是超额收益的核心来源；攻防风格分析显示策略在2026Q1下跌市中仍全面进攻，暴露了动量因子在趋势拐点的滞后性。</w:t>
      </w:r>
    </w:p>
    <w:bookmarkEnd w:id="34"/>
    <w:p w14:paraId="7C0560BC">
      <w:pPr>
        <w:pStyle w:val="4"/>
        <w:rPr>
          <w:sz w:val="24"/>
          <w:szCs w:val="24"/>
        </w:rPr>
      </w:pPr>
      <w:bookmarkStart w:id="35" w:name="局限"/>
      <w:r>
        <w:rPr>
          <w:sz w:val="24"/>
          <w:szCs w:val="24"/>
        </w:rPr>
        <w:t xml:space="preserve">6.2 </w:t>
      </w:r>
      <w:r>
        <w:rPr>
          <w:rFonts w:hint="eastAsia"/>
          <w:sz w:val="24"/>
          <w:szCs w:val="24"/>
        </w:rPr>
        <w:t>局限</w:t>
      </w:r>
    </w:p>
    <w:p w14:paraId="40390CBB">
      <w:pPr>
        <w:pStyle w:val="24"/>
        <w:numPr>
          <w:ilvl w:val="0"/>
          <w:numId w:val="1"/>
        </w:numPr>
        <w:rPr>
          <w:sz w:val="24"/>
          <w:szCs w:val="24"/>
        </w:rPr>
      </w:pPr>
      <w:r>
        <w:rPr>
          <w:rFonts w:hint="eastAsia"/>
          <w:b/>
          <w:bCs/>
          <w:sz w:val="24"/>
          <w:szCs w:val="24"/>
        </w:rPr>
        <w:t>样本有限</w:t>
      </w:r>
      <w:r>
        <w:rPr>
          <w:rFonts w:hint="eastAsia"/>
          <w:sz w:val="24"/>
          <w:szCs w:val="24"/>
        </w:rPr>
        <w:t>：股票池仅20只，每月选5只，结论可能不具普适性，难以推广至全市场。</w:t>
      </w:r>
    </w:p>
    <w:p w14:paraId="71BEAA44">
      <w:pPr>
        <w:pStyle w:val="24"/>
        <w:numPr>
          <w:ilvl w:val="0"/>
          <w:numId w:val="1"/>
        </w:numPr>
        <w:rPr>
          <w:sz w:val="24"/>
          <w:szCs w:val="24"/>
        </w:rPr>
      </w:pPr>
      <w:r>
        <w:rPr>
          <w:rFonts w:hint="eastAsia"/>
          <w:b/>
          <w:bCs/>
          <w:sz w:val="24"/>
          <w:szCs w:val="24"/>
        </w:rPr>
        <w:t>未考虑交易成本</w:t>
      </w:r>
      <w:r>
        <w:rPr>
          <w:rFonts w:hint="eastAsia"/>
          <w:sz w:val="24"/>
          <w:szCs w:val="24"/>
        </w:rPr>
        <w:t>：实际交易中印花税、佣金、滑点会降低净收益，月度调仓的换手率较高时影响尤为显著。</w:t>
      </w:r>
    </w:p>
    <w:p w14:paraId="2A8F07AC">
      <w:pPr>
        <w:pStyle w:val="24"/>
        <w:numPr>
          <w:ilvl w:val="0"/>
          <w:numId w:val="1"/>
        </w:numPr>
        <w:rPr>
          <w:sz w:val="24"/>
          <w:szCs w:val="24"/>
        </w:rPr>
      </w:pPr>
      <w:r>
        <w:rPr>
          <w:rFonts w:hint="eastAsia"/>
          <w:b/>
          <w:bCs/>
          <w:sz w:val="24"/>
          <w:szCs w:val="24"/>
        </w:rPr>
        <w:t>数据区间较短</w:t>
      </w:r>
      <w:r>
        <w:rPr>
          <w:rFonts w:hint="eastAsia"/>
          <w:sz w:val="24"/>
          <w:szCs w:val="24"/>
        </w:rPr>
        <w:t>：策略有效回测期仅约1.5年（2025-01至2026-07），未经历完整牛熊周期，策略在极端行情下的表现有待验证。</w:t>
      </w:r>
    </w:p>
    <w:p w14:paraId="3E6ADB25">
      <w:pPr>
        <w:pStyle w:val="24"/>
        <w:numPr>
          <w:ilvl w:val="0"/>
          <w:numId w:val="1"/>
        </w:numPr>
        <w:rPr>
          <w:sz w:val="24"/>
          <w:szCs w:val="24"/>
        </w:rPr>
      </w:pPr>
      <w:r>
        <w:rPr>
          <w:rFonts w:hint="eastAsia"/>
          <w:b/>
          <w:bCs/>
          <w:sz w:val="24"/>
          <w:szCs w:val="24"/>
        </w:rPr>
        <w:t>基本面因子静态化</w:t>
      </w:r>
      <w:r>
        <w:rPr>
          <w:rFonts w:hint="eastAsia"/>
          <w:sz w:val="24"/>
          <w:szCs w:val="24"/>
        </w:rPr>
        <w:t>：PE和ROE为回测期内获取的快照值，未随季报更新动态调整，可能高估了质量与价值因子的截面区分度</w:t>
      </w:r>
      <w:r>
        <w:rPr>
          <w:sz w:val="24"/>
          <w:szCs w:val="24"/>
        </w:rPr>
        <w:t xml:space="preserve"> (Novy-Marx, 2013; Lakonishok, Shleifer &amp; Vishny, 1994)。</w:t>
      </w:r>
    </w:p>
    <w:p w14:paraId="3C6FDB94">
      <w:pPr>
        <w:pStyle w:val="24"/>
        <w:numPr>
          <w:ilvl w:val="0"/>
          <w:numId w:val="1"/>
        </w:numPr>
        <w:rPr>
          <w:sz w:val="24"/>
          <w:szCs w:val="24"/>
        </w:rPr>
      </w:pPr>
      <w:r>
        <w:rPr>
          <w:rFonts w:hint="eastAsia"/>
          <w:b/>
          <w:bCs/>
          <w:sz w:val="24"/>
          <w:szCs w:val="24"/>
        </w:rPr>
        <w:t>风格集中</w:t>
      </w:r>
      <w:r>
        <w:rPr>
          <w:rFonts w:hint="eastAsia"/>
          <w:sz w:val="24"/>
          <w:szCs w:val="24"/>
        </w:rPr>
        <w:t>：策略对半导体板块暴露过度集中，在板块系统性回调时（如2026年7月）面临较大压力。当前策略的攻防切换完全由动量因子隐式驱动，存在两个结构性问题：（1）在市场拐点处滞后，如2026Q1在下跌市中仍全面进攻</w:t>
      </w:r>
      <w:r>
        <w:rPr>
          <w:sz w:val="24"/>
          <w:szCs w:val="24"/>
        </w:rPr>
        <w:t xml:space="preserve"> (Jegadeesh &amp; Titman, </w:t>
      </w:r>
      <w:r>
        <w:rPr>
          <w:rFonts w:hint="eastAsia"/>
          <w:sz w:val="24"/>
          <w:szCs w:val="24"/>
        </w:rPr>
        <w:t>1993)；（2）15%回撤控制是”一刀切”式全仓转现金，缺乏渐进式防御过渡。</w:t>
      </w:r>
    </w:p>
    <w:bookmarkEnd w:id="35"/>
    <w:p w14:paraId="706AEA5D">
      <w:pPr>
        <w:pStyle w:val="4"/>
        <w:rPr>
          <w:sz w:val="24"/>
          <w:szCs w:val="24"/>
        </w:rPr>
      </w:pPr>
      <w:bookmarkStart w:id="36" w:name="下一步"/>
      <w:r>
        <w:rPr>
          <w:sz w:val="24"/>
          <w:szCs w:val="24"/>
        </w:rPr>
        <w:t xml:space="preserve">6.3 </w:t>
      </w:r>
      <w:r>
        <w:rPr>
          <w:rFonts w:hint="eastAsia"/>
          <w:sz w:val="24"/>
          <w:szCs w:val="24"/>
        </w:rPr>
        <w:t>下一步</w:t>
      </w:r>
    </w:p>
    <w:p w14:paraId="189F2018">
      <w:pPr>
        <w:numPr>
          <w:ilvl w:val="0"/>
          <w:numId w:val="1"/>
        </w:numPr>
        <w:rPr>
          <w:sz w:val="24"/>
          <w:szCs w:val="24"/>
        </w:rPr>
      </w:pPr>
      <w:r>
        <w:rPr>
          <w:rFonts w:hint="eastAsia"/>
          <w:b/>
          <w:bCs/>
          <w:sz w:val="24"/>
          <w:szCs w:val="24"/>
        </w:rPr>
        <w:t>加入风格约束</w:t>
      </w:r>
      <w:r>
        <w:rPr>
          <w:rFonts w:hint="eastAsia"/>
          <w:sz w:val="24"/>
          <w:szCs w:val="24"/>
        </w:rPr>
        <w:t>：在选股规则中限制进攻型持仓数量（如最多3只）或要求至少1只防守型持仓，缓解动量因子在趋势拐点的滞后风险。</w:t>
      </w:r>
    </w:p>
    <w:p w14:paraId="1A23CF60">
      <w:pPr>
        <w:numPr>
          <w:ilvl w:val="0"/>
          <w:numId w:val="1"/>
        </w:numPr>
        <w:rPr>
          <w:sz w:val="24"/>
          <w:szCs w:val="24"/>
        </w:rPr>
      </w:pPr>
      <w:r>
        <w:rPr>
          <w:rFonts w:hint="eastAsia"/>
          <w:b/>
          <w:bCs/>
          <w:sz w:val="24"/>
          <w:szCs w:val="24"/>
        </w:rPr>
        <w:t>引入渐进式防御</w:t>
      </w:r>
      <w:r>
        <w:rPr>
          <w:rFonts w:hint="eastAsia"/>
          <w:sz w:val="24"/>
          <w:szCs w:val="24"/>
        </w:rPr>
        <w:t>：当组合回撤超过10%时，将最弱持仓替换为红利ETF（波动率12.1%、最大回撤-13.6%，全池最低），替代当前15%一刀切全仓转现金的机制。</w:t>
      </w:r>
    </w:p>
    <w:p w14:paraId="0431D97C">
      <w:pPr>
        <w:numPr>
          <w:ilvl w:val="0"/>
          <w:numId w:val="1"/>
        </w:numPr>
        <w:rPr>
          <w:sz w:val="24"/>
          <w:szCs w:val="24"/>
        </w:rPr>
      </w:pPr>
      <w:r>
        <w:rPr>
          <w:rFonts w:hint="eastAsia"/>
          <w:b/>
          <w:bCs/>
          <w:sz w:val="24"/>
          <w:szCs w:val="24"/>
        </w:rPr>
        <w:t>相对动量风格轮动</w:t>
      </w:r>
      <w:r>
        <w:rPr>
          <w:rFonts w:hint="eastAsia"/>
          <w:sz w:val="24"/>
          <w:szCs w:val="24"/>
        </w:rPr>
        <w:t>：比较进攻组与防守组的近期动量强弱，动态调整配置比例——进攻组动量领先时配置3进攻+2防守，防守组领先时切换为2进攻+3防守。</w:t>
      </w:r>
    </w:p>
    <w:p w14:paraId="6790CBEF">
      <w:pPr>
        <w:numPr>
          <w:ilvl w:val="0"/>
          <w:numId w:val="1"/>
        </w:numPr>
        <w:rPr>
          <w:sz w:val="24"/>
          <w:szCs w:val="24"/>
        </w:rPr>
      </w:pPr>
      <w:r>
        <w:rPr>
          <w:rFonts w:hint="eastAsia"/>
          <w:b/>
          <w:bCs/>
          <w:sz w:val="24"/>
          <w:szCs w:val="24"/>
        </w:rPr>
        <w:t>扩大股票池</w:t>
      </w:r>
      <w:r>
        <w:rPr>
          <w:rFonts w:hint="eastAsia"/>
          <w:sz w:val="24"/>
          <w:szCs w:val="24"/>
        </w:rPr>
        <w:t>：将候选股票从20只扩展至50只以上，覆盖更多行业，降低单一板块暴露风险，提升结论的普适性。</w:t>
      </w:r>
    </w:p>
    <w:p w14:paraId="61DB9C4A">
      <w:pPr>
        <w:numPr>
          <w:ilvl w:val="0"/>
          <w:numId w:val="1"/>
        </w:numPr>
        <w:rPr>
          <w:sz w:val="24"/>
          <w:szCs w:val="24"/>
        </w:rPr>
      </w:pPr>
      <w:r>
        <w:rPr>
          <w:rFonts w:hint="eastAsia"/>
          <w:b/>
          <w:bCs/>
          <w:sz w:val="24"/>
          <w:szCs w:val="24"/>
        </w:rPr>
        <w:t>纳入交易成本</w:t>
      </w:r>
      <w:r>
        <w:rPr>
          <w:rFonts w:hint="eastAsia"/>
          <w:sz w:val="24"/>
          <w:szCs w:val="24"/>
        </w:rPr>
        <w:t>：在回测中加入双边千分之一的交易成本假设，评估策略在扣费后的真实超额收益。</w:t>
      </w:r>
    </w:p>
    <w:p w14:paraId="4932A9B6">
      <w:pPr>
        <w:numPr>
          <w:ilvl w:val="0"/>
          <w:numId w:val="1"/>
        </w:numPr>
        <w:rPr>
          <w:sz w:val="24"/>
          <w:szCs w:val="24"/>
        </w:rPr>
      </w:pPr>
      <w:r>
        <w:rPr>
          <w:rFonts w:hint="eastAsia"/>
          <w:b/>
          <w:bCs/>
          <w:sz w:val="24"/>
          <w:szCs w:val="24"/>
        </w:rPr>
        <w:t>动态基本面因子</w:t>
      </w:r>
      <w:r>
        <w:rPr>
          <w:rFonts w:hint="eastAsia"/>
          <w:sz w:val="24"/>
          <w:szCs w:val="24"/>
        </w:rPr>
        <w:t>：按季报发布时间滚动更新PE和ROE，使质量与价值因子反映最新的基本面信息。</w:t>
      </w:r>
    </w:p>
    <w:p w14:paraId="5DF3B655">
      <w:pPr>
        <w:numPr>
          <w:ilvl w:val="0"/>
          <w:numId w:val="1"/>
        </w:numPr>
        <w:rPr>
          <w:sz w:val="24"/>
          <w:szCs w:val="24"/>
        </w:rPr>
      </w:pPr>
      <w:r>
        <w:rPr>
          <w:rFonts w:hint="eastAsia"/>
          <w:b/>
          <w:bCs/>
          <w:sz w:val="24"/>
          <w:szCs w:val="24"/>
        </w:rPr>
        <w:t>空仓期替代资产测试</w:t>
      </w:r>
      <w:r>
        <w:rPr>
          <w:rFonts w:hint="eastAsia"/>
          <w:sz w:val="24"/>
          <w:szCs w:val="24"/>
        </w:rPr>
        <w:t>：当前策略在回撤超过15%时全仓转现金。我们测试了在6个空仓期（共119个交易日）改为持有红利ETF（515100）的替代方案，结果如下：</w:t>
      </w:r>
    </w:p>
    <w:tbl>
      <w:tblPr>
        <w:tblStyle w:val="41"/>
        <w:tblW w:w="0" w:type="auto"/>
        <w:tblInd w:w="720" w:type="dxa"/>
        <w:tblLayout w:type="autofit"/>
        <w:tblCellMar>
          <w:top w:w="0" w:type="dxa"/>
          <w:left w:w="108" w:type="dxa"/>
          <w:bottom w:w="0" w:type="dxa"/>
          <w:right w:w="108" w:type="dxa"/>
        </w:tblCellMar>
      </w:tblPr>
      <w:tblGrid>
        <w:gridCol w:w="1176"/>
        <w:gridCol w:w="2616"/>
        <w:gridCol w:w="2852"/>
        <w:gridCol w:w="1112"/>
      </w:tblGrid>
      <w:tr w14:paraId="450548D7">
        <w:trPr>
          <w:tblHeader/>
        </w:trPr>
        <w:tc>
          <w:p w14:paraId="042DB7A3">
            <w:pPr>
              <w:pStyle w:val="24"/>
              <w:jc w:val="left"/>
              <w:rPr>
                <w:sz w:val="24"/>
                <w:szCs w:val="24"/>
              </w:rPr>
            </w:pPr>
            <w:r>
              <w:rPr>
                <w:rFonts w:hint="eastAsia"/>
                <w:sz w:val="24"/>
                <w:szCs w:val="24"/>
              </w:rPr>
              <w:t>指标</w:t>
            </w:r>
          </w:p>
        </w:tc>
        <w:tc>
          <w:p w14:paraId="70850A97">
            <w:pPr>
              <w:pStyle w:val="24"/>
              <w:jc w:val="right"/>
              <w:rPr>
                <w:sz w:val="24"/>
                <w:szCs w:val="24"/>
              </w:rPr>
            </w:pPr>
            <w:r>
              <w:rPr>
                <w:rFonts w:hint="eastAsia"/>
                <w:sz w:val="24"/>
                <w:szCs w:val="24"/>
              </w:rPr>
              <w:t>空仓持现金（原策略）</w:t>
            </w:r>
          </w:p>
        </w:tc>
        <w:tc>
          <w:p w14:paraId="0161B01F">
            <w:pPr>
              <w:pStyle w:val="24"/>
              <w:jc w:val="right"/>
              <w:rPr>
                <w:sz w:val="24"/>
                <w:szCs w:val="24"/>
              </w:rPr>
            </w:pPr>
            <w:r>
              <w:rPr>
                <w:rFonts w:hint="eastAsia"/>
                <w:sz w:val="24"/>
                <w:szCs w:val="24"/>
              </w:rPr>
              <w:t>空仓持ETF（替代方案）</w:t>
            </w:r>
          </w:p>
        </w:tc>
        <w:tc>
          <w:p w14:paraId="30E348B3">
            <w:pPr>
              <w:pStyle w:val="24"/>
              <w:jc w:val="right"/>
              <w:rPr>
                <w:sz w:val="24"/>
                <w:szCs w:val="24"/>
              </w:rPr>
            </w:pPr>
            <w:r>
              <w:rPr>
                <w:rFonts w:hint="eastAsia"/>
                <w:sz w:val="24"/>
                <w:szCs w:val="24"/>
              </w:rPr>
              <w:t>差异</w:t>
            </w:r>
          </w:p>
        </w:tc>
      </w:tr>
      <w:tr w14:paraId="7448300E">
        <w:tc>
          <w:p w14:paraId="16DEB293">
            <w:pPr>
              <w:pStyle w:val="24"/>
              <w:jc w:val="left"/>
              <w:rPr>
                <w:sz w:val="24"/>
                <w:szCs w:val="24"/>
              </w:rPr>
            </w:pPr>
            <w:r>
              <w:rPr>
                <w:rFonts w:hint="eastAsia"/>
                <w:sz w:val="24"/>
                <w:szCs w:val="24"/>
              </w:rPr>
              <w:t>总收益</w:t>
            </w:r>
          </w:p>
        </w:tc>
        <w:tc>
          <w:p w14:paraId="2DD1D83F">
            <w:pPr>
              <w:pStyle w:val="24"/>
              <w:jc w:val="right"/>
              <w:rPr>
                <w:sz w:val="24"/>
                <w:szCs w:val="24"/>
              </w:rPr>
            </w:pPr>
            <w:r>
              <w:rPr>
                <w:sz w:val="24"/>
                <w:szCs w:val="24"/>
              </w:rPr>
              <w:t>210.8%</w:t>
            </w:r>
          </w:p>
        </w:tc>
        <w:tc>
          <w:p w14:paraId="66D28670">
            <w:pPr>
              <w:pStyle w:val="24"/>
              <w:jc w:val="right"/>
              <w:rPr>
                <w:sz w:val="24"/>
                <w:szCs w:val="24"/>
              </w:rPr>
            </w:pPr>
            <w:r>
              <w:rPr>
                <w:sz w:val="24"/>
                <w:szCs w:val="24"/>
              </w:rPr>
              <w:t>224.2%</w:t>
            </w:r>
          </w:p>
        </w:tc>
        <w:tc>
          <w:p w14:paraId="20A4127F">
            <w:pPr>
              <w:pStyle w:val="24"/>
              <w:jc w:val="right"/>
              <w:rPr>
                <w:sz w:val="24"/>
                <w:szCs w:val="24"/>
              </w:rPr>
            </w:pPr>
            <w:r>
              <w:rPr>
                <w:sz w:val="24"/>
                <w:szCs w:val="24"/>
              </w:rPr>
              <w:t>+13.4pp</w:t>
            </w:r>
          </w:p>
        </w:tc>
      </w:tr>
      <w:tr w14:paraId="7E891BE0">
        <w:tc>
          <w:p w14:paraId="22B67406">
            <w:pPr>
              <w:pStyle w:val="24"/>
              <w:jc w:val="left"/>
              <w:rPr>
                <w:sz w:val="24"/>
                <w:szCs w:val="24"/>
              </w:rPr>
            </w:pPr>
            <w:r>
              <w:rPr>
                <w:rFonts w:hint="eastAsia"/>
                <w:sz w:val="24"/>
                <w:szCs w:val="24"/>
              </w:rPr>
              <w:t>年化收益</w:t>
            </w:r>
          </w:p>
        </w:tc>
        <w:tc>
          <w:p w14:paraId="6B8D60F3">
            <w:pPr>
              <w:pStyle w:val="24"/>
              <w:jc w:val="right"/>
              <w:rPr>
                <w:sz w:val="24"/>
                <w:szCs w:val="24"/>
              </w:rPr>
            </w:pPr>
            <w:r>
              <w:rPr>
                <w:sz w:val="24"/>
                <w:szCs w:val="24"/>
              </w:rPr>
              <w:t>118.8%</w:t>
            </w:r>
          </w:p>
        </w:tc>
        <w:tc>
          <w:p w14:paraId="1FACA619">
            <w:pPr>
              <w:pStyle w:val="24"/>
              <w:jc w:val="right"/>
              <w:rPr>
                <w:sz w:val="24"/>
                <w:szCs w:val="24"/>
              </w:rPr>
            </w:pPr>
            <w:r>
              <w:rPr>
                <w:sz w:val="24"/>
                <w:szCs w:val="24"/>
              </w:rPr>
              <w:t>125.3%</w:t>
            </w:r>
          </w:p>
        </w:tc>
        <w:tc>
          <w:p w14:paraId="2E3BD12F">
            <w:pPr>
              <w:pStyle w:val="24"/>
              <w:jc w:val="right"/>
              <w:rPr>
                <w:sz w:val="24"/>
                <w:szCs w:val="24"/>
              </w:rPr>
            </w:pPr>
            <w:r>
              <w:rPr>
                <w:sz w:val="24"/>
                <w:szCs w:val="24"/>
              </w:rPr>
              <w:t>+6.5pp</w:t>
            </w:r>
          </w:p>
        </w:tc>
      </w:tr>
      <w:tr w14:paraId="29B1532F">
        <w:tc>
          <w:p w14:paraId="56A1BCBA">
            <w:pPr>
              <w:pStyle w:val="24"/>
              <w:jc w:val="left"/>
              <w:rPr>
                <w:sz w:val="24"/>
                <w:szCs w:val="24"/>
              </w:rPr>
            </w:pPr>
            <w:r>
              <w:rPr>
                <w:rFonts w:hint="eastAsia"/>
                <w:sz w:val="24"/>
                <w:szCs w:val="24"/>
              </w:rPr>
              <w:t>年化波动</w:t>
            </w:r>
          </w:p>
        </w:tc>
        <w:tc>
          <w:p w14:paraId="2AEEE9B3">
            <w:pPr>
              <w:pStyle w:val="24"/>
              <w:jc w:val="right"/>
              <w:rPr>
                <w:sz w:val="24"/>
                <w:szCs w:val="24"/>
              </w:rPr>
            </w:pPr>
            <w:r>
              <w:rPr>
                <w:sz w:val="24"/>
                <w:szCs w:val="24"/>
              </w:rPr>
              <w:t>36.0%</w:t>
            </w:r>
          </w:p>
        </w:tc>
        <w:tc>
          <w:p w14:paraId="6B9FBBE8">
            <w:pPr>
              <w:pStyle w:val="24"/>
              <w:jc w:val="right"/>
              <w:rPr>
                <w:sz w:val="24"/>
                <w:szCs w:val="24"/>
              </w:rPr>
            </w:pPr>
            <w:r>
              <w:rPr>
                <w:sz w:val="24"/>
                <w:szCs w:val="24"/>
              </w:rPr>
              <w:t>37.1%</w:t>
            </w:r>
          </w:p>
        </w:tc>
        <w:tc>
          <w:p w14:paraId="4CD74642">
            <w:pPr>
              <w:pStyle w:val="24"/>
              <w:jc w:val="right"/>
              <w:rPr>
                <w:sz w:val="24"/>
                <w:szCs w:val="24"/>
              </w:rPr>
            </w:pPr>
            <w:r>
              <w:rPr>
                <w:sz w:val="24"/>
                <w:szCs w:val="24"/>
              </w:rPr>
              <w:t>+1.0pp</w:t>
            </w:r>
          </w:p>
        </w:tc>
      </w:tr>
      <w:tr w14:paraId="31BDFB9C">
        <w:tc>
          <w:p w14:paraId="327C2340">
            <w:pPr>
              <w:pStyle w:val="24"/>
              <w:jc w:val="left"/>
              <w:rPr>
                <w:sz w:val="24"/>
                <w:szCs w:val="24"/>
              </w:rPr>
            </w:pPr>
            <w:r>
              <w:rPr>
                <w:rFonts w:hint="eastAsia"/>
                <w:sz w:val="24"/>
                <w:szCs w:val="24"/>
              </w:rPr>
              <w:t>最大回撤</w:t>
            </w:r>
          </w:p>
        </w:tc>
        <w:tc>
          <w:p w14:paraId="15CDBD94">
            <w:pPr>
              <w:pStyle w:val="24"/>
              <w:jc w:val="right"/>
              <w:rPr>
                <w:sz w:val="24"/>
                <w:szCs w:val="24"/>
              </w:rPr>
            </w:pPr>
            <w:r>
              <w:rPr>
                <w:sz w:val="24"/>
                <w:szCs w:val="24"/>
              </w:rPr>
              <w:t>-14.7%</w:t>
            </w:r>
          </w:p>
        </w:tc>
        <w:tc>
          <w:p w14:paraId="74ADF520">
            <w:pPr>
              <w:pStyle w:val="24"/>
              <w:jc w:val="right"/>
              <w:rPr>
                <w:sz w:val="24"/>
                <w:szCs w:val="24"/>
              </w:rPr>
            </w:pPr>
            <w:r>
              <w:rPr>
                <w:sz w:val="24"/>
                <w:szCs w:val="24"/>
              </w:rPr>
              <w:t>-17.6%</w:t>
            </w:r>
          </w:p>
        </w:tc>
        <w:tc>
          <w:p w14:paraId="4A27742F">
            <w:pPr>
              <w:pStyle w:val="24"/>
              <w:jc w:val="right"/>
              <w:rPr>
                <w:sz w:val="24"/>
                <w:szCs w:val="24"/>
              </w:rPr>
            </w:pPr>
            <w:r>
              <w:rPr>
                <w:sz w:val="24"/>
                <w:szCs w:val="24"/>
              </w:rPr>
              <w:t>-2.9pp</w:t>
            </w:r>
          </w:p>
        </w:tc>
      </w:tr>
      <w:tr w14:paraId="5D67078D">
        <w:tc>
          <w:p w14:paraId="01DA8B0F">
            <w:pPr>
              <w:pStyle w:val="24"/>
              <w:jc w:val="left"/>
              <w:rPr>
                <w:sz w:val="24"/>
                <w:szCs w:val="24"/>
              </w:rPr>
            </w:pPr>
            <w:r>
              <w:rPr>
                <w:rFonts w:hint="eastAsia"/>
                <w:sz w:val="24"/>
                <w:szCs w:val="24"/>
              </w:rPr>
              <w:t>夏普比率</w:t>
            </w:r>
          </w:p>
        </w:tc>
        <w:tc>
          <w:p w14:paraId="64F8451E">
            <w:pPr>
              <w:pStyle w:val="24"/>
              <w:jc w:val="right"/>
              <w:rPr>
                <w:sz w:val="24"/>
                <w:szCs w:val="24"/>
              </w:rPr>
            </w:pPr>
            <w:r>
              <w:rPr>
                <w:sz w:val="24"/>
                <w:szCs w:val="24"/>
              </w:rPr>
              <w:t>3.24</w:t>
            </w:r>
          </w:p>
        </w:tc>
        <w:tc>
          <w:p w14:paraId="3BED915E">
            <w:pPr>
              <w:pStyle w:val="24"/>
              <w:jc w:val="right"/>
              <w:rPr>
                <w:sz w:val="24"/>
                <w:szCs w:val="24"/>
              </w:rPr>
            </w:pPr>
            <w:r>
              <w:rPr>
                <w:sz w:val="24"/>
                <w:szCs w:val="24"/>
              </w:rPr>
              <w:t>3.33</w:t>
            </w:r>
          </w:p>
        </w:tc>
        <w:tc>
          <w:p w14:paraId="4B77EE8F">
            <w:pPr>
              <w:pStyle w:val="24"/>
              <w:jc w:val="right"/>
              <w:rPr>
                <w:sz w:val="24"/>
                <w:szCs w:val="24"/>
              </w:rPr>
            </w:pPr>
            <w:r>
              <w:rPr>
                <w:sz w:val="24"/>
                <w:szCs w:val="24"/>
              </w:rPr>
              <w:t>+0.08</w:t>
            </w:r>
          </w:p>
        </w:tc>
      </w:tr>
      <w:tr w14:paraId="4E383ECB">
        <w:tc>
          <w:p w14:paraId="383B1A08">
            <w:pPr>
              <w:pStyle w:val="24"/>
              <w:jc w:val="left"/>
              <w:rPr>
                <w:sz w:val="24"/>
                <w:szCs w:val="24"/>
              </w:rPr>
            </w:pPr>
            <w:r>
              <w:rPr>
                <w:rFonts w:hint="eastAsia"/>
                <w:sz w:val="24"/>
                <w:szCs w:val="24"/>
              </w:rPr>
              <w:t>卡玛比率</w:t>
            </w:r>
          </w:p>
        </w:tc>
        <w:tc>
          <w:p w14:paraId="228E66BD">
            <w:pPr>
              <w:pStyle w:val="24"/>
              <w:jc w:val="right"/>
              <w:rPr>
                <w:sz w:val="24"/>
                <w:szCs w:val="24"/>
              </w:rPr>
            </w:pPr>
            <w:r>
              <w:rPr>
                <w:sz w:val="24"/>
                <w:szCs w:val="24"/>
              </w:rPr>
              <w:t>8.07</w:t>
            </w:r>
          </w:p>
        </w:tc>
        <w:tc>
          <w:p w14:paraId="54E508F6">
            <w:pPr>
              <w:pStyle w:val="24"/>
              <w:jc w:val="right"/>
              <w:rPr>
                <w:sz w:val="24"/>
                <w:szCs w:val="24"/>
              </w:rPr>
            </w:pPr>
            <w:r>
              <w:rPr>
                <w:sz w:val="24"/>
                <w:szCs w:val="24"/>
              </w:rPr>
              <w:t>7.13</w:t>
            </w:r>
          </w:p>
        </w:tc>
        <w:tc>
          <w:p w14:paraId="693FFCEE">
            <w:pPr>
              <w:pStyle w:val="24"/>
              <w:jc w:val="right"/>
              <w:rPr>
                <w:sz w:val="24"/>
                <w:szCs w:val="24"/>
              </w:rPr>
            </w:pPr>
            <w:r>
              <w:rPr>
                <w:sz w:val="24"/>
                <w:szCs w:val="24"/>
              </w:rPr>
              <w:t>-0.94</w:t>
            </w:r>
          </w:p>
        </w:tc>
      </w:tr>
    </w:tbl>
    <w:p w14:paraId="629A8975">
      <w:pPr>
        <w:numPr>
          <w:ilvl w:val="0"/>
          <w:numId w:val="4"/>
        </w:numPr>
        <w:rPr>
          <w:sz w:val="24"/>
          <w:szCs w:val="24"/>
        </w:rPr>
      </w:pPr>
      <w:r>
        <w:rPr>
          <w:rFonts w:hint="eastAsia"/>
          <w:sz w:val="24"/>
          <w:szCs w:val="24"/>
        </w:rPr>
        <w:t>ETF方案在6个空仓期中有5期录得正收益（仅2026年3–4月为-1.35%），累计贡献+13.4pp额外收益，夏普比率小幅提升。但根本矛盾在于：回撤触发往往发生在市场急跌日（如2025-04-07触发日ETF单日下跌-6.2%），ETF与市场仍有相关性，在组合最脆弱的时刻追加了风险敞口，导致最大回撤从-14.7%扩大至-17.6%，突破了15%回撤红线，卡玛比率下降0.94。后续可探索延迟1–2个交易日再切换ETF、或使用国债逆回购等低相关性资产作为替代，在收益与回撤之间寻找更优平衡点。</w:t>
      </w:r>
    </w:p>
    <w:p w14:paraId="4F5F7E94">
      <w:pPr>
        <w:pStyle w:val="47"/>
        <w:numPr>
          <w:ilvl w:val="0"/>
          <w:numId w:val="4"/>
        </w:numPr>
        <w:rPr>
          <w:sz w:val="24"/>
          <w:szCs w:val="24"/>
        </w:rPr>
      </w:pPr>
      <w:r>
        <w:rPr>
          <w:sz w:val="24"/>
          <w:szCs w:val="24"/>
        </w:rPr>
        <w:drawing>
          <wp:inline distT="0" distB="0" distL="114300" distR="114300">
            <wp:extent cx="5334000" cy="3251200"/>
            <wp:effectExtent l="0" t="0" r="0" b="0"/>
            <wp:docPr id="60" name="Picture" descr="图5：空仓期持有现金 vs 红利ETF 净值与回撤对比"/>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 name="Picture" descr="图5：空仓期持有现金 vs 红利ETF 净值与回撤对比"/>
                    <pic:cNvPicPr>
                      <a:picLocks noChangeAspect="1" noChangeArrowheads="1"/>
                    </pic:cNvPicPr>
                  </pic:nvPicPr>
                  <pic:blipFill>
                    <a:blip r:embed="rId10"/>
                    <a:stretch>
                      <a:fillRect/>
                    </a:stretch>
                  </pic:blipFill>
                  <pic:spPr>
                    <a:xfrm>
                      <a:off x="0" y="0"/>
                      <a:ext cx="5334000" cy="3251463"/>
                    </a:xfrm>
                    <a:prstGeom prst="rect">
                      <a:avLst/>
                    </a:prstGeom>
                    <a:noFill/>
                    <a:ln w="9525">
                      <a:noFill/>
                    </a:ln>
                  </pic:spPr>
                </pic:pic>
              </a:graphicData>
            </a:graphic>
          </wp:inline>
        </w:drawing>
      </w:r>
    </w:p>
    <w:p w14:paraId="5DFABF50">
      <w:pPr>
        <w:pStyle w:val="45"/>
        <w:numPr>
          <w:ilvl w:val="0"/>
          <w:numId w:val="4"/>
        </w:numPr>
        <w:rPr>
          <w:sz w:val="24"/>
          <w:szCs w:val="24"/>
        </w:rPr>
      </w:pPr>
      <w:r>
        <w:rPr>
          <w:rFonts w:hint="eastAsia"/>
          <w:sz w:val="24"/>
          <w:szCs w:val="24"/>
        </w:rPr>
        <w:t>图5：空仓期持有现金</w:t>
      </w:r>
      <w:r>
        <w:rPr>
          <w:sz w:val="24"/>
          <w:szCs w:val="24"/>
        </w:rPr>
        <w:t xml:space="preserve"> vs </w:t>
      </w:r>
      <w:r>
        <w:rPr>
          <w:rFonts w:hint="eastAsia"/>
          <w:sz w:val="24"/>
          <w:szCs w:val="24"/>
        </w:rPr>
        <w:t>红利ETF</w:t>
      </w:r>
      <w:r>
        <w:rPr>
          <w:sz w:val="24"/>
          <w:szCs w:val="24"/>
        </w:rPr>
        <w:t xml:space="preserve"> </w:t>
      </w:r>
      <w:r>
        <w:rPr>
          <w:rFonts w:hint="eastAsia"/>
          <w:sz w:val="24"/>
          <w:szCs w:val="24"/>
        </w:rPr>
        <w:t>净值与回撤对比</w:t>
      </w:r>
    </w:p>
    <w:p w14:paraId="63B1FC35">
      <w:pPr>
        <w:numPr>
          <w:ilvl w:val="0"/>
          <w:numId w:val="4"/>
        </w:numPr>
        <w:rPr>
          <w:sz w:val="24"/>
          <w:szCs w:val="24"/>
        </w:rPr>
      </w:pPr>
      <w:r>
        <w:rPr>
          <w:rFonts w:hint="eastAsia"/>
          <w:b/>
          <w:bCs/>
          <w:sz w:val="24"/>
          <w:szCs w:val="24"/>
        </w:rPr>
        <w:t>现象</w:t>
      </w:r>
      <w:r>
        <w:rPr>
          <w:rFonts w:hint="eastAsia"/>
          <w:sz w:val="24"/>
          <w:szCs w:val="24"/>
        </w:rPr>
        <w:t>：净值方面，两条曲线在持仓期完全重合，差异仅出现在6段灰色空仓区间内。ETF方案净值最终约3.24倍，高于现金方案的3.11倍。回撤方面，现金方案最大回撤-14.7%（2025年12月5日），始终未触及-15%红线；ETF方案最大回撤-17.6%（2025年4月7日），有40个交易日突破-15%红线，集中在2025年4月和2025年12月至2026年4月两段。</w:t>
      </w:r>
    </w:p>
    <w:p w14:paraId="50EABD16">
      <w:pPr>
        <w:numPr>
          <w:ilvl w:val="0"/>
          <w:numId w:val="4"/>
        </w:numPr>
        <w:rPr>
          <w:sz w:val="24"/>
          <w:szCs w:val="24"/>
        </w:rPr>
      </w:pPr>
      <w:r>
        <w:rPr>
          <w:rFonts w:hint="eastAsia"/>
          <w:b/>
          <w:bCs/>
          <w:sz w:val="24"/>
          <w:szCs w:val="24"/>
        </w:rPr>
        <w:t>解释</w:t>
      </w:r>
      <w:r>
        <w:rPr>
          <w:rFonts w:hint="eastAsia"/>
          <w:sz w:val="24"/>
          <w:szCs w:val="24"/>
        </w:rPr>
        <w:t>：回撤触发往往发生在市场急跌日，而红利ETF与A股市场仍有显著相关性。2025年4月7日策略触发空仓当天，ETF单日下跌-6.2%，现金方案收益为0、ETF方案承受了全部跌幅，直接将组合回撤从-12.1%推至-17.6%。6个空仓期中有5期ETF最终录得正收益（累计+13.4pp），说明ETF在空仓期整体上是涨的——问题不在方向，而在触发瞬间的冲击。</w:t>
      </w:r>
    </w:p>
    <w:p w14:paraId="716E0C43">
      <w:pPr>
        <w:numPr>
          <w:ilvl w:val="0"/>
          <w:numId w:val="4"/>
        </w:numPr>
        <w:rPr>
          <w:sz w:val="24"/>
          <w:szCs w:val="24"/>
        </w:rPr>
      </w:pPr>
      <w:r>
        <w:rPr>
          <w:rFonts w:hint="eastAsia"/>
          <w:b/>
          <w:bCs/>
          <w:sz w:val="24"/>
          <w:szCs w:val="24"/>
        </w:rPr>
        <w:t>含义</w:t>
      </w:r>
      <w:r>
        <w:rPr>
          <w:rFonts w:hint="eastAsia"/>
          <w:sz w:val="24"/>
          <w:szCs w:val="24"/>
        </w:rPr>
        <w:t>：空仓期持有ETF能在收益端带来改善（+13.4pp），但在风控端突破了预设的15%回撤约束，夏普比率小幅上升而卡玛比率下降，说明风险调整后的下行保护变差。后续可探索延迟1–2个交易日再切换ETF以规避触发日冲击，或使用国债逆回购等低相关性资产替代，在收益与回撤之间寻找更优平衡点。</w:t>
      </w:r>
    </w:p>
    <w:bookmarkEnd w:id="33"/>
    <w:bookmarkEnd w:id="36"/>
    <w:p w14:paraId="17B90F95">
      <w:pPr>
        <w:pStyle w:val="2"/>
        <w:rPr>
          <w:sz w:val="24"/>
          <w:szCs w:val="24"/>
        </w:rPr>
      </w:pPr>
      <w:bookmarkStart w:id="37" w:name="参考文献"/>
      <w:r>
        <w:rPr>
          <w:rFonts w:hint="eastAsia"/>
          <w:sz w:val="24"/>
          <w:szCs w:val="24"/>
        </w:rPr>
        <w:t>参考文献</w:t>
      </w:r>
    </w:p>
    <w:p w14:paraId="005A18B9">
      <w:pPr>
        <w:numPr>
          <w:ilvl w:val="0"/>
          <w:numId w:val="5"/>
        </w:numPr>
        <w:rPr>
          <w:sz w:val="24"/>
          <w:szCs w:val="24"/>
        </w:rPr>
      </w:pPr>
      <w:r>
        <w:rPr>
          <w:sz w:val="24"/>
          <w:szCs w:val="24"/>
        </w:rPr>
        <w:t xml:space="preserve">Asness, C. S., Frazzini, A., &amp; Pedersen, L. H. (2019). Quality minus junk. </w:t>
      </w:r>
      <w:r>
        <w:rPr>
          <w:i/>
          <w:iCs/>
          <w:sz w:val="24"/>
          <w:szCs w:val="24"/>
        </w:rPr>
        <w:t>Review of Accounting Studies</w:t>
      </w:r>
      <w:r>
        <w:rPr>
          <w:sz w:val="24"/>
          <w:szCs w:val="24"/>
        </w:rPr>
        <w:t>, 24(1), 34–112.</w:t>
      </w:r>
    </w:p>
    <w:p w14:paraId="6F2C0E9F">
      <w:pPr>
        <w:numPr>
          <w:ilvl w:val="0"/>
          <w:numId w:val="5"/>
        </w:numPr>
        <w:rPr>
          <w:sz w:val="24"/>
          <w:szCs w:val="24"/>
        </w:rPr>
      </w:pPr>
      <w:r>
        <w:rPr>
          <w:sz w:val="24"/>
          <w:szCs w:val="24"/>
        </w:rPr>
        <w:t xml:space="preserve">Asness, C. S., Moskowitz, T. J., &amp; Pedersen, L. H. (2013). Value and momentum everywhere. </w:t>
      </w:r>
      <w:r>
        <w:rPr>
          <w:i/>
          <w:iCs/>
          <w:sz w:val="24"/>
          <w:szCs w:val="24"/>
        </w:rPr>
        <w:t>Journal of Finance</w:t>
      </w:r>
      <w:r>
        <w:rPr>
          <w:sz w:val="24"/>
          <w:szCs w:val="24"/>
        </w:rPr>
        <w:t>, 68(3), 929–985.</w:t>
      </w:r>
    </w:p>
    <w:p w14:paraId="57A0D4D3">
      <w:pPr>
        <w:numPr>
          <w:ilvl w:val="0"/>
          <w:numId w:val="5"/>
        </w:numPr>
        <w:rPr>
          <w:sz w:val="24"/>
          <w:szCs w:val="24"/>
        </w:rPr>
      </w:pPr>
      <w:r>
        <w:rPr>
          <w:sz w:val="24"/>
          <w:szCs w:val="24"/>
        </w:rPr>
        <w:t xml:space="preserve">Bachelet, D., Marot, D., &amp; Marot, J. (2024). </w:t>
      </w:r>
      <w:r>
        <w:rPr>
          <w:i/>
          <w:iCs/>
          <w:sz w:val="24"/>
          <w:szCs w:val="24"/>
        </w:rPr>
        <w:t>Multi-factor models: A practitioner’s guide to Z-score standardization and portfolio construction</w:t>
      </w:r>
      <w:r>
        <w:rPr>
          <w:sz w:val="24"/>
          <w:szCs w:val="24"/>
        </w:rPr>
        <w:t>. SSRN Working Paper.</w:t>
      </w:r>
    </w:p>
    <w:p w14:paraId="593DCC7E">
      <w:pPr>
        <w:numPr>
          <w:ilvl w:val="0"/>
          <w:numId w:val="5"/>
        </w:numPr>
        <w:rPr>
          <w:sz w:val="24"/>
          <w:szCs w:val="24"/>
        </w:rPr>
      </w:pPr>
      <w:r>
        <w:rPr>
          <w:sz w:val="24"/>
          <w:szCs w:val="24"/>
        </w:rPr>
        <w:t xml:space="preserve">Carhart, M. M. (1997). On persistence in mutual fund performance. </w:t>
      </w:r>
      <w:r>
        <w:rPr>
          <w:i/>
          <w:iCs/>
          <w:sz w:val="24"/>
          <w:szCs w:val="24"/>
        </w:rPr>
        <w:t>Journal of Finance</w:t>
      </w:r>
      <w:r>
        <w:rPr>
          <w:sz w:val="24"/>
          <w:szCs w:val="24"/>
        </w:rPr>
        <w:t>, 52(1), 57–82.</w:t>
      </w:r>
    </w:p>
    <w:p w14:paraId="398559B8">
      <w:pPr>
        <w:numPr>
          <w:ilvl w:val="0"/>
          <w:numId w:val="5"/>
        </w:numPr>
        <w:rPr>
          <w:sz w:val="24"/>
          <w:szCs w:val="24"/>
        </w:rPr>
      </w:pPr>
      <w:r>
        <w:rPr>
          <w:sz w:val="24"/>
          <w:szCs w:val="24"/>
        </w:rPr>
        <w:t xml:space="preserve">Fama, E. F., &amp; French, K. R. (1993). Common risk factors in the returns on stocks and bonds. </w:t>
      </w:r>
      <w:r>
        <w:rPr>
          <w:i/>
          <w:iCs/>
          <w:sz w:val="24"/>
          <w:szCs w:val="24"/>
        </w:rPr>
        <w:t>Journal of Financial Economics</w:t>
      </w:r>
      <w:r>
        <w:rPr>
          <w:sz w:val="24"/>
          <w:szCs w:val="24"/>
        </w:rPr>
        <w:t>, 33(1), 3–56.</w:t>
      </w:r>
    </w:p>
    <w:p w14:paraId="4E1B6C91">
      <w:pPr>
        <w:numPr>
          <w:ilvl w:val="0"/>
          <w:numId w:val="5"/>
        </w:numPr>
        <w:rPr>
          <w:sz w:val="24"/>
          <w:szCs w:val="24"/>
        </w:rPr>
      </w:pPr>
      <w:r>
        <w:rPr>
          <w:sz w:val="24"/>
          <w:szCs w:val="24"/>
        </w:rPr>
        <w:t xml:space="preserve">Jegadeesh, N., &amp; Titman, S. (1993). Returns to buying winners and selling losers: Implications for stock market efficiency. </w:t>
      </w:r>
      <w:r>
        <w:rPr>
          <w:i/>
          <w:iCs/>
          <w:sz w:val="24"/>
          <w:szCs w:val="24"/>
        </w:rPr>
        <w:t>Journal of Finance</w:t>
      </w:r>
      <w:r>
        <w:rPr>
          <w:sz w:val="24"/>
          <w:szCs w:val="24"/>
        </w:rPr>
        <w:t>, 48(1), 65–91.</w:t>
      </w:r>
    </w:p>
    <w:p w14:paraId="5EC7D1C2">
      <w:pPr>
        <w:numPr>
          <w:ilvl w:val="0"/>
          <w:numId w:val="5"/>
        </w:numPr>
        <w:rPr>
          <w:sz w:val="24"/>
          <w:szCs w:val="24"/>
        </w:rPr>
      </w:pPr>
      <w:r>
        <w:rPr>
          <w:sz w:val="24"/>
          <w:szCs w:val="24"/>
        </w:rPr>
        <w:t xml:space="preserve">Lakonishok, J., Shleifer, A., &amp; Vishny, R. W. (1994). Contrarian investment, extrapolation, and risk. </w:t>
      </w:r>
      <w:r>
        <w:rPr>
          <w:i/>
          <w:iCs/>
          <w:sz w:val="24"/>
          <w:szCs w:val="24"/>
        </w:rPr>
        <w:t>Journal of Finance</w:t>
      </w:r>
      <w:r>
        <w:rPr>
          <w:sz w:val="24"/>
          <w:szCs w:val="24"/>
        </w:rPr>
        <w:t>, 49(5), 1541–1578.</w:t>
      </w:r>
    </w:p>
    <w:p w14:paraId="21ED1C9A">
      <w:pPr>
        <w:numPr>
          <w:ilvl w:val="0"/>
          <w:numId w:val="5"/>
        </w:numPr>
        <w:rPr>
          <w:sz w:val="24"/>
          <w:szCs w:val="24"/>
        </w:rPr>
      </w:pPr>
      <w:r>
        <w:rPr>
          <w:sz w:val="24"/>
          <w:szCs w:val="24"/>
        </w:rPr>
        <w:t xml:space="preserve">Novy-Marx, R. (2013). The other side of value: The gross profitability premium. </w:t>
      </w:r>
      <w:r>
        <w:rPr>
          <w:i/>
          <w:iCs/>
          <w:sz w:val="24"/>
          <w:szCs w:val="24"/>
        </w:rPr>
        <w:t>Journal of Financial Economics</w:t>
      </w:r>
      <w:r>
        <w:rPr>
          <w:sz w:val="24"/>
          <w:szCs w:val="24"/>
        </w:rPr>
        <w:t>, 108(1), 1–28.</w:t>
      </w:r>
    </w:p>
    <w:p w14:paraId="627B6263">
      <w:pPr>
        <w:numPr>
          <w:ilvl w:val="0"/>
          <w:numId w:val="5"/>
        </w:numPr>
        <w:rPr>
          <w:sz w:val="24"/>
          <w:szCs w:val="24"/>
        </w:rPr>
      </w:pPr>
      <w:r>
        <w:rPr>
          <w:sz w:val="24"/>
          <w:szCs w:val="24"/>
        </w:rPr>
        <w:t xml:space="preserve">Wilks, S. S. (1938). Weighting systems for linear functions of correlated variables. </w:t>
      </w:r>
      <w:r>
        <w:rPr>
          <w:i/>
          <w:iCs/>
          <w:sz w:val="24"/>
          <w:szCs w:val="24"/>
        </w:rPr>
        <w:t>Psychometrika</w:t>
      </w:r>
      <w:r>
        <w:rPr>
          <w:sz w:val="24"/>
          <w:szCs w:val="24"/>
        </w:rPr>
        <w:t>, 3(1), 23–40.</w:t>
      </w:r>
    </w:p>
    <w:p w14:paraId="771A0D26">
      <w:pPr>
        <w:numPr>
          <w:numId w:val="0"/>
        </w:numPr>
        <w:spacing w:after="200"/>
        <w:rPr>
          <w:sz w:val="24"/>
          <w:szCs w:val="24"/>
        </w:rPr>
      </w:pPr>
    </w:p>
    <w:p w14:paraId="65885696">
      <w:pPr>
        <w:numPr>
          <w:numId w:val="0"/>
        </w:numPr>
        <w:spacing w:after="200"/>
        <w:rPr>
          <w:sz w:val="24"/>
          <w:szCs w:val="24"/>
        </w:rPr>
      </w:pPr>
    </w:p>
    <w:p w14:paraId="62A6B2B8">
      <w:pPr>
        <w:numPr>
          <w:numId w:val="0"/>
        </w:numPr>
        <w:spacing w:after="200"/>
        <w:rPr>
          <w:sz w:val="24"/>
          <w:szCs w:val="24"/>
        </w:rPr>
      </w:pPr>
    </w:p>
    <w:p w14:paraId="2BEFDD13">
      <w:pPr>
        <w:numPr>
          <w:numId w:val="0"/>
        </w:numPr>
        <w:spacing w:after="200"/>
        <w:rPr>
          <w:sz w:val="24"/>
          <w:szCs w:val="24"/>
        </w:rPr>
      </w:pPr>
      <w:bookmarkStart w:id="46" w:name="_GoBack"/>
      <w:bookmarkEnd w:id="46"/>
    </w:p>
    <w:bookmarkEnd w:id="37"/>
    <w:p w14:paraId="520C9A22">
      <w:pPr>
        <w:pStyle w:val="2"/>
        <w:rPr>
          <w:sz w:val="24"/>
          <w:szCs w:val="24"/>
        </w:rPr>
      </w:pPr>
      <w:bookmarkStart w:id="38" w:name="附录"/>
      <w:r>
        <w:rPr>
          <w:rFonts w:hint="eastAsia"/>
          <w:sz w:val="24"/>
          <w:szCs w:val="24"/>
        </w:rPr>
        <w:t>附录</w:t>
      </w:r>
    </w:p>
    <w:p w14:paraId="41D4740C">
      <w:pPr>
        <w:pStyle w:val="4"/>
        <w:rPr>
          <w:sz w:val="24"/>
          <w:szCs w:val="24"/>
        </w:rPr>
      </w:pPr>
      <w:bookmarkStart w:id="39" w:name="附录a20只股票完整列表与数据文件"/>
      <w:r>
        <w:rPr>
          <w:rFonts w:hint="eastAsia"/>
          <w:sz w:val="24"/>
          <w:szCs w:val="24"/>
        </w:rPr>
        <w:t>附录A：20只股票完整列表与数据文件</w:t>
      </w:r>
    </w:p>
    <w:p w14:paraId="5B7FAAB1">
      <w:pPr>
        <w:pStyle w:val="23"/>
        <w:rPr>
          <w:sz w:val="24"/>
          <w:szCs w:val="24"/>
        </w:rPr>
      </w:pPr>
      <w:r>
        <w:rPr>
          <w:rFonts w:hint="eastAsia"/>
          <w:sz w:val="24"/>
          <w:szCs w:val="24"/>
        </w:rPr>
        <w:t>详见正文</w:t>
      </w:r>
      <w:r>
        <w:rPr>
          <w:sz w:val="24"/>
          <w:szCs w:val="24"/>
        </w:rPr>
        <w:t xml:space="preserve"> §2.1 </w:t>
      </w:r>
      <w:r>
        <w:rPr>
          <w:rFonts w:hint="eastAsia"/>
          <w:sz w:val="24"/>
          <w:szCs w:val="24"/>
        </w:rPr>
        <w:t>股票池与聚焦10只个股表。</w:t>
      </w:r>
    </w:p>
    <w:p w14:paraId="3607AB87">
      <w:pPr>
        <w:pStyle w:val="5"/>
        <w:rPr>
          <w:sz w:val="24"/>
          <w:szCs w:val="24"/>
        </w:rPr>
      </w:pPr>
      <w:bookmarkStart w:id="40" w:name="数据文件"/>
      <w:r>
        <w:rPr>
          <w:rFonts w:hint="eastAsia"/>
          <w:sz w:val="24"/>
          <w:szCs w:val="24"/>
        </w:rPr>
        <w:t>数据文件</w:t>
      </w:r>
    </w:p>
    <w:tbl>
      <w:tblPr>
        <w:tblStyle w:val="41"/>
        <w:tblW w:w="5000" w:type="pct"/>
        <w:tblInd w:w="0" w:type="dxa"/>
        <w:tblLayout w:type="fixed"/>
        <w:tblCellMar>
          <w:top w:w="0" w:type="dxa"/>
          <w:left w:w="108" w:type="dxa"/>
          <w:bottom w:w="0" w:type="dxa"/>
          <w:right w:w="108" w:type="dxa"/>
        </w:tblCellMar>
      </w:tblPr>
      <w:tblGrid>
        <w:gridCol w:w="2214"/>
        <w:gridCol w:w="2214"/>
        <w:gridCol w:w="2214"/>
        <w:gridCol w:w="2214"/>
      </w:tblGrid>
      <w:tr w14:paraId="6D78DB84">
        <w:trPr>
          <w:tblHeader/>
        </w:trPr>
        <w:tc>
          <w:p w14:paraId="3D7433DC">
            <w:pPr>
              <w:pStyle w:val="24"/>
              <w:jc w:val="left"/>
              <w:rPr>
                <w:sz w:val="24"/>
                <w:szCs w:val="24"/>
              </w:rPr>
            </w:pPr>
            <w:r>
              <w:rPr>
                <w:rFonts w:hint="eastAsia"/>
                <w:sz w:val="24"/>
                <w:szCs w:val="24"/>
              </w:rPr>
              <w:t>文件名</w:t>
            </w:r>
          </w:p>
        </w:tc>
        <w:tc>
          <w:p w14:paraId="1BF63915">
            <w:pPr>
              <w:pStyle w:val="24"/>
              <w:jc w:val="left"/>
              <w:rPr>
                <w:sz w:val="24"/>
                <w:szCs w:val="24"/>
              </w:rPr>
            </w:pPr>
            <w:r>
              <w:rPr>
                <w:rFonts w:hint="eastAsia"/>
                <w:sz w:val="24"/>
                <w:szCs w:val="24"/>
              </w:rPr>
              <w:t>内容</w:t>
            </w:r>
          </w:p>
        </w:tc>
        <w:tc>
          <w:p w14:paraId="2C1D9762">
            <w:pPr>
              <w:pStyle w:val="24"/>
              <w:jc w:val="right"/>
              <w:rPr>
                <w:sz w:val="24"/>
                <w:szCs w:val="24"/>
              </w:rPr>
            </w:pPr>
            <w:r>
              <w:rPr>
                <w:rFonts w:hint="eastAsia"/>
                <w:sz w:val="24"/>
                <w:szCs w:val="24"/>
              </w:rPr>
              <w:t>记录数</w:t>
            </w:r>
          </w:p>
        </w:tc>
        <w:tc>
          <w:p w14:paraId="4C6FFF26">
            <w:pPr>
              <w:pStyle w:val="24"/>
              <w:jc w:val="left"/>
              <w:rPr>
                <w:sz w:val="24"/>
                <w:szCs w:val="24"/>
              </w:rPr>
            </w:pPr>
            <w:r>
              <w:rPr>
                <w:rFonts w:hint="eastAsia"/>
                <w:sz w:val="24"/>
                <w:szCs w:val="24"/>
              </w:rPr>
              <w:t>说明</w:t>
            </w:r>
          </w:p>
        </w:tc>
      </w:tr>
      <w:tr w14:paraId="0900C796">
        <w:tc>
          <w:p w14:paraId="227D7E8E">
            <w:pPr>
              <w:pStyle w:val="24"/>
              <w:jc w:val="left"/>
              <w:rPr>
                <w:sz w:val="24"/>
                <w:szCs w:val="24"/>
              </w:rPr>
            </w:pPr>
            <w:r>
              <w:rPr>
                <w:rStyle w:val="48"/>
                <w:sz w:val="24"/>
                <w:szCs w:val="24"/>
              </w:rPr>
              <w:t>price_qfq_20240719_20260721.csv</w:t>
            </w:r>
          </w:p>
        </w:tc>
        <w:tc>
          <w:p w14:paraId="4A0679FA">
            <w:pPr>
              <w:pStyle w:val="24"/>
              <w:jc w:val="left"/>
              <w:rPr>
                <w:sz w:val="24"/>
                <w:szCs w:val="24"/>
              </w:rPr>
            </w:pPr>
            <w:r>
              <w:rPr>
                <w:rFonts w:hint="eastAsia"/>
                <w:sz w:val="24"/>
                <w:szCs w:val="24"/>
              </w:rPr>
              <w:t>前复权日线数据</w:t>
            </w:r>
          </w:p>
        </w:tc>
        <w:tc>
          <w:p w14:paraId="3429DC20">
            <w:pPr>
              <w:pStyle w:val="24"/>
              <w:jc w:val="right"/>
              <w:rPr>
                <w:sz w:val="24"/>
                <w:szCs w:val="24"/>
              </w:rPr>
            </w:pPr>
            <w:r>
              <w:rPr>
                <w:sz w:val="24"/>
                <w:szCs w:val="24"/>
              </w:rPr>
              <w:t xml:space="preserve">9,702 </w:t>
            </w:r>
            <w:r>
              <w:rPr>
                <w:rFonts w:hint="eastAsia"/>
                <w:sz w:val="24"/>
                <w:szCs w:val="24"/>
              </w:rPr>
              <w:t>行</w:t>
            </w:r>
          </w:p>
        </w:tc>
        <w:tc>
          <w:p w14:paraId="2C6AB238">
            <w:pPr>
              <w:pStyle w:val="24"/>
              <w:jc w:val="left"/>
              <w:rPr>
                <w:sz w:val="24"/>
                <w:szCs w:val="24"/>
              </w:rPr>
            </w:pPr>
            <w:r>
              <w:rPr>
                <w:sz w:val="24"/>
                <w:szCs w:val="24"/>
              </w:rPr>
              <w:t xml:space="preserve">20 </w:t>
            </w:r>
            <w:r>
              <w:rPr>
                <w:rFonts w:hint="eastAsia"/>
                <w:sz w:val="24"/>
                <w:szCs w:val="24"/>
              </w:rPr>
              <w:t>只股票</w:t>
            </w:r>
            <w:r>
              <w:rPr>
                <w:sz w:val="24"/>
                <w:szCs w:val="24"/>
              </w:rPr>
              <w:t xml:space="preserve"> 2024-07-19 </w:t>
            </w:r>
            <w:r>
              <w:rPr>
                <w:rFonts w:hint="eastAsia"/>
                <w:sz w:val="24"/>
                <w:szCs w:val="24"/>
              </w:rPr>
              <w:t>至</w:t>
            </w:r>
            <w:r>
              <w:rPr>
                <w:sz w:val="24"/>
                <w:szCs w:val="24"/>
              </w:rPr>
              <w:t xml:space="preserve"> 2026-07-21 </w:t>
            </w:r>
            <w:r>
              <w:rPr>
                <w:rFonts w:hint="eastAsia"/>
                <w:sz w:val="24"/>
                <w:szCs w:val="24"/>
              </w:rPr>
              <w:t>的前复权收盘价，策略核心数据源，由</w:t>
            </w:r>
            <w:r>
              <w:rPr>
                <w:sz w:val="24"/>
                <w:szCs w:val="24"/>
              </w:rPr>
              <w:t xml:space="preserve"> </w:t>
            </w:r>
            <w:r>
              <w:rPr>
                <w:rStyle w:val="48"/>
                <w:sz w:val="24"/>
                <w:szCs w:val="24"/>
              </w:rPr>
              <w:t>analysis.ipynb</w:t>
            </w:r>
            <w:r>
              <w:rPr>
                <w:sz w:val="24"/>
                <w:szCs w:val="24"/>
              </w:rPr>
              <w:t xml:space="preserve"> </w:t>
            </w:r>
            <w:r>
              <w:rPr>
                <w:rFonts w:hint="eastAsia"/>
                <w:sz w:val="24"/>
                <w:szCs w:val="24"/>
              </w:rPr>
              <w:t>第一步生成</w:t>
            </w:r>
          </w:p>
        </w:tc>
      </w:tr>
      <w:tr w14:paraId="5C43724D">
        <w:tc>
          <w:p w14:paraId="5F400C51">
            <w:pPr>
              <w:pStyle w:val="24"/>
              <w:jc w:val="left"/>
              <w:rPr>
                <w:sz w:val="24"/>
                <w:szCs w:val="24"/>
              </w:rPr>
            </w:pPr>
            <w:r>
              <w:rPr>
                <w:rStyle w:val="48"/>
                <w:sz w:val="24"/>
                <w:szCs w:val="24"/>
              </w:rPr>
              <w:t>monthly_selection.csv</w:t>
            </w:r>
          </w:p>
        </w:tc>
        <w:tc>
          <w:p w14:paraId="3007CEE9">
            <w:pPr>
              <w:pStyle w:val="24"/>
              <w:jc w:val="left"/>
              <w:rPr>
                <w:sz w:val="24"/>
                <w:szCs w:val="24"/>
              </w:rPr>
            </w:pPr>
            <w:r>
              <w:rPr>
                <w:rFonts w:hint="eastAsia"/>
                <w:sz w:val="24"/>
                <w:szCs w:val="24"/>
              </w:rPr>
              <w:t>月度选股调仓表</w:t>
            </w:r>
          </w:p>
        </w:tc>
        <w:tc>
          <w:p w14:paraId="0D591878">
            <w:pPr>
              <w:pStyle w:val="24"/>
              <w:jc w:val="right"/>
              <w:rPr>
                <w:sz w:val="24"/>
                <w:szCs w:val="24"/>
              </w:rPr>
            </w:pPr>
            <w:r>
              <w:rPr>
                <w:sz w:val="24"/>
                <w:szCs w:val="24"/>
              </w:rPr>
              <w:t xml:space="preserve">95 </w:t>
            </w:r>
            <w:r>
              <w:rPr>
                <w:rFonts w:hint="eastAsia"/>
                <w:sz w:val="24"/>
                <w:szCs w:val="24"/>
              </w:rPr>
              <w:t>行</w:t>
            </w:r>
          </w:p>
        </w:tc>
        <w:tc>
          <w:p w14:paraId="1E81A7D9">
            <w:pPr>
              <w:pStyle w:val="24"/>
              <w:jc w:val="left"/>
              <w:rPr>
                <w:sz w:val="24"/>
                <w:szCs w:val="24"/>
              </w:rPr>
            </w:pPr>
            <w:r>
              <w:rPr>
                <w:sz w:val="24"/>
                <w:szCs w:val="24"/>
              </w:rPr>
              <w:t xml:space="preserve">19 </w:t>
            </w:r>
            <w:r>
              <w:rPr>
                <w:rFonts w:hint="eastAsia"/>
                <w:sz w:val="24"/>
                <w:szCs w:val="24"/>
              </w:rPr>
              <w:t>个调仓月（2025-01-27</w:t>
            </w:r>
            <w:r>
              <w:rPr>
                <w:sz w:val="24"/>
                <w:szCs w:val="24"/>
              </w:rPr>
              <w:t xml:space="preserve"> </w:t>
            </w:r>
            <w:r>
              <w:rPr>
                <w:rFonts w:hint="eastAsia"/>
                <w:sz w:val="24"/>
                <w:szCs w:val="24"/>
              </w:rPr>
              <w:t>至</w:t>
            </w:r>
            <w:r>
              <w:rPr>
                <w:sz w:val="24"/>
                <w:szCs w:val="24"/>
              </w:rPr>
              <w:t xml:space="preserve"> </w:t>
            </w:r>
            <w:r>
              <w:rPr>
                <w:rFonts w:hint="eastAsia"/>
                <w:sz w:val="24"/>
                <w:szCs w:val="24"/>
              </w:rPr>
              <w:t>2026-07-21）每月选出</w:t>
            </w:r>
            <w:r>
              <w:rPr>
                <w:sz w:val="24"/>
                <w:szCs w:val="24"/>
              </w:rPr>
              <w:t xml:space="preserve"> 5 </w:t>
            </w:r>
            <w:r>
              <w:rPr>
                <w:rFonts w:hint="eastAsia"/>
                <w:sz w:val="24"/>
                <w:szCs w:val="24"/>
              </w:rPr>
              <w:t>只股票，含动量、PE、ROE、Z-score</w:t>
            </w:r>
            <w:r>
              <w:rPr>
                <w:sz w:val="24"/>
                <w:szCs w:val="24"/>
              </w:rPr>
              <w:t xml:space="preserve"> </w:t>
            </w:r>
            <w:r>
              <w:rPr>
                <w:rFonts w:hint="eastAsia"/>
                <w:sz w:val="24"/>
                <w:szCs w:val="24"/>
              </w:rPr>
              <w:t>及综合评分，由</w:t>
            </w:r>
            <w:r>
              <w:rPr>
                <w:sz w:val="24"/>
                <w:szCs w:val="24"/>
              </w:rPr>
              <w:t xml:space="preserve"> </w:t>
            </w:r>
            <w:r>
              <w:rPr>
                <w:rStyle w:val="48"/>
                <w:sz w:val="24"/>
                <w:szCs w:val="24"/>
              </w:rPr>
              <w:t>analysis.ipynb</w:t>
            </w:r>
            <w:r>
              <w:rPr>
                <w:sz w:val="24"/>
                <w:szCs w:val="24"/>
              </w:rPr>
              <w:t xml:space="preserve"> </w:t>
            </w:r>
            <w:r>
              <w:rPr>
                <w:rFonts w:hint="eastAsia"/>
                <w:sz w:val="24"/>
                <w:szCs w:val="24"/>
              </w:rPr>
              <w:t>第三步生成</w:t>
            </w:r>
          </w:p>
        </w:tc>
      </w:tr>
      <w:bookmarkEnd w:id="39"/>
      <w:bookmarkEnd w:id="40"/>
    </w:tbl>
    <w:p w14:paraId="249615C8">
      <w:pPr>
        <w:pStyle w:val="4"/>
        <w:rPr>
          <w:sz w:val="24"/>
          <w:szCs w:val="24"/>
        </w:rPr>
      </w:pPr>
      <w:bookmarkStart w:id="41" w:name="附录bcsv字段与文件路径见2.2和2.3"/>
      <w:r>
        <w:rPr>
          <w:rFonts w:hint="eastAsia"/>
          <w:sz w:val="24"/>
          <w:szCs w:val="24"/>
        </w:rPr>
        <w:t>附录B：CSV字段与文件路径（见2.2和2.3）</w:t>
      </w:r>
    </w:p>
    <w:p w14:paraId="3A817949">
      <w:pPr>
        <w:pStyle w:val="23"/>
        <w:rPr>
          <w:sz w:val="24"/>
          <w:szCs w:val="24"/>
        </w:rPr>
      </w:pPr>
      <w:r>
        <w:rPr>
          <w:rFonts w:hint="eastAsia"/>
          <w:sz w:val="24"/>
          <w:szCs w:val="24"/>
        </w:rPr>
        <w:t>详见正文</w:t>
      </w:r>
      <w:r>
        <w:rPr>
          <w:sz w:val="24"/>
          <w:szCs w:val="24"/>
        </w:rPr>
        <w:t xml:space="preserve"> §2.2 </w:t>
      </w:r>
      <w:r>
        <w:rPr>
          <w:rFonts w:hint="eastAsia"/>
          <w:sz w:val="24"/>
          <w:szCs w:val="24"/>
        </w:rPr>
        <w:t>数据来源与字段字典表及</w:t>
      </w:r>
      <w:r>
        <w:rPr>
          <w:sz w:val="24"/>
          <w:szCs w:val="24"/>
        </w:rPr>
        <w:t xml:space="preserve"> §2.3 </w:t>
      </w:r>
      <w:r>
        <w:rPr>
          <w:rFonts w:hint="eastAsia"/>
          <w:sz w:val="24"/>
          <w:szCs w:val="24"/>
        </w:rPr>
        <w:t>文件说明。以下补充两个数据文件的详细说明。</w:t>
      </w:r>
    </w:p>
    <w:p w14:paraId="4ADDE3D4">
      <w:pPr>
        <w:pStyle w:val="5"/>
        <w:rPr>
          <w:sz w:val="24"/>
          <w:szCs w:val="24"/>
        </w:rPr>
      </w:pPr>
      <w:bookmarkStart w:id="42" w:name="price_qfq_20240719_20260721.csv-前复权日线数据"/>
      <w:r>
        <w:rPr>
          <w:sz w:val="24"/>
          <w:szCs w:val="24"/>
        </w:rPr>
        <w:t xml:space="preserve">price_qfq_20240719_20260721.csv — </w:t>
      </w:r>
      <w:r>
        <w:rPr>
          <w:rFonts w:hint="eastAsia"/>
          <w:sz w:val="24"/>
          <w:szCs w:val="24"/>
        </w:rPr>
        <w:t>前复权日线数据</w:t>
      </w:r>
    </w:p>
    <w:tbl>
      <w:tblPr>
        <w:tblStyle w:val="41"/>
        <w:tblW w:w="5000" w:type="pct"/>
        <w:tblInd w:w="0" w:type="dxa"/>
        <w:tblLayout w:type="fixed"/>
        <w:tblCellMar>
          <w:top w:w="0" w:type="dxa"/>
          <w:left w:w="108" w:type="dxa"/>
          <w:bottom w:w="0" w:type="dxa"/>
          <w:right w:w="108" w:type="dxa"/>
        </w:tblCellMar>
      </w:tblPr>
      <w:tblGrid>
        <w:gridCol w:w="4428"/>
        <w:gridCol w:w="4428"/>
      </w:tblGrid>
      <w:tr w14:paraId="28AA5F1A">
        <w:trPr>
          <w:tblHeader/>
        </w:trPr>
        <w:tc>
          <w:p w14:paraId="1855595B">
            <w:pPr>
              <w:pStyle w:val="24"/>
              <w:jc w:val="left"/>
              <w:rPr>
                <w:sz w:val="24"/>
                <w:szCs w:val="24"/>
              </w:rPr>
            </w:pPr>
            <w:r>
              <w:rPr>
                <w:rFonts w:hint="eastAsia"/>
                <w:sz w:val="24"/>
                <w:szCs w:val="24"/>
              </w:rPr>
              <w:t>项目</w:t>
            </w:r>
          </w:p>
        </w:tc>
        <w:tc>
          <w:p w14:paraId="44F286B7">
            <w:pPr>
              <w:pStyle w:val="24"/>
              <w:jc w:val="left"/>
              <w:rPr>
                <w:sz w:val="24"/>
                <w:szCs w:val="24"/>
              </w:rPr>
            </w:pPr>
            <w:r>
              <w:rPr>
                <w:rFonts w:hint="eastAsia"/>
                <w:sz w:val="24"/>
                <w:szCs w:val="24"/>
              </w:rPr>
              <w:t>说明</w:t>
            </w:r>
          </w:p>
        </w:tc>
      </w:tr>
      <w:tr w14:paraId="1BB4FE56">
        <w:tc>
          <w:p w14:paraId="34693D2C">
            <w:pPr>
              <w:pStyle w:val="24"/>
              <w:jc w:val="left"/>
              <w:rPr>
                <w:sz w:val="24"/>
                <w:szCs w:val="24"/>
              </w:rPr>
            </w:pPr>
            <w:r>
              <w:rPr>
                <w:rFonts w:hint="eastAsia"/>
                <w:sz w:val="24"/>
                <w:szCs w:val="24"/>
              </w:rPr>
              <w:t>文件名</w:t>
            </w:r>
          </w:p>
        </w:tc>
        <w:tc>
          <w:p w14:paraId="6F2F5FBB">
            <w:pPr>
              <w:pStyle w:val="24"/>
              <w:jc w:val="left"/>
              <w:rPr>
                <w:sz w:val="24"/>
                <w:szCs w:val="24"/>
              </w:rPr>
            </w:pPr>
            <w:r>
              <w:rPr>
                <w:rStyle w:val="48"/>
                <w:sz w:val="24"/>
                <w:szCs w:val="24"/>
              </w:rPr>
              <w:t>price_qfq_20240719_20260721.csv</w:t>
            </w:r>
          </w:p>
        </w:tc>
      </w:tr>
      <w:tr w14:paraId="0795F4FE">
        <w:tc>
          <w:p w14:paraId="789ECCD8">
            <w:pPr>
              <w:pStyle w:val="24"/>
              <w:jc w:val="left"/>
              <w:rPr>
                <w:sz w:val="24"/>
                <w:szCs w:val="24"/>
              </w:rPr>
            </w:pPr>
            <w:r>
              <w:rPr>
                <w:rFonts w:hint="eastAsia"/>
                <w:sz w:val="24"/>
                <w:szCs w:val="24"/>
              </w:rPr>
              <w:t>记录数</w:t>
            </w:r>
          </w:p>
        </w:tc>
        <w:tc>
          <w:p w14:paraId="2CCC58E7">
            <w:pPr>
              <w:pStyle w:val="24"/>
              <w:jc w:val="left"/>
              <w:rPr>
                <w:sz w:val="24"/>
                <w:szCs w:val="24"/>
              </w:rPr>
            </w:pPr>
            <w:r>
              <w:rPr>
                <w:sz w:val="24"/>
                <w:szCs w:val="24"/>
              </w:rPr>
              <w:t xml:space="preserve">9,702 </w:t>
            </w:r>
            <w:r>
              <w:rPr>
                <w:rFonts w:hint="eastAsia"/>
                <w:sz w:val="24"/>
                <w:szCs w:val="24"/>
              </w:rPr>
              <w:t>行</w:t>
            </w:r>
          </w:p>
        </w:tc>
      </w:tr>
      <w:tr w14:paraId="7F6AC2B3">
        <w:tc>
          <w:p w14:paraId="785373D8">
            <w:pPr>
              <w:pStyle w:val="24"/>
              <w:jc w:val="left"/>
              <w:rPr>
                <w:sz w:val="24"/>
                <w:szCs w:val="24"/>
              </w:rPr>
            </w:pPr>
            <w:r>
              <w:rPr>
                <w:rFonts w:hint="eastAsia"/>
                <w:sz w:val="24"/>
                <w:szCs w:val="24"/>
              </w:rPr>
              <w:t>列数</w:t>
            </w:r>
          </w:p>
        </w:tc>
        <w:tc>
          <w:p w14:paraId="5D4126F3">
            <w:pPr>
              <w:pStyle w:val="24"/>
              <w:jc w:val="left"/>
              <w:rPr>
                <w:sz w:val="24"/>
                <w:szCs w:val="24"/>
              </w:rPr>
            </w:pPr>
            <w:r>
              <w:rPr>
                <w:sz w:val="24"/>
                <w:szCs w:val="24"/>
              </w:rPr>
              <w:t xml:space="preserve">29 </w:t>
            </w:r>
            <w:r>
              <w:rPr>
                <w:rFonts w:hint="eastAsia"/>
                <w:sz w:val="24"/>
                <w:szCs w:val="24"/>
              </w:rPr>
              <w:t>列</w:t>
            </w:r>
          </w:p>
        </w:tc>
      </w:tr>
      <w:tr w14:paraId="62D6DB3C">
        <w:tc>
          <w:p w14:paraId="26E08BBE">
            <w:pPr>
              <w:pStyle w:val="24"/>
              <w:jc w:val="left"/>
              <w:rPr>
                <w:sz w:val="24"/>
                <w:szCs w:val="24"/>
              </w:rPr>
            </w:pPr>
            <w:r>
              <w:rPr>
                <w:rFonts w:hint="eastAsia"/>
                <w:sz w:val="24"/>
                <w:szCs w:val="24"/>
              </w:rPr>
              <w:t>时间范围</w:t>
            </w:r>
          </w:p>
        </w:tc>
        <w:tc>
          <w:p w14:paraId="237DF22E">
            <w:pPr>
              <w:pStyle w:val="24"/>
              <w:jc w:val="left"/>
              <w:rPr>
                <w:sz w:val="24"/>
                <w:szCs w:val="24"/>
              </w:rPr>
            </w:pPr>
            <w:r>
              <w:rPr>
                <w:sz w:val="24"/>
                <w:szCs w:val="24"/>
              </w:rPr>
              <w:t xml:space="preserve">2024-07-19 </w:t>
            </w:r>
            <w:r>
              <w:rPr>
                <w:rFonts w:hint="eastAsia"/>
                <w:sz w:val="24"/>
                <w:szCs w:val="24"/>
              </w:rPr>
              <w:t>至</w:t>
            </w:r>
            <w:r>
              <w:rPr>
                <w:sz w:val="24"/>
                <w:szCs w:val="24"/>
              </w:rPr>
              <w:t xml:space="preserve"> 2026-07-21</w:t>
            </w:r>
          </w:p>
        </w:tc>
      </w:tr>
      <w:tr w14:paraId="550FCBB5">
        <w:tc>
          <w:p w14:paraId="3A21FA5D">
            <w:pPr>
              <w:pStyle w:val="24"/>
              <w:jc w:val="left"/>
              <w:rPr>
                <w:sz w:val="24"/>
                <w:szCs w:val="24"/>
              </w:rPr>
            </w:pPr>
            <w:r>
              <w:rPr>
                <w:rFonts w:hint="eastAsia"/>
                <w:sz w:val="24"/>
                <w:szCs w:val="24"/>
              </w:rPr>
              <w:t>覆盖股票</w:t>
            </w:r>
          </w:p>
        </w:tc>
        <w:tc>
          <w:p w14:paraId="559AB323">
            <w:pPr>
              <w:pStyle w:val="24"/>
              <w:jc w:val="left"/>
              <w:rPr>
                <w:sz w:val="24"/>
                <w:szCs w:val="24"/>
              </w:rPr>
            </w:pPr>
            <w:r>
              <w:rPr>
                <w:sz w:val="24"/>
                <w:szCs w:val="24"/>
              </w:rPr>
              <w:t xml:space="preserve">20 </w:t>
            </w:r>
            <w:r>
              <w:rPr>
                <w:rFonts w:hint="eastAsia"/>
                <w:sz w:val="24"/>
                <w:szCs w:val="24"/>
              </w:rPr>
              <w:t>只（17</w:t>
            </w:r>
            <w:r>
              <w:rPr>
                <w:sz w:val="24"/>
                <w:szCs w:val="24"/>
              </w:rPr>
              <w:t xml:space="preserve"> </w:t>
            </w:r>
            <w:r>
              <w:rPr>
                <w:rFonts w:hint="eastAsia"/>
                <w:sz w:val="24"/>
                <w:szCs w:val="24"/>
              </w:rPr>
              <w:t>只</w:t>
            </w:r>
            <w:r>
              <w:rPr>
                <w:sz w:val="24"/>
                <w:szCs w:val="24"/>
              </w:rPr>
              <w:t xml:space="preserve"> A </w:t>
            </w:r>
            <w:r>
              <w:rPr>
                <w:rFonts w:hint="eastAsia"/>
                <w:sz w:val="24"/>
                <w:szCs w:val="24"/>
              </w:rPr>
              <w:t>股</w:t>
            </w:r>
            <w:r>
              <w:rPr>
                <w:sz w:val="24"/>
                <w:szCs w:val="24"/>
              </w:rPr>
              <w:t xml:space="preserve"> + 2 </w:t>
            </w:r>
            <w:r>
              <w:rPr>
                <w:rFonts w:hint="eastAsia"/>
                <w:sz w:val="24"/>
                <w:szCs w:val="24"/>
              </w:rPr>
              <w:t>只港股</w:t>
            </w:r>
            <w:r>
              <w:rPr>
                <w:sz w:val="24"/>
                <w:szCs w:val="24"/>
              </w:rPr>
              <w:t xml:space="preserve"> + 1 </w:t>
            </w:r>
            <w:r>
              <w:rPr>
                <w:rFonts w:hint="eastAsia"/>
                <w:sz w:val="24"/>
                <w:szCs w:val="24"/>
              </w:rPr>
              <w:t>只</w:t>
            </w:r>
            <w:r>
              <w:rPr>
                <w:sz w:val="24"/>
                <w:szCs w:val="24"/>
              </w:rPr>
              <w:t xml:space="preserve"> </w:t>
            </w:r>
            <w:r>
              <w:rPr>
                <w:rFonts w:hint="eastAsia"/>
                <w:sz w:val="24"/>
                <w:szCs w:val="24"/>
              </w:rPr>
              <w:t>ETF）</w:t>
            </w:r>
          </w:p>
        </w:tc>
      </w:tr>
      <w:tr w14:paraId="1017D052">
        <w:tc>
          <w:p w14:paraId="03A29FC9">
            <w:pPr>
              <w:pStyle w:val="24"/>
              <w:jc w:val="left"/>
              <w:rPr>
                <w:sz w:val="24"/>
                <w:szCs w:val="24"/>
              </w:rPr>
            </w:pPr>
            <w:r>
              <w:rPr>
                <w:rFonts w:hint="eastAsia"/>
                <w:sz w:val="24"/>
                <w:szCs w:val="24"/>
              </w:rPr>
              <w:t>数据来源</w:t>
            </w:r>
          </w:p>
        </w:tc>
        <w:tc>
          <w:p w14:paraId="370EEF92">
            <w:pPr>
              <w:pStyle w:val="24"/>
              <w:jc w:val="left"/>
              <w:rPr>
                <w:sz w:val="24"/>
                <w:szCs w:val="24"/>
              </w:rPr>
            </w:pPr>
            <w:r>
              <w:rPr>
                <w:sz w:val="24"/>
                <w:szCs w:val="24"/>
              </w:rPr>
              <w:t xml:space="preserve">A </w:t>
            </w:r>
            <w:r>
              <w:rPr>
                <w:rFonts w:hint="eastAsia"/>
                <w:sz w:val="24"/>
                <w:szCs w:val="24"/>
              </w:rPr>
              <w:t>股为本地</w:t>
            </w:r>
            <w:r>
              <w:rPr>
                <w:sz w:val="24"/>
                <w:szCs w:val="24"/>
              </w:rPr>
              <w:t xml:space="preserve"> Tushare </w:t>
            </w:r>
            <w:r>
              <w:rPr>
                <w:rFonts w:hint="eastAsia"/>
                <w:sz w:val="24"/>
                <w:szCs w:val="24"/>
              </w:rPr>
              <w:t>导出</w:t>
            </w:r>
            <w:r>
              <w:rPr>
                <w:sz w:val="24"/>
                <w:szCs w:val="24"/>
              </w:rPr>
              <w:t xml:space="preserve"> </w:t>
            </w:r>
            <w:r>
              <w:rPr>
                <w:rFonts w:hint="eastAsia"/>
                <w:sz w:val="24"/>
                <w:szCs w:val="24"/>
              </w:rPr>
              <w:t>CSV，港股为</w:t>
            </w:r>
            <w:r>
              <w:rPr>
                <w:sz w:val="24"/>
                <w:szCs w:val="24"/>
              </w:rPr>
              <w:t xml:space="preserve"> AKShare </w:t>
            </w:r>
            <w:r>
              <w:rPr>
                <w:rStyle w:val="48"/>
                <w:sz w:val="24"/>
                <w:szCs w:val="24"/>
              </w:rPr>
              <w:t>stock_hk_daily(adjust="qfq")</w:t>
            </w:r>
            <w:r>
              <w:rPr>
                <w:sz w:val="24"/>
                <w:szCs w:val="24"/>
              </w:rPr>
              <w:t xml:space="preserve"> </w:t>
            </w:r>
            <w:r>
              <w:rPr>
                <w:rFonts w:hint="eastAsia"/>
                <w:sz w:val="24"/>
                <w:szCs w:val="24"/>
              </w:rPr>
              <w:t>在线获取，ETF</w:t>
            </w:r>
            <w:r>
              <w:rPr>
                <w:sz w:val="24"/>
                <w:szCs w:val="24"/>
              </w:rPr>
              <w:t xml:space="preserve"> </w:t>
            </w:r>
            <w:r>
              <w:rPr>
                <w:rFonts w:hint="eastAsia"/>
                <w:sz w:val="24"/>
                <w:szCs w:val="24"/>
              </w:rPr>
              <w:t>为</w:t>
            </w:r>
            <w:r>
              <w:rPr>
                <w:sz w:val="24"/>
                <w:szCs w:val="24"/>
              </w:rPr>
              <w:t xml:space="preserve"> AKShare </w:t>
            </w:r>
            <w:r>
              <w:rPr>
                <w:rStyle w:val="48"/>
                <w:sz w:val="24"/>
                <w:szCs w:val="24"/>
              </w:rPr>
              <w:t>fund_etf_hist_sina</w:t>
            </w:r>
            <w:r>
              <w:rPr>
                <w:sz w:val="24"/>
                <w:szCs w:val="24"/>
              </w:rPr>
              <w:t xml:space="preserve"> + </w:t>
            </w:r>
            <w:r>
              <w:rPr>
                <w:rFonts w:hint="eastAsia"/>
                <w:sz w:val="24"/>
                <w:szCs w:val="24"/>
              </w:rPr>
              <w:t>分红数据手动前复权</w:t>
            </w:r>
          </w:p>
        </w:tc>
      </w:tr>
      <w:tr w14:paraId="5FEC5AE5">
        <w:tc>
          <w:p w14:paraId="7C11EF04">
            <w:pPr>
              <w:pStyle w:val="24"/>
              <w:jc w:val="left"/>
              <w:rPr>
                <w:sz w:val="24"/>
                <w:szCs w:val="24"/>
              </w:rPr>
            </w:pPr>
            <w:r>
              <w:rPr>
                <w:rFonts w:hint="eastAsia"/>
                <w:sz w:val="24"/>
                <w:szCs w:val="24"/>
              </w:rPr>
              <w:t>编码</w:t>
            </w:r>
          </w:p>
        </w:tc>
        <w:tc>
          <w:p w14:paraId="32C4381C">
            <w:pPr>
              <w:pStyle w:val="24"/>
              <w:jc w:val="left"/>
              <w:rPr>
                <w:sz w:val="24"/>
                <w:szCs w:val="24"/>
              </w:rPr>
            </w:pPr>
            <w:r>
              <w:rPr>
                <w:sz w:val="24"/>
                <w:szCs w:val="24"/>
              </w:rPr>
              <w:t xml:space="preserve">UTF-8 with </w:t>
            </w:r>
            <w:r>
              <w:rPr>
                <w:rFonts w:hint="eastAsia"/>
                <w:sz w:val="24"/>
                <w:szCs w:val="24"/>
              </w:rPr>
              <w:t>BOM（utf-8-sig）</w:t>
            </w:r>
          </w:p>
        </w:tc>
      </w:tr>
      <w:tr w14:paraId="4E3DCE58">
        <w:tc>
          <w:p w14:paraId="7A7906E2">
            <w:pPr>
              <w:pStyle w:val="24"/>
              <w:jc w:val="left"/>
              <w:rPr>
                <w:sz w:val="24"/>
                <w:szCs w:val="24"/>
              </w:rPr>
            </w:pPr>
            <w:r>
              <w:rPr>
                <w:rFonts w:hint="eastAsia"/>
                <w:sz w:val="24"/>
                <w:szCs w:val="24"/>
              </w:rPr>
              <w:t>策略使用字段</w:t>
            </w:r>
          </w:p>
        </w:tc>
        <w:tc>
          <w:p w14:paraId="2EC1CD0D">
            <w:pPr>
              <w:pStyle w:val="24"/>
              <w:jc w:val="left"/>
              <w:rPr>
                <w:sz w:val="24"/>
                <w:szCs w:val="24"/>
              </w:rPr>
            </w:pPr>
            <w:r>
              <w:rPr>
                <w:rStyle w:val="48"/>
                <w:sz w:val="24"/>
                <w:szCs w:val="24"/>
              </w:rPr>
              <w:t>ts_code</w:t>
            </w:r>
            <w:r>
              <w:rPr>
                <w:sz w:val="24"/>
                <w:szCs w:val="24"/>
              </w:rPr>
              <w:t>、</w:t>
            </w:r>
            <w:r>
              <w:rPr>
                <w:rStyle w:val="48"/>
                <w:sz w:val="24"/>
                <w:szCs w:val="24"/>
              </w:rPr>
              <w:t>trade_date</w:t>
            </w:r>
            <w:r>
              <w:rPr>
                <w:sz w:val="24"/>
                <w:szCs w:val="24"/>
              </w:rPr>
              <w:t>、</w:t>
            </w:r>
            <w:r>
              <w:rPr>
                <w:rStyle w:val="48"/>
                <w:sz w:val="24"/>
                <w:szCs w:val="24"/>
              </w:rPr>
              <w:t>close_qfq</w:t>
            </w:r>
            <w:r>
              <w:rPr>
                <w:rFonts w:hint="eastAsia"/>
                <w:sz w:val="24"/>
                <w:szCs w:val="24"/>
              </w:rPr>
              <w:t>（前复权收盘价，策略核心字段）</w:t>
            </w:r>
          </w:p>
        </w:tc>
      </w:tr>
      <w:tr w14:paraId="5454A95E">
        <w:tc>
          <w:p w14:paraId="7981971E">
            <w:pPr>
              <w:pStyle w:val="24"/>
              <w:jc w:val="left"/>
              <w:rPr>
                <w:sz w:val="24"/>
                <w:szCs w:val="24"/>
              </w:rPr>
            </w:pPr>
            <w:r>
              <w:rPr>
                <w:rFonts w:hint="eastAsia"/>
                <w:sz w:val="24"/>
                <w:szCs w:val="24"/>
              </w:rPr>
              <w:t>缺失值说明</w:t>
            </w:r>
          </w:p>
        </w:tc>
        <w:tc>
          <w:p w14:paraId="51002D23">
            <w:pPr>
              <w:pStyle w:val="24"/>
              <w:jc w:val="left"/>
              <w:rPr>
                <w:sz w:val="24"/>
                <w:szCs w:val="24"/>
              </w:rPr>
            </w:pPr>
            <w:r>
              <w:rPr>
                <w:rFonts w:hint="eastAsia"/>
                <w:sz w:val="24"/>
                <w:szCs w:val="24"/>
              </w:rPr>
              <w:t>港股和</w:t>
            </w:r>
            <w:r>
              <w:rPr>
                <w:sz w:val="24"/>
                <w:szCs w:val="24"/>
              </w:rPr>
              <w:t xml:space="preserve"> ETF </w:t>
            </w:r>
            <w:r>
              <w:rPr>
                <w:rFonts w:hint="eastAsia"/>
                <w:sz w:val="24"/>
                <w:szCs w:val="24"/>
              </w:rPr>
              <w:t>的</w:t>
            </w:r>
            <w:r>
              <w:rPr>
                <w:sz w:val="24"/>
                <w:szCs w:val="24"/>
              </w:rPr>
              <w:t xml:space="preserve"> </w:t>
            </w:r>
            <w:r>
              <w:rPr>
                <w:rStyle w:val="48"/>
                <w:sz w:val="24"/>
                <w:szCs w:val="24"/>
              </w:rPr>
              <w:t>adj_factor</w:t>
            </w:r>
            <w:r>
              <w:rPr>
                <w:sz w:val="24"/>
                <w:szCs w:val="24"/>
              </w:rPr>
              <w:t>、</w:t>
            </w:r>
            <w:r>
              <w:rPr>
                <w:rStyle w:val="48"/>
                <w:sz w:val="24"/>
                <w:szCs w:val="24"/>
              </w:rPr>
              <w:t>pre_close</w:t>
            </w:r>
            <w:r>
              <w:rPr>
                <w:sz w:val="24"/>
                <w:szCs w:val="24"/>
              </w:rPr>
              <w:t>、</w:t>
            </w:r>
            <w:r>
              <w:rPr>
                <w:rStyle w:val="48"/>
                <w:sz w:val="24"/>
                <w:szCs w:val="24"/>
              </w:rPr>
              <w:t>change</w:t>
            </w:r>
            <w:r>
              <w:rPr>
                <w:sz w:val="24"/>
                <w:szCs w:val="24"/>
              </w:rPr>
              <w:t xml:space="preserve"> </w:t>
            </w:r>
            <w:r>
              <w:rPr>
                <w:rFonts w:hint="eastAsia"/>
                <w:sz w:val="24"/>
                <w:szCs w:val="24"/>
              </w:rPr>
              <w:t>及全部</w:t>
            </w:r>
            <w:r>
              <w:rPr>
                <w:sz w:val="24"/>
                <w:szCs w:val="24"/>
              </w:rPr>
              <w:t xml:space="preserve"> hfq </w:t>
            </w:r>
            <w:r>
              <w:rPr>
                <w:rFonts w:hint="eastAsia"/>
                <w:sz w:val="24"/>
                <w:szCs w:val="24"/>
              </w:rPr>
              <w:t>列为</w:t>
            </w:r>
            <w:r>
              <w:rPr>
                <w:sz w:val="24"/>
                <w:szCs w:val="24"/>
              </w:rPr>
              <w:t xml:space="preserve"> </w:t>
            </w:r>
            <w:r>
              <w:rPr>
                <w:rFonts w:hint="eastAsia"/>
                <w:sz w:val="24"/>
                <w:szCs w:val="24"/>
              </w:rPr>
              <w:t>NaN（共</w:t>
            </w:r>
            <w:r>
              <w:rPr>
                <w:sz w:val="24"/>
                <w:szCs w:val="24"/>
              </w:rPr>
              <w:t xml:space="preserve"> 1,468 </w:t>
            </w:r>
            <w:r>
              <w:rPr>
                <w:rFonts w:hint="eastAsia"/>
                <w:sz w:val="24"/>
                <w:szCs w:val="24"/>
              </w:rPr>
              <w:t>行，占</w:t>
            </w:r>
            <w:r>
              <w:rPr>
                <w:sz w:val="24"/>
                <w:szCs w:val="24"/>
              </w:rPr>
              <w:t xml:space="preserve"> </w:t>
            </w:r>
            <w:r>
              <w:rPr>
                <w:rFonts w:hint="eastAsia"/>
                <w:sz w:val="24"/>
                <w:szCs w:val="24"/>
              </w:rPr>
              <w:t>15.1%），策略不受影响</w:t>
            </w:r>
          </w:p>
        </w:tc>
      </w:tr>
      <w:tr w14:paraId="1A00C60C">
        <w:tc>
          <w:p w14:paraId="1096582D">
            <w:pPr>
              <w:pStyle w:val="24"/>
              <w:jc w:val="left"/>
              <w:rPr>
                <w:sz w:val="24"/>
                <w:szCs w:val="24"/>
              </w:rPr>
            </w:pPr>
            <w:r>
              <w:rPr>
                <w:rFonts w:hint="eastAsia"/>
                <w:sz w:val="24"/>
                <w:szCs w:val="24"/>
              </w:rPr>
              <w:t>生成方式</w:t>
            </w:r>
          </w:p>
        </w:tc>
        <w:tc>
          <w:p w14:paraId="02309C0B">
            <w:pPr>
              <w:pStyle w:val="24"/>
              <w:jc w:val="left"/>
              <w:rPr>
                <w:sz w:val="24"/>
                <w:szCs w:val="24"/>
              </w:rPr>
            </w:pPr>
            <w:r>
              <w:rPr>
                <w:rStyle w:val="48"/>
                <w:sz w:val="24"/>
                <w:szCs w:val="24"/>
              </w:rPr>
              <w:t>analysis.ipynb</w:t>
            </w:r>
            <w:r>
              <w:rPr>
                <w:sz w:val="24"/>
                <w:szCs w:val="24"/>
              </w:rPr>
              <w:t xml:space="preserve"> </w:t>
            </w:r>
            <w:r>
              <w:rPr>
                <w:rFonts w:hint="eastAsia"/>
                <w:sz w:val="24"/>
                <w:szCs w:val="24"/>
              </w:rPr>
              <w:t>第一步生成并导出</w:t>
            </w:r>
          </w:p>
        </w:tc>
      </w:tr>
      <w:bookmarkEnd w:id="42"/>
    </w:tbl>
    <w:p w14:paraId="5DCD1CC9">
      <w:pPr>
        <w:pStyle w:val="5"/>
        <w:rPr>
          <w:sz w:val="24"/>
          <w:szCs w:val="24"/>
        </w:rPr>
      </w:pPr>
      <w:bookmarkStart w:id="43" w:name="monthly_selection.csv-月度选股调仓表"/>
      <w:r>
        <w:rPr>
          <w:sz w:val="24"/>
          <w:szCs w:val="24"/>
        </w:rPr>
        <w:t xml:space="preserve">monthly_selection.csv — </w:t>
      </w:r>
      <w:r>
        <w:rPr>
          <w:rFonts w:hint="eastAsia"/>
          <w:sz w:val="24"/>
          <w:szCs w:val="24"/>
        </w:rPr>
        <w:t>月度选股调仓表</w:t>
      </w:r>
    </w:p>
    <w:tbl>
      <w:tblPr>
        <w:tblStyle w:val="41"/>
        <w:tblW w:w="0" w:type="auto"/>
        <w:tblInd w:w="0" w:type="dxa"/>
        <w:tblLayout w:type="autofit"/>
        <w:tblCellMar>
          <w:top w:w="0" w:type="dxa"/>
          <w:left w:w="108" w:type="dxa"/>
          <w:bottom w:w="0" w:type="dxa"/>
          <w:right w:w="108" w:type="dxa"/>
        </w:tblCellMar>
      </w:tblPr>
      <w:tblGrid>
        <w:gridCol w:w="1176"/>
        <w:gridCol w:w="4872"/>
      </w:tblGrid>
      <w:tr w14:paraId="01DAF8A4">
        <w:trPr>
          <w:tblHeader/>
        </w:trPr>
        <w:tc>
          <w:p w14:paraId="6911B176">
            <w:pPr>
              <w:pStyle w:val="24"/>
              <w:jc w:val="left"/>
              <w:rPr>
                <w:sz w:val="24"/>
                <w:szCs w:val="24"/>
              </w:rPr>
            </w:pPr>
            <w:r>
              <w:rPr>
                <w:rFonts w:hint="eastAsia"/>
                <w:sz w:val="24"/>
                <w:szCs w:val="24"/>
              </w:rPr>
              <w:t>项目</w:t>
            </w:r>
          </w:p>
        </w:tc>
        <w:tc>
          <w:p w14:paraId="10628D1E">
            <w:pPr>
              <w:pStyle w:val="24"/>
              <w:jc w:val="left"/>
              <w:rPr>
                <w:sz w:val="24"/>
                <w:szCs w:val="24"/>
              </w:rPr>
            </w:pPr>
            <w:r>
              <w:rPr>
                <w:rFonts w:hint="eastAsia"/>
                <w:sz w:val="24"/>
                <w:szCs w:val="24"/>
              </w:rPr>
              <w:t>说明</w:t>
            </w:r>
          </w:p>
        </w:tc>
      </w:tr>
      <w:tr w14:paraId="444E0178">
        <w:tc>
          <w:p w14:paraId="4AE3D3E9">
            <w:pPr>
              <w:pStyle w:val="24"/>
              <w:jc w:val="left"/>
              <w:rPr>
                <w:sz w:val="24"/>
                <w:szCs w:val="24"/>
              </w:rPr>
            </w:pPr>
            <w:r>
              <w:rPr>
                <w:rFonts w:hint="eastAsia"/>
                <w:sz w:val="24"/>
                <w:szCs w:val="24"/>
              </w:rPr>
              <w:t>文件名</w:t>
            </w:r>
          </w:p>
        </w:tc>
        <w:tc>
          <w:p w14:paraId="6882A2FC">
            <w:pPr>
              <w:pStyle w:val="24"/>
              <w:jc w:val="left"/>
              <w:rPr>
                <w:sz w:val="24"/>
                <w:szCs w:val="24"/>
              </w:rPr>
            </w:pPr>
            <w:r>
              <w:rPr>
                <w:rStyle w:val="48"/>
                <w:sz w:val="24"/>
                <w:szCs w:val="24"/>
              </w:rPr>
              <w:t>monthly_selection.csv</w:t>
            </w:r>
          </w:p>
        </w:tc>
      </w:tr>
      <w:tr w14:paraId="366A8A74">
        <w:tc>
          <w:p w14:paraId="20FBDCDA">
            <w:pPr>
              <w:pStyle w:val="24"/>
              <w:jc w:val="left"/>
              <w:rPr>
                <w:sz w:val="24"/>
                <w:szCs w:val="24"/>
              </w:rPr>
            </w:pPr>
            <w:r>
              <w:rPr>
                <w:rFonts w:hint="eastAsia"/>
                <w:sz w:val="24"/>
                <w:szCs w:val="24"/>
              </w:rPr>
              <w:t>记录数</w:t>
            </w:r>
          </w:p>
        </w:tc>
        <w:tc>
          <w:p w14:paraId="147A39C9">
            <w:pPr>
              <w:pStyle w:val="24"/>
              <w:jc w:val="left"/>
              <w:rPr>
                <w:sz w:val="24"/>
                <w:szCs w:val="24"/>
              </w:rPr>
            </w:pPr>
            <w:r>
              <w:rPr>
                <w:sz w:val="24"/>
                <w:szCs w:val="24"/>
              </w:rPr>
              <w:t xml:space="preserve">95 </w:t>
            </w:r>
            <w:r>
              <w:rPr>
                <w:rFonts w:hint="eastAsia"/>
                <w:sz w:val="24"/>
                <w:szCs w:val="24"/>
              </w:rPr>
              <w:t>行（19</w:t>
            </w:r>
            <w:r>
              <w:rPr>
                <w:sz w:val="24"/>
                <w:szCs w:val="24"/>
              </w:rPr>
              <w:t xml:space="preserve"> </w:t>
            </w:r>
            <w:r>
              <w:rPr>
                <w:rFonts w:hint="eastAsia"/>
                <w:sz w:val="24"/>
                <w:szCs w:val="24"/>
              </w:rPr>
              <w:t>个调仓月</w:t>
            </w:r>
            <w:r>
              <w:rPr>
                <w:sz w:val="24"/>
                <w:szCs w:val="24"/>
              </w:rPr>
              <w:t xml:space="preserve"> × </w:t>
            </w:r>
            <w:r>
              <w:rPr>
                <w:rFonts w:hint="eastAsia"/>
                <w:sz w:val="24"/>
                <w:szCs w:val="24"/>
              </w:rPr>
              <w:t>每月</w:t>
            </w:r>
            <w:r>
              <w:rPr>
                <w:sz w:val="24"/>
                <w:szCs w:val="24"/>
              </w:rPr>
              <w:t xml:space="preserve"> 5 </w:t>
            </w:r>
            <w:r>
              <w:rPr>
                <w:rFonts w:hint="eastAsia"/>
                <w:sz w:val="24"/>
                <w:szCs w:val="24"/>
              </w:rPr>
              <w:t>只）</w:t>
            </w:r>
          </w:p>
        </w:tc>
      </w:tr>
      <w:tr w14:paraId="19A3A5F4">
        <w:tc>
          <w:p w14:paraId="57D92DD1">
            <w:pPr>
              <w:pStyle w:val="24"/>
              <w:jc w:val="left"/>
              <w:rPr>
                <w:sz w:val="24"/>
                <w:szCs w:val="24"/>
              </w:rPr>
            </w:pPr>
            <w:r>
              <w:rPr>
                <w:rFonts w:hint="eastAsia"/>
                <w:sz w:val="24"/>
                <w:szCs w:val="24"/>
              </w:rPr>
              <w:t>列数</w:t>
            </w:r>
          </w:p>
        </w:tc>
        <w:tc>
          <w:p w14:paraId="575645B2">
            <w:pPr>
              <w:pStyle w:val="24"/>
              <w:jc w:val="left"/>
              <w:rPr>
                <w:sz w:val="24"/>
                <w:szCs w:val="24"/>
              </w:rPr>
            </w:pPr>
            <w:r>
              <w:rPr>
                <w:sz w:val="24"/>
                <w:szCs w:val="24"/>
              </w:rPr>
              <w:t xml:space="preserve">14 </w:t>
            </w:r>
            <w:r>
              <w:rPr>
                <w:rFonts w:hint="eastAsia"/>
                <w:sz w:val="24"/>
                <w:szCs w:val="24"/>
              </w:rPr>
              <w:t>列</w:t>
            </w:r>
          </w:p>
        </w:tc>
      </w:tr>
      <w:tr w14:paraId="5290970A">
        <w:tc>
          <w:p w14:paraId="38FFE1A4">
            <w:pPr>
              <w:pStyle w:val="24"/>
              <w:jc w:val="left"/>
              <w:rPr>
                <w:sz w:val="24"/>
                <w:szCs w:val="24"/>
              </w:rPr>
            </w:pPr>
            <w:r>
              <w:rPr>
                <w:rFonts w:hint="eastAsia"/>
                <w:sz w:val="24"/>
                <w:szCs w:val="24"/>
              </w:rPr>
              <w:t>时间范围</w:t>
            </w:r>
          </w:p>
        </w:tc>
        <w:tc>
          <w:p w14:paraId="1EAAA032">
            <w:pPr>
              <w:pStyle w:val="24"/>
              <w:jc w:val="left"/>
              <w:rPr>
                <w:sz w:val="24"/>
                <w:szCs w:val="24"/>
              </w:rPr>
            </w:pPr>
            <w:r>
              <w:rPr>
                <w:sz w:val="24"/>
                <w:szCs w:val="24"/>
              </w:rPr>
              <w:t xml:space="preserve">2025-01-27 </w:t>
            </w:r>
            <w:r>
              <w:rPr>
                <w:rFonts w:hint="eastAsia"/>
                <w:sz w:val="24"/>
                <w:szCs w:val="24"/>
              </w:rPr>
              <w:t>至</w:t>
            </w:r>
            <w:r>
              <w:rPr>
                <w:sz w:val="24"/>
                <w:szCs w:val="24"/>
              </w:rPr>
              <w:t xml:space="preserve"> </w:t>
            </w:r>
            <w:r>
              <w:rPr>
                <w:rFonts w:hint="eastAsia"/>
                <w:sz w:val="24"/>
                <w:szCs w:val="24"/>
              </w:rPr>
              <w:t>2026-07-21（19</w:t>
            </w:r>
            <w:r>
              <w:rPr>
                <w:sz w:val="24"/>
                <w:szCs w:val="24"/>
              </w:rPr>
              <w:t xml:space="preserve"> </w:t>
            </w:r>
            <w:r>
              <w:rPr>
                <w:rFonts w:hint="eastAsia"/>
                <w:sz w:val="24"/>
                <w:szCs w:val="24"/>
              </w:rPr>
              <w:t>个调仓月）</w:t>
            </w:r>
          </w:p>
        </w:tc>
      </w:tr>
      <w:tr w14:paraId="11C82C88">
        <w:tc>
          <w:p w14:paraId="0026BF1E">
            <w:pPr>
              <w:pStyle w:val="24"/>
              <w:jc w:val="left"/>
              <w:rPr>
                <w:sz w:val="24"/>
                <w:szCs w:val="24"/>
              </w:rPr>
            </w:pPr>
            <w:r>
              <w:rPr>
                <w:rFonts w:hint="eastAsia"/>
                <w:sz w:val="24"/>
                <w:szCs w:val="24"/>
              </w:rPr>
              <w:t>编码</w:t>
            </w:r>
          </w:p>
        </w:tc>
        <w:tc>
          <w:p w14:paraId="703A385D">
            <w:pPr>
              <w:pStyle w:val="24"/>
              <w:jc w:val="left"/>
              <w:rPr>
                <w:sz w:val="24"/>
                <w:szCs w:val="24"/>
              </w:rPr>
            </w:pPr>
            <w:r>
              <w:rPr>
                <w:sz w:val="24"/>
                <w:szCs w:val="24"/>
              </w:rPr>
              <w:t xml:space="preserve">UTF-8 with </w:t>
            </w:r>
            <w:r>
              <w:rPr>
                <w:rFonts w:hint="eastAsia"/>
                <w:sz w:val="24"/>
                <w:szCs w:val="24"/>
              </w:rPr>
              <w:t>BOM（utf-8-sig）</w:t>
            </w:r>
          </w:p>
        </w:tc>
      </w:tr>
      <w:tr w14:paraId="7927EAB9">
        <w:tc>
          <w:p w14:paraId="693F543B">
            <w:pPr>
              <w:pStyle w:val="24"/>
              <w:jc w:val="left"/>
              <w:rPr>
                <w:sz w:val="24"/>
                <w:szCs w:val="24"/>
              </w:rPr>
            </w:pPr>
            <w:r>
              <w:rPr>
                <w:rFonts w:hint="eastAsia"/>
                <w:sz w:val="24"/>
                <w:szCs w:val="24"/>
              </w:rPr>
              <w:t>生成方式</w:t>
            </w:r>
          </w:p>
        </w:tc>
        <w:tc>
          <w:p w14:paraId="700FB01F">
            <w:pPr>
              <w:pStyle w:val="24"/>
              <w:jc w:val="left"/>
              <w:rPr>
                <w:sz w:val="24"/>
                <w:szCs w:val="24"/>
              </w:rPr>
            </w:pPr>
            <w:r>
              <w:rPr>
                <w:rStyle w:val="48"/>
                <w:sz w:val="24"/>
                <w:szCs w:val="24"/>
              </w:rPr>
              <w:t>analysis.ipynb</w:t>
            </w:r>
            <w:r>
              <w:rPr>
                <w:sz w:val="24"/>
                <w:szCs w:val="24"/>
              </w:rPr>
              <w:t xml:space="preserve"> </w:t>
            </w:r>
            <w:r>
              <w:rPr>
                <w:rFonts w:hint="eastAsia"/>
                <w:sz w:val="24"/>
                <w:szCs w:val="24"/>
              </w:rPr>
              <w:t>第三步生成并导出</w:t>
            </w:r>
          </w:p>
        </w:tc>
      </w:tr>
    </w:tbl>
    <w:p w14:paraId="5BC84439">
      <w:pPr>
        <w:pStyle w:val="3"/>
        <w:rPr>
          <w:sz w:val="24"/>
          <w:szCs w:val="24"/>
        </w:rPr>
      </w:pPr>
      <w:r>
        <w:rPr>
          <w:rFonts w:hint="eastAsia"/>
          <w:sz w:val="24"/>
          <w:szCs w:val="24"/>
        </w:rPr>
        <w:t>字段说明：</w:t>
      </w:r>
    </w:p>
    <w:tbl>
      <w:tblPr>
        <w:tblStyle w:val="41"/>
        <w:tblW w:w="0" w:type="auto"/>
        <w:tblInd w:w="0" w:type="dxa"/>
        <w:tblLayout w:type="autofit"/>
        <w:tblCellMar>
          <w:top w:w="0" w:type="dxa"/>
          <w:left w:w="108" w:type="dxa"/>
          <w:bottom w:w="0" w:type="dxa"/>
          <w:right w:w="108" w:type="dxa"/>
        </w:tblCellMar>
      </w:tblPr>
      <w:tblGrid>
        <w:gridCol w:w="1479"/>
        <w:gridCol w:w="1766"/>
        <w:gridCol w:w="5611"/>
      </w:tblGrid>
      <w:tr w14:paraId="540A15F5">
        <w:trPr>
          <w:tblHeader/>
        </w:trPr>
        <w:tc>
          <w:p w14:paraId="7D7D78A1">
            <w:pPr>
              <w:pStyle w:val="24"/>
              <w:jc w:val="left"/>
              <w:rPr>
                <w:sz w:val="24"/>
                <w:szCs w:val="24"/>
              </w:rPr>
            </w:pPr>
            <w:r>
              <w:rPr>
                <w:rFonts w:hint="eastAsia"/>
                <w:sz w:val="24"/>
                <w:szCs w:val="24"/>
              </w:rPr>
              <w:t>字段名</w:t>
            </w:r>
          </w:p>
        </w:tc>
        <w:tc>
          <w:p w14:paraId="3E7DD624">
            <w:pPr>
              <w:pStyle w:val="24"/>
              <w:jc w:val="left"/>
              <w:rPr>
                <w:sz w:val="24"/>
                <w:szCs w:val="24"/>
              </w:rPr>
            </w:pPr>
            <w:r>
              <w:rPr>
                <w:rFonts w:hint="eastAsia"/>
                <w:sz w:val="24"/>
                <w:szCs w:val="24"/>
              </w:rPr>
              <w:t>含义</w:t>
            </w:r>
          </w:p>
        </w:tc>
        <w:tc>
          <w:p w14:paraId="5A37753C">
            <w:pPr>
              <w:pStyle w:val="24"/>
              <w:jc w:val="left"/>
              <w:rPr>
                <w:sz w:val="24"/>
                <w:szCs w:val="24"/>
              </w:rPr>
            </w:pPr>
            <w:r>
              <w:rPr>
                <w:rFonts w:hint="eastAsia"/>
                <w:sz w:val="24"/>
                <w:szCs w:val="24"/>
              </w:rPr>
              <w:t>备注</w:t>
            </w:r>
          </w:p>
        </w:tc>
      </w:tr>
      <w:tr w14:paraId="1AC5AADD">
        <w:tc>
          <w:p w14:paraId="752208ED">
            <w:pPr>
              <w:pStyle w:val="24"/>
              <w:jc w:val="left"/>
              <w:rPr>
                <w:sz w:val="24"/>
                <w:szCs w:val="24"/>
              </w:rPr>
            </w:pPr>
            <w:r>
              <w:rPr>
                <w:sz w:val="24"/>
                <w:szCs w:val="24"/>
              </w:rPr>
              <w:t>date</w:t>
            </w:r>
          </w:p>
        </w:tc>
        <w:tc>
          <w:p w14:paraId="636589CE">
            <w:pPr>
              <w:pStyle w:val="24"/>
              <w:jc w:val="left"/>
              <w:rPr>
                <w:sz w:val="24"/>
                <w:szCs w:val="24"/>
              </w:rPr>
            </w:pPr>
            <w:r>
              <w:rPr>
                <w:rFonts w:hint="eastAsia"/>
                <w:sz w:val="24"/>
                <w:szCs w:val="24"/>
              </w:rPr>
              <w:t>调仓日期</w:t>
            </w:r>
          </w:p>
        </w:tc>
        <w:tc>
          <w:p w14:paraId="7C73CBE2">
            <w:pPr>
              <w:pStyle w:val="24"/>
              <w:jc w:val="left"/>
              <w:rPr>
                <w:sz w:val="24"/>
                <w:szCs w:val="24"/>
              </w:rPr>
            </w:pPr>
            <w:r>
              <w:rPr>
                <w:rFonts w:hint="eastAsia"/>
                <w:sz w:val="24"/>
                <w:szCs w:val="24"/>
              </w:rPr>
              <w:t>每月最后一个所有股票共有的交易日</w:t>
            </w:r>
          </w:p>
        </w:tc>
      </w:tr>
      <w:tr w14:paraId="73703631">
        <w:tc>
          <w:p w14:paraId="1E9F48AE">
            <w:pPr>
              <w:pStyle w:val="24"/>
              <w:jc w:val="left"/>
              <w:rPr>
                <w:sz w:val="24"/>
                <w:szCs w:val="24"/>
              </w:rPr>
            </w:pPr>
            <w:r>
              <w:rPr>
                <w:sz w:val="24"/>
                <w:szCs w:val="24"/>
              </w:rPr>
              <w:t>code</w:t>
            </w:r>
          </w:p>
        </w:tc>
        <w:tc>
          <w:p w14:paraId="4961A544">
            <w:pPr>
              <w:pStyle w:val="24"/>
              <w:jc w:val="left"/>
              <w:rPr>
                <w:sz w:val="24"/>
                <w:szCs w:val="24"/>
              </w:rPr>
            </w:pPr>
            <w:r>
              <w:rPr>
                <w:rFonts w:hint="eastAsia"/>
                <w:sz w:val="24"/>
                <w:szCs w:val="24"/>
              </w:rPr>
              <w:t>股票代码</w:t>
            </w:r>
          </w:p>
        </w:tc>
        <w:tc>
          <w:p w14:paraId="69E2D9CC">
            <w:pPr>
              <w:pStyle w:val="24"/>
              <w:jc w:val="left"/>
              <w:rPr>
                <w:sz w:val="24"/>
                <w:szCs w:val="24"/>
              </w:rPr>
            </w:pPr>
            <w:r>
              <w:rPr>
                <w:rFonts w:hint="eastAsia"/>
                <w:sz w:val="24"/>
                <w:szCs w:val="24"/>
              </w:rPr>
              <w:t>格式</w:t>
            </w:r>
            <w:r>
              <w:rPr>
                <w:sz w:val="24"/>
                <w:szCs w:val="24"/>
              </w:rPr>
              <w:t xml:space="preserve"> </w:t>
            </w:r>
            <w:r>
              <w:rPr>
                <w:rStyle w:val="48"/>
                <w:sz w:val="24"/>
                <w:szCs w:val="24"/>
              </w:rPr>
              <w:t>001309.SZ</w:t>
            </w:r>
            <w:r>
              <w:rPr>
                <w:sz w:val="24"/>
                <w:szCs w:val="24"/>
              </w:rPr>
              <w:t xml:space="preserve"> / </w:t>
            </w:r>
            <w:r>
              <w:rPr>
                <w:rStyle w:val="48"/>
                <w:sz w:val="24"/>
                <w:szCs w:val="24"/>
              </w:rPr>
              <w:t>00700.HK</w:t>
            </w:r>
          </w:p>
        </w:tc>
      </w:tr>
      <w:tr w14:paraId="37C71C10">
        <w:tc>
          <w:p w14:paraId="638DEFCA">
            <w:pPr>
              <w:pStyle w:val="24"/>
              <w:jc w:val="left"/>
              <w:rPr>
                <w:sz w:val="24"/>
                <w:szCs w:val="24"/>
              </w:rPr>
            </w:pPr>
            <w:r>
              <w:rPr>
                <w:sz w:val="24"/>
                <w:szCs w:val="24"/>
              </w:rPr>
              <w:t>name</w:t>
            </w:r>
          </w:p>
        </w:tc>
        <w:tc>
          <w:p w14:paraId="5E4DCBC9">
            <w:pPr>
              <w:pStyle w:val="24"/>
              <w:jc w:val="left"/>
              <w:rPr>
                <w:sz w:val="24"/>
                <w:szCs w:val="24"/>
              </w:rPr>
            </w:pPr>
            <w:r>
              <w:rPr>
                <w:rFonts w:hint="eastAsia"/>
                <w:sz w:val="24"/>
                <w:szCs w:val="24"/>
              </w:rPr>
              <w:t>股票名称</w:t>
            </w:r>
          </w:p>
        </w:tc>
        <w:tc>
          <w:p w14:paraId="1F0C982A">
            <w:pPr>
              <w:pStyle w:val="24"/>
              <w:jc w:val="left"/>
              <w:rPr>
                <w:sz w:val="24"/>
                <w:szCs w:val="24"/>
              </w:rPr>
            </w:pPr>
            <w:r>
              <w:rPr>
                <w:sz w:val="24"/>
                <w:szCs w:val="24"/>
              </w:rPr>
              <w:t>—</w:t>
            </w:r>
          </w:p>
        </w:tc>
      </w:tr>
      <w:tr w14:paraId="4BC2162B">
        <w:tc>
          <w:p w14:paraId="5D71F6A5">
            <w:pPr>
              <w:pStyle w:val="24"/>
              <w:jc w:val="left"/>
              <w:rPr>
                <w:sz w:val="24"/>
                <w:szCs w:val="24"/>
              </w:rPr>
            </w:pPr>
            <w:r>
              <w:rPr>
                <w:sz w:val="24"/>
                <w:szCs w:val="24"/>
              </w:rPr>
              <w:t>close</w:t>
            </w:r>
          </w:p>
        </w:tc>
        <w:tc>
          <w:p w14:paraId="2EE52406">
            <w:pPr>
              <w:pStyle w:val="24"/>
              <w:jc w:val="left"/>
              <w:rPr>
                <w:sz w:val="24"/>
                <w:szCs w:val="24"/>
              </w:rPr>
            </w:pPr>
            <w:r>
              <w:rPr>
                <w:rFonts w:hint="eastAsia"/>
                <w:sz w:val="24"/>
                <w:szCs w:val="24"/>
              </w:rPr>
              <w:t>前复权收盘价</w:t>
            </w:r>
          </w:p>
        </w:tc>
        <w:tc>
          <w:p w14:paraId="776F2B5F">
            <w:pPr>
              <w:pStyle w:val="24"/>
              <w:jc w:val="left"/>
              <w:rPr>
                <w:sz w:val="24"/>
                <w:szCs w:val="24"/>
              </w:rPr>
            </w:pPr>
            <w:r>
              <w:rPr>
                <w:rFonts w:hint="eastAsia"/>
                <w:sz w:val="24"/>
                <w:szCs w:val="24"/>
              </w:rPr>
              <w:t>元，调仓日收盘价</w:t>
            </w:r>
          </w:p>
        </w:tc>
      </w:tr>
      <w:tr w14:paraId="074717A4">
        <w:tc>
          <w:p w14:paraId="79D942C6">
            <w:pPr>
              <w:pStyle w:val="24"/>
              <w:jc w:val="left"/>
              <w:rPr>
                <w:sz w:val="24"/>
                <w:szCs w:val="24"/>
              </w:rPr>
            </w:pPr>
            <w:r>
              <w:rPr>
                <w:sz w:val="24"/>
                <w:szCs w:val="24"/>
              </w:rPr>
              <w:t>momentum</w:t>
            </w:r>
          </w:p>
        </w:tc>
        <w:tc>
          <w:p w14:paraId="2544C647">
            <w:pPr>
              <w:pStyle w:val="24"/>
              <w:jc w:val="left"/>
              <w:rPr>
                <w:sz w:val="24"/>
                <w:szCs w:val="24"/>
              </w:rPr>
            </w:pPr>
            <w:r>
              <w:rPr>
                <w:rFonts w:hint="eastAsia"/>
                <w:sz w:val="24"/>
                <w:szCs w:val="24"/>
              </w:rPr>
              <w:t>60日动量</w:t>
            </w:r>
          </w:p>
        </w:tc>
        <w:tc>
          <w:p w14:paraId="205A07CF">
            <w:pPr>
              <w:pStyle w:val="24"/>
              <w:jc w:val="left"/>
              <w:rPr>
                <w:sz w:val="24"/>
                <w:szCs w:val="24"/>
              </w:rPr>
            </w:pPr>
            <w:r>
              <w:rPr>
                <w:rStyle w:val="48"/>
                <w:sz w:val="24"/>
                <w:szCs w:val="24"/>
              </w:rPr>
              <w:t>close_qfq.pct_change(60)</w:t>
            </w:r>
          </w:p>
        </w:tc>
      </w:tr>
      <w:tr w14:paraId="782E122A">
        <w:tc>
          <w:p w14:paraId="18F1DCEC">
            <w:pPr>
              <w:pStyle w:val="24"/>
              <w:jc w:val="left"/>
              <w:rPr>
                <w:sz w:val="24"/>
                <w:szCs w:val="24"/>
              </w:rPr>
            </w:pPr>
            <w:r>
              <w:rPr>
                <w:sz w:val="24"/>
                <w:szCs w:val="24"/>
              </w:rPr>
              <w:t>pe</w:t>
            </w:r>
          </w:p>
        </w:tc>
        <w:tc>
          <w:p w14:paraId="0AD2F1C4">
            <w:pPr>
              <w:pStyle w:val="24"/>
              <w:jc w:val="left"/>
              <w:rPr>
                <w:sz w:val="24"/>
                <w:szCs w:val="24"/>
              </w:rPr>
            </w:pPr>
            <w:r>
              <w:rPr>
                <w:rFonts w:hint="eastAsia"/>
                <w:sz w:val="24"/>
                <w:szCs w:val="24"/>
              </w:rPr>
              <w:t>市盈率（TTM）</w:t>
            </w:r>
          </w:p>
        </w:tc>
        <w:tc>
          <w:p w14:paraId="15865618">
            <w:pPr>
              <w:pStyle w:val="24"/>
              <w:jc w:val="left"/>
              <w:rPr>
                <w:sz w:val="24"/>
                <w:szCs w:val="24"/>
              </w:rPr>
            </w:pPr>
            <w:r>
              <w:rPr>
                <w:rFonts w:hint="eastAsia"/>
                <w:sz w:val="24"/>
                <w:szCs w:val="24"/>
              </w:rPr>
              <w:t>在线获取，ETF</w:t>
            </w:r>
            <w:r>
              <w:rPr>
                <w:sz w:val="24"/>
                <w:szCs w:val="24"/>
              </w:rPr>
              <w:t xml:space="preserve"> </w:t>
            </w:r>
            <w:r>
              <w:rPr>
                <w:rFonts w:hint="eastAsia"/>
                <w:sz w:val="24"/>
                <w:szCs w:val="24"/>
              </w:rPr>
              <w:t>为</w:t>
            </w:r>
            <w:r>
              <w:rPr>
                <w:sz w:val="24"/>
                <w:szCs w:val="24"/>
              </w:rPr>
              <w:t xml:space="preserve"> NaN</w:t>
            </w:r>
          </w:p>
        </w:tc>
      </w:tr>
      <w:tr w14:paraId="3F4B82DE">
        <w:tc>
          <w:p w14:paraId="5BFD3356">
            <w:pPr>
              <w:pStyle w:val="24"/>
              <w:jc w:val="left"/>
              <w:rPr>
                <w:sz w:val="24"/>
                <w:szCs w:val="24"/>
              </w:rPr>
            </w:pPr>
            <w:r>
              <w:rPr>
                <w:sz w:val="24"/>
                <w:szCs w:val="24"/>
              </w:rPr>
              <w:t>roe</w:t>
            </w:r>
          </w:p>
        </w:tc>
        <w:tc>
          <w:p w14:paraId="621A8AE7">
            <w:pPr>
              <w:pStyle w:val="24"/>
              <w:jc w:val="left"/>
              <w:rPr>
                <w:sz w:val="24"/>
                <w:szCs w:val="24"/>
              </w:rPr>
            </w:pPr>
            <w:r>
              <w:rPr>
                <w:rFonts w:hint="eastAsia"/>
                <w:sz w:val="24"/>
                <w:szCs w:val="24"/>
              </w:rPr>
              <w:t>净资产收益率</w:t>
            </w:r>
          </w:p>
        </w:tc>
        <w:tc>
          <w:p w14:paraId="12C29B0D">
            <w:pPr>
              <w:pStyle w:val="24"/>
              <w:jc w:val="left"/>
              <w:rPr>
                <w:sz w:val="24"/>
                <w:szCs w:val="24"/>
              </w:rPr>
            </w:pPr>
            <w:r>
              <w:rPr>
                <w:rFonts w:hint="eastAsia"/>
                <w:sz w:val="24"/>
                <w:szCs w:val="24"/>
              </w:rPr>
              <w:t>在线获取，ETF</w:t>
            </w:r>
            <w:r>
              <w:rPr>
                <w:sz w:val="24"/>
                <w:szCs w:val="24"/>
              </w:rPr>
              <w:t xml:space="preserve"> </w:t>
            </w:r>
            <w:r>
              <w:rPr>
                <w:rFonts w:hint="eastAsia"/>
                <w:sz w:val="24"/>
                <w:szCs w:val="24"/>
              </w:rPr>
              <w:t>为</w:t>
            </w:r>
            <w:r>
              <w:rPr>
                <w:sz w:val="24"/>
                <w:szCs w:val="24"/>
              </w:rPr>
              <w:t xml:space="preserve"> NaN</w:t>
            </w:r>
          </w:p>
        </w:tc>
      </w:tr>
      <w:tr w14:paraId="5B2D44BC">
        <w:tc>
          <w:p w14:paraId="2412AADF">
            <w:pPr>
              <w:pStyle w:val="24"/>
              <w:jc w:val="left"/>
              <w:rPr>
                <w:sz w:val="24"/>
                <w:szCs w:val="24"/>
              </w:rPr>
            </w:pPr>
            <w:r>
              <w:rPr>
                <w:sz w:val="24"/>
                <w:szCs w:val="24"/>
              </w:rPr>
              <w:t>ma120</w:t>
            </w:r>
          </w:p>
        </w:tc>
        <w:tc>
          <w:p w14:paraId="7FD6F644">
            <w:pPr>
              <w:pStyle w:val="24"/>
              <w:jc w:val="left"/>
              <w:rPr>
                <w:sz w:val="24"/>
                <w:szCs w:val="24"/>
              </w:rPr>
            </w:pPr>
            <w:r>
              <w:rPr>
                <w:rFonts w:hint="eastAsia"/>
                <w:sz w:val="24"/>
                <w:szCs w:val="24"/>
              </w:rPr>
              <w:t>120日均线</w:t>
            </w:r>
          </w:p>
        </w:tc>
        <w:tc>
          <w:p w14:paraId="7B921358">
            <w:pPr>
              <w:pStyle w:val="24"/>
              <w:jc w:val="left"/>
              <w:rPr>
                <w:sz w:val="24"/>
                <w:szCs w:val="24"/>
              </w:rPr>
            </w:pPr>
            <w:r>
              <w:rPr>
                <w:rStyle w:val="48"/>
                <w:sz w:val="24"/>
                <w:szCs w:val="24"/>
              </w:rPr>
              <w:t>close_qfq.rolling(120).mean()</w:t>
            </w:r>
          </w:p>
        </w:tc>
      </w:tr>
      <w:tr w14:paraId="3AD2C2B0">
        <w:tc>
          <w:p w14:paraId="7AB29283">
            <w:pPr>
              <w:pStyle w:val="24"/>
              <w:jc w:val="left"/>
              <w:rPr>
                <w:sz w:val="24"/>
                <w:szCs w:val="24"/>
              </w:rPr>
            </w:pPr>
            <w:r>
              <w:rPr>
                <w:sz w:val="24"/>
                <w:szCs w:val="24"/>
              </w:rPr>
              <w:t>month</w:t>
            </w:r>
          </w:p>
        </w:tc>
        <w:tc>
          <w:p w14:paraId="684B1810">
            <w:pPr>
              <w:pStyle w:val="24"/>
              <w:jc w:val="left"/>
              <w:rPr>
                <w:sz w:val="24"/>
                <w:szCs w:val="24"/>
              </w:rPr>
            </w:pPr>
            <w:r>
              <w:rPr>
                <w:rFonts w:hint="eastAsia"/>
                <w:sz w:val="24"/>
                <w:szCs w:val="24"/>
              </w:rPr>
              <w:t>所属月份</w:t>
            </w:r>
          </w:p>
        </w:tc>
        <w:tc>
          <w:p w14:paraId="2845F63E">
            <w:pPr>
              <w:pStyle w:val="24"/>
              <w:jc w:val="left"/>
              <w:rPr>
                <w:sz w:val="24"/>
                <w:szCs w:val="24"/>
              </w:rPr>
            </w:pPr>
            <w:r>
              <w:rPr>
                <w:sz w:val="24"/>
                <w:szCs w:val="24"/>
              </w:rPr>
              <w:t xml:space="preserve">Period </w:t>
            </w:r>
            <w:r>
              <w:rPr>
                <w:rFonts w:hint="eastAsia"/>
                <w:sz w:val="24"/>
                <w:szCs w:val="24"/>
              </w:rPr>
              <w:t>对象，格式</w:t>
            </w:r>
            <w:r>
              <w:rPr>
                <w:sz w:val="24"/>
                <w:szCs w:val="24"/>
              </w:rPr>
              <w:t xml:space="preserve"> </w:t>
            </w:r>
            <w:r>
              <w:rPr>
                <w:rStyle w:val="48"/>
                <w:sz w:val="24"/>
                <w:szCs w:val="24"/>
              </w:rPr>
              <w:t>2025-01</w:t>
            </w:r>
          </w:p>
        </w:tc>
      </w:tr>
      <w:tr w14:paraId="6A69A7E8">
        <w:tc>
          <w:p w14:paraId="58B89405">
            <w:pPr>
              <w:pStyle w:val="24"/>
              <w:jc w:val="left"/>
              <w:rPr>
                <w:sz w:val="24"/>
                <w:szCs w:val="24"/>
              </w:rPr>
            </w:pPr>
            <w:r>
              <w:rPr>
                <w:sz w:val="24"/>
                <w:szCs w:val="24"/>
              </w:rPr>
              <w:t>pe_score</w:t>
            </w:r>
          </w:p>
        </w:tc>
        <w:tc>
          <w:p w14:paraId="69B5BF6C">
            <w:pPr>
              <w:pStyle w:val="24"/>
              <w:jc w:val="left"/>
              <w:rPr>
                <w:sz w:val="24"/>
                <w:szCs w:val="24"/>
              </w:rPr>
            </w:pPr>
            <w:r>
              <w:rPr>
                <w:sz w:val="24"/>
                <w:szCs w:val="24"/>
              </w:rPr>
              <w:t xml:space="preserve">PE </w:t>
            </w:r>
            <w:r>
              <w:rPr>
                <w:rFonts w:hint="eastAsia"/>
                <w:sz w:val="24"/>
                <w:szCs w:val="24"/>
              </w:rPr>
              <w:t>的</w:t>
            </w:r>
            <w:r>
              <w:rPr>
                <w:sz w:val="24"/>
                <w:szCs w:val="24"/>
              </w:rPr>
              <w:t xml:space="preserve"> Z-score</w:t>
            </w:r>
          </w:p>
        </w:tc>
        <w:tc>
          <w:p w14:paraId="70758769">
            <w:pPr>
              <w:pStyle w:val="24"/>
              <w:jc w:val="left"/>
              <w:rPr>
                <w:sz w:val="24"/>
                <w:szCs w:val="24"/>
              </w:rPr>
            </w:pPr>
            <w:r>
              <w:rPr>
                <w:rFonts w:hint="eastAsia"/>
                <w:sz w:val="24"/>
                <w:szCs w:val="24"/>
              </w:rPr>
              <w:t>取负值（PE</w:t>
            </w:r>
            <w:r>
              <w:rPr>
                <w:sz w:val="24"/>
                <w:szCs w:val="24"/>
              </w:rPr>
              <w:t xml:space="preserve"> </w:t>
            </w:r>
            <w:r>
              <w:rPr>
                <w:rFonts w:hint="eastAsia"/>
                <w:sz w:val="24"/>
                <w:szCs w:val="24"/>
              </w:rPr>
              <w:t>越低越好）</w:t>
            </w:r>
          </w:p>
        </w:tc>
      </w:tr>
      <w:tr w14:paraId="2B956F75">
        <w:tc>
          <w:p w14:paraId="398FF2A0">
            <w:pPr>
              <w:pStyle w:val="24"/>
              <w:jc w:val="left"/>
              <w:rPr>
                <w:sz w:val="24"/>
                <w:szCs w:val="24"/>
              </w:rPr>
            </w:pPr>
            <w:r>
              <w:rPr>
                <w:sz w:val="24"/>
                <w:szCs w:val="24"/>
              </w:rPr>
              <w:t>roe_score</w:t>
            </w:r>
          </w:p>
        </w:tc>
        <w:tc>
          <w:p w14:paraId="29779CFC">
            <w:pPr>
              <w:pStyle w:val="24"/>
              <w:jc w:val="left"/>
              <w:rPr>
                <w:sz w:val="24"/>
                <w:szCs w:val="24"/>
              </w:rPr>
            </w:pPr>
            <w:r>
              <w:rPr>
                <w:sz w:val="24"/>
                <w:szCs w:val="24"/>
              </w:rPr>
              <w:t xml:space="preserve">ROE </w:t>
            </w:r>
            <w:r>
              <w:rPr>
                <w:rFonts w:hint="eastAsia"/>
                <w:sz w:val="24"/>
                <w:szCs w:val="24"/>
              </w:rPr>
              <w:t>的</w:t>
            </w:r>
            <w:r>
              <w:rPr>
                <w:sz w:val="24"/>
                <w:szCs w:val="24"/>
              </w:rPr>
              <w:t xml:space="preserve"> Z-score</w:t>
            </w:r>
          </w:p>
        </w:tc>
        <w:tc>
          <w:p w14:paraId="546A7EC1">
            <w:pPr>
              <w:pStyle w:val="24"/>
              <w:jc w:val="left"/>
              <w:rPr>
                <w:sz w:val="24"/>
                <w:szCs w:val="24"/>
              </w:rPr>
            </w:pPr>
            <w:r>
              <w:rPr>
                <w:sz w:val="24"/>
                <w:szCs w:val="24"/>
              </w:rPr>
              <w:t>—</w:t>
            </w:r>
          </w:p>
        </w:tc>
      </w:tr>
      <w:tr w14:paraId="240B59C8">
        <w:tc>
          <w:p w14:paraId="4F0E37A8">
            <w:pPr>
              <w:pStyle w:val="24"/>
              <w:jc w:val="left"/>
              <w:rPr>
                <w:sz w:val="24"/>
                <w:szCs w:val="24"/>
              </w:rPr>
            </w:pPr>
            <w:r>
              <w:rPr>
                <w:sz w:val="24"/>
                <w:szCs w:val="24"/>
              </w:rPr>
              <w:t>mom_score</w:t>
            </w:r>
          </w:p>
        </w:tc>
        <w:tc>
          <w:p w14:paraId="0AC0067B">
            <w:pPr>
              <w:pStyle w:val="24"/>
              <w:jc w:val="left"/>
              <w:rPr>
                <w:sz w:val="24"/>
                <w:szCs w:val="24"/>
              </w:rPr>
            </w:pPr>
            <w:r>
              <w:rPr>
                <w:rFonts w:hint="eastAsia"/>
                <w:sz w:val="24"/>
                <w:szCs w:val="24"/>
              </w:rPr>
              <w:t>动量的</w:t>
            </w:r>
            <w:r>
              <w:rPr>
                <w:sz w:val="24"/>
                <w:szCs w:val="24"/>
              </w:rPr>
              <w:t xml:space="preserve"> Z-score</w:t>
            </w:r>
          </w:p>
        </w:tc>
        <w:tc>
          <w:p w14:paraId="037A721D">
            <w:pPr>
              <w:pStyle w:val="24"/>
              <w:jc w:val="left"/>
              <w:rPr>
                <w:sz w:val="24"/>
                <w:szCs w:val="24"/>
              </w:rPr>
            </w:pPr>
            <w:r>
              <w:rPr>
                <w:sz w:val="24"/>
                <w:szCs w:val="24"/>
              </w:rPr>
              <w:t>—</w:t>
            </w:r>
          </w:p>
        </w:tc>
      </w:tr>
      <w:tr w14:paraId="5D298226">
        <w:tc>
          <w:p w14:paraId="74CBAFC1">
            <w:pPr>
              <w:pStyle w:val="24"/>
              <w:jc w:val="left"/>
              <w:rPr>
                <w:sz w:val="24"/>
                <w:szCs w:val="24"/>
              </w:rPr>
            </w:pPr>
            <w:r>
              <w:rPr>
                <w:sz w:val="24"/>
                <w:szCs w:val="24"/>
              </w:rPr>
              <w:t>score</w:t>
            </w:r>
          </w:p>
        </w:tc>
        <w:tc>
          <w:p w14:paraId="5CB9CEC8">
            <w:pPr>
              <w:pStyle w:val="24"/>
              <w:jc w:val="left"/>
              <w:rPr>
                <w:sz w:val="24"/>
                <w:szCs w:val="24"/>
              </w:rPr>
            </w:pPr>
            <w:r>
              <w:rPr>
                <w:rFonts w:hint="eastAsia"/>
                <w:sz w:val="24"/>
                <w:szCs w:val="24"/>
              </w:rPr>
              <w:t>综合评分</w:t>
            </w:r>
          </w:p>
        </w:tc>
        <w:tc>
          <w:p w14:paraId="3D2FA403">
            <w:pPr>
              <w:pStyle w:val="24"/>
              <w:jc w:val="left"/>
              <w:rPr>
                <w:sz w:val="24"/>
                <w:szCs w:val="24"/>
              </w:rPr>
            </w:pPr>
            <w:r>
              <w:rPr>
                <w:rStyle w:val="48"/>
                <w:sz w:val="24"/>
                <w:szCs w:val="24"/>
              </w:rPr>
              <w:t>0.4×mom_score + 0.3×roe_score + 0.3×pe_score</w:t>
            </w:r>
          </w:p>
        </w:tc>
      </w:tr>
      <w:tr w14:paraId="4822590E">
        <w:tc>
          <w:p w14:paraId="35557BD2">
            <w:pPr>
              <w:pStyle w:val="24"/>
              <w:jc w:val="left"/>
              <w:rPr>
                <w:sz w:val="24"/>
                <w:szCs w:val="24"/>
              </w:rPr>
            </w:pPr>
            <w:r>
              <w:rPr>
                <w:sz w:val="24"/>
                <w:szCs w:val="24"/>
              </w:rPr>
              <w:t>weight</w:t>
            </w:r>
          </w:p>
        </w:tc>
        <w:tc>
          <w:p w14:paraId="0A280830">
            <w:pPr>
              <w:pStyle w:val="24"/>
              <w:jc w:val="left"/>
              <w:rPr>
                <w:sz w:val="24"/>
                <w:szCs w:val="24"/>
              </w:rPr>
            </w:pPr>
            <w:r>
              <w:rPr>
                <w:rFonts w:hint="eastAsia"/>
                <w:sz w:val="24"/>
                <w:szCs w:val="24"/>
              </w:rPr>
              <w:t>配置权重</w:t>
            </w:r>
          </w:p>
        </w:tc>
        <w:tc>
          <w:p w14:paraId="68EDE618">
            <w:pPr>
              <w:pStyle w:val="24"/>
              <w:jc w:val="left"/>
              <w:rPr>
                <w:sz w:val="24"/>
                <w:szCs w:val="24"/>
              </w:rPr>
            </w:pPr>
            <w:r>
              <w:rPr>
                <w:rFonts w:hint="eastAsia"/>
                <w:sz w:val="24"/>
                <w:szCs w:val="24"/>
              </w:rPr>
              <w:t>固定</w:t>
            </w:r>
            <w:r>
              <w:rPr>
                <w:sz w:val="24"/>
                <w:szCs w:val="24"/>
              </w:rPr>
              <w:t xml:space="preserve"> </w:t>
            </w:r>
            <w:r>
              <w:rPr>
                <w:rFonts w:hint="eastAsia"/>
                <w:sz w:val="24"/>
                <w:szCs w:val="24"/>
              </w:rPr>
              <w:t>0.20（等权</w:t>
            </w:r>
            <w:r>
              <w:rPr>
                <w:sz w:val="24"/>
                <w:szCs w:val="24"/>
              </w:rPr>
              <w:t xml:space="preserve"> 5 </w:t>
            </w:r>
            <w:r>
              <w:rPr>
                <w:rFonts w:hint="eastAsia"/>
                <w:sz w:val="24"/>
                <w:szCs w:val="24"/>
              </w:rPr>
              <w:t>只）</w:t>
            </w:r>
          </w:p>
        </w:tc>
      </w:tr>
      <w:bookmarkEnd w:id="41"/>
      <w:bookmarkEnd w:id="43"/>
    </w:tbl>
    <w:p w14:paraId="2B95AC04">
      <w:pPr>
        <w:pStyle w:val="4"/>
        <w:rPr>
          <w:sz w:val="24"/>
          <w:szCs w:val="24"/>
        </w:rPr>
      </w:pPr>
      <w:bookmarkStart w:id="44" w:name="附录c完整指标表"/>
      <w:r>
        <w:rPr>
          <w:rFonts w:hint="eastAsia"/>
          <w:sz w:val="24"/>
          <w:szCs w:val="24"/>
        </w:rPr>
        <w:t>附录C：完整指标表</w:t>
      </w:r>
    </w:p>
    <w:p w14:paraId="203AFBB4">
      <w:pPr>
        <w:pStyle w:val="23"/>
        <w:rPr>
          <w:sz w:val="24"/>
          <w:szCs w:val="24"/>
        </w:rPr>
      </w:pPr>
      <w:r>
        <w:rPr>
          <w:rFonts w:hint="eastAsia"/>
          <w:sz w:val="24"/>
          <w:szCs w:val="24"/>
        </w:rPr>
        <w:t>以下为全部20只股票在回测期间（2024-07-19</w:t>
      </w:r>
      <w:r>
        <w:rPr>
          <w:sz w:val="24"/>
          <w:szCs w:val="24"/>
        </w:rPr>
        <w:t xml:space="preserve"> </w:t>
      </w:r>
      <w:r>
        <w:rPr>
          <w:rFonts w:hint="eastAsia"/>
          <w:sz w:val="24"/>
          <w:szCs w:val="24"/>
        </w:rPr>
        <w:t>至</w:t>
      </w:r>
      <w:r>
        <w:rPr>
          <w:sz w:val="24"/>
          <w:szCs w:val="24"/>
        </w:rPr>
        <w:t xml:space="preserve"> </w:t>
      </w:r>
      <w:r>
        <w:rPr>
          <w:rFonts w:hint="eastAsia"/>
          <w:sz w:val="24"/>
          <w:szCs w:val="24"/>
        </w:rPr>
        <w:t>2026-07-21）的六项核心指标，按总收益降序排列。</w:t>
      </w:r>
    </w:p>
    <w:tbl>
      <w:tblPr>
        <w:tblStyle w:val="41"/>
        <w:tblW w:w="5000" w:type="pct"/>
        <w:tblInd w:w="0" w:type="dxa"/>
        <w:tblLayout w:type="fixed"/>
        <w:tblCellMar>
          <w:top w:w="0" w:type="dxa"/>
          <w:left w:w="108" w:type="dxa"/>
          <w:bottom w:w="0" w:type="dxa"/>
          <w:right w:w="108" w:type="dxa"/>
        </w:tblCellMar>
      </w:tblPr>
      <w:tblGrid>
        <w:gridCol w:w="1265"/>
        <w:gridCol w:w="1265"/>
        <w:gridCol w:w="1265"/>
        <w:gridCol w:w="1265"/>
        <w:gridCol w:w="1265"/>
        <w:gridCol w:w="1265"/>
        <w:gridCol w:w="1265"/>
      </w:tblGrid>
      <w:tr w14:paraId="669701F9">
        <w:trPr>
          <w:tblHeader/>
        </w:trPr>
        <w:tc>
          <w:p w14:paraId="2EA9D98C">
            <w:pPr>
              <w:pStyle w:val="24"/>
              <w:jc w:val="left"/>
              <w:rPr>
                <w:sz w:val="24"/>
                <w:szCs w:val="24"/>
              </w:rPr>
            </w:pPr>
            <w:r>
              <w:rPr>
                <w:rFonts w:hint="eastAsia"/>
                <w:sz w:val="24"/>
                <w:szCs w:val="24"/>
              </w:rPr>
              <w:t>股票</w:t>
            </w:r>
          </w:p>
        </w:tc>
        <w:tc>
          <w:p w14:paraId="0EA4D4C0">
            <w:pPr>
              <w:pStyle w:val="24"/>
              <w:jc w:val="right"/>
              <w:rPr>
                <w:sz w:val="24"/>
                <w:szCs w:val="24"/>
              </w:rPr>
            </w:pPr>
            <w:r>
              <w:rPr>
                <w:rFonts w:hint="eastAsia"/>
                <w:sz w:val="24"/>
                <w:szCs w:val="24"/>
              </w:rPr>
              <w:t>总收益</w:t>
            </w:r>
          </w:p>
        </w:tc>
        <w:tc>
          <w:p w14:paraId="67590BBF">
            <w:pPr>
              <w:pStyle w:val="24"/>
              <w:jc w:val="right"/>
              <w:rPr>
                <w:sz w:val="24"/>
                <w:szCs w:val="24"/>
              </w:rPr>
            </w:pPr>
            <w:r>
              <w:rPr>
                <w:rFonts w:hint="eastAsia"/>
                <w:sz w:val="24"/>
                <w:szCs w:val="24"/>
              </w:rPr>
              <w:t>年化收益</w:t>
            </w:r>
          </w:p>
        </w:tc>
        <w:tc>
          <w:p w14:paraId="12FF642F">
            <w:pPr>
              <w:pStyle w:val="24"/>
              <w:jc w:val="right"/>
              <w:rPr>
                <w:sz w:val="24"/>
                <w:szCs w:val="24"/>
              </w:rPr>
            </w:pPr>
            <w:r>
              <w:rPr>
                <w:rFonts w:hint="eastAsia"/>
                <w:sz w:val="24"/>
                <w:szCs w:val="24"/>
              </w:rPr>
              <w:t>年化波动</w:t>
            </w:r>
          </w:p>
        </w:tc>
        <w:tc>
          <w:p w14:paraId="05538DF8">
            <w:pPr>
              <w:pStyle w:val="24"/>
              <w:jc w:val="right"/>
              <w:rPr>
                <w:sz w:val="24"/>
                <w:szCs w:val="24"/>
              </w:rPr>
            </w:pPr>
            <w:r>
              <w:rPr>
                <w:rFonts w:hint="eastAsia"/>
                <w:sz w:val="24"/>
                <w:szCs w:val="24"/>
              </w:rPr>
              <w:t>最大回撤</w:t>
            </w:r>
          </w:p>
        </w:tc>
        <w:tc>
          <w:p w14:paraId="32A045DC">
            <w:pPr>
              <w:pStyle w:val="24"/>
              <w:jc w:val="right"/>
              <w:rPr>
                <w:sz w:val="24"/>
                <w:szCs w:val="24"/>
              </w:rPr>
            </w:pPr>
            <w:r>
              <w:rPr>
                <w:rFonts w:hint="eastAsia"/>
                <w:sz w:val="24"/>
                <w:szCs w:val="24"/>
              </w:rPr>
              <w:t>夏普</w:t>
            </w:r>
          </w:p>
        </w:tc>
        <w:tc>
          <w:p w14:paraId="155EB501">
            <w:pPr>
              <w:pStyle w:val="24"/>
              <w:jc w:val="right"/>
              <w:rPr>
                <w:sz w:val="24"/>
                <w:szCs w:val="24"/>
              </w:rPr>
            </w:pPr>
            <w:r>
              <w:rPr>
                <w:rFonts w:hint="eastAsia"/>
                <w:sz w:val="24"/>
                <w:szCs w:val="24"/>
              </w:rPr>
              <w:t>卡玛</w:t>
            </w:r>
          </w:p>
        </w:tc>
      </w:tr>
      <w:tr w14:paraId="17C94FB4">
        <w:tc>
          <w:p w14:paraId="669F3F87">
            <w:pPr>
              <w:pStyle w:val="24"/>
              <w:jc w:val="left"/>
              <w:rPr>
                <w:sz w:val="24"/>
                <w:szCs w:val="24"/>
              </w:rPr>
            </w:pPr>
            <w:r>
              <w:rPr>
                <w:rFonts w:hint="eastAsia"/>
                <w:sz w:val="24"/>
                <w:szCs w:val="24"/>
              </w:rPr>
              <w:t>德明利（001309.SZ）</w:t>
            </w:r>
          </w:p>
        </w:tc>
        <w:tc>
          <w:p w14:paraId="6D1DBA2E">
            <w:pPr>
              <w:pStyle w:val="24"/>
              <w:jc w:val="right"/>
              <w:rPr>
                <w:sz w:val="24"/>
                <w:szCs w:val="24"/>
              </w:rPr>
            </w:pPr>
            <w:r>
              <w:rPr>
                <w:sz w:val="24"/>
                <w:szCs w:val="24"/>
              </w:rPr>
              <w:t>718.5%</w:t>
            </w:r>
          </w:p>
        </w:tc>
        <w:tc>
          <w:p w14:paraId="67C99921">
            <w:pPr>
              <w:pStyle w:val="24"/>
              <w:jc w:val="right"/>
              <w:rPr>
                <w:sz w:val="24"/>
                <w:szCs w:val="24"/>
              </w:rPr>
            </w:pPr>
            <w:r>
              <w:rPr>
                <w:sz w:val="24"/>
                <w:szCs w:val="24"/>
              </w:rPr>
              <w:t>185.5%</w:t>
            </w:r>
          </w:p>
        </w:tc>
        <w:tc>
          <w:p w14:paraId="203ACA71">
            <w:pPr>
              <w:pStyle w:val="24"/>
              <w:jc w:val="right"/>
              <w:rPr>
                <w:sz w:val="24"/>
                <w:szCs w:val="24"/>
              </w:rPr>
            </w:pPr>
            <w:r>
              <w:rPr>
                <w:sz w:val="24"/>
                <w:szCs w:val="24"/>
              </w:rPr>
              <w:t>69.1%</w:t>
            </w:r>
          </w:p>
        </w:tc>
        <w:tc>
          <w:p w14:paraId="0B915F24">
            <w:pPr>
              <w:pStyle w:val="24"/>
              <w:jc w:val="right"/>
              <w:rPr>
                <w:sz w:val="24"/>
                <w:szCs w:val="24"/>
              </w:rPr>
            </w:pPr>
            <w:r>
              <w:rPr>
                <w:sz w:val="24"/>
                <w:szCs w:val="24"/>
              </w:rPr>
              <w:t>-50.2%</w:t>
            </w:r>
          </w:p>
        </w:tc>
        <w:tc>
          <w:p w14:paraId="3479CEBD">
            <w:pPr>
              <w:pStyle w:val="24"/>
              <w:jc w:val="right"/>
              <w:rPr>
                <w:sz w:val="24"/>
                <w:szCs w:val="24"/>
              </w:rPr>
            </w:pPr>
            <w:r>
              <w:rPr>
                <w:sz w:val="24"/>
                <w:szCs w:val="24"/>
              </w:rPr>
              <w:t>2.66</w:t>
            </w:r>
          </w:p>
        </w:tc>
        <w:tc>
          <w:p w14:paraId="7FD17C64">
            <w:pPr>
              <w:pStyle w:val="24"/>
              <w:jc w:val="right"/>
              <w:rPr>
                <w:sz w:val="24"/>
                <w:szCs w:val="24"/>
              </w:rPr>
            </w:pPr>
            <w:r>
              <w:rPr>
                <w:sz w:val="24"/>
                <w:szCs w:val="24"/>
              </w:rPr>
              <w:t>3.69</w:t>
            </w:r>
          </w:p>
        </w:tc>
      </w:tr>
      <w:tr w14:paraId="6D8B07CC">
        <w:tc>
          <w:p w14:paraId="25BBF443">
            <w:pPr>
              <w:pStyle w:val="24"/>
              <w:jc w:val="left"/>
              <w:rPr>
                <w:sz w:val="24"/>
                <w:szCs w:val="24"/>
              </w:rPr>
            </w:pPr>
            <w:r>
              <w:rPr>
                <w:rFonts w:hint="eastAsia"/>
                <w:sz w:val="24"/>
                <w:szCs w:val="24"/>
              </w:rPr>
              <w:t>普冉股份（688766.SH）</w:t>
            </w:r>
          </w:p>
        </w:tc>
        <w:tc>
          <w:p w14:paraId="017EEAD3">
            <w:pPr>
              <w:pStyle w:val="24"/>
              <w:jc w:val="right"/>
              <w:rPr>
                <w:sz w:val="24"/>
                <w:szCs w:val="24"/>
              </w:rPr>
            </w:pPr>
            <w:r>
              <w:rPr>
                <w:sz w:val="24"/>
                <w:szCs w:val="24"/>
              </w:rPr>
              <w:t>662.1%</w:t>
            </w:r>
          </w:p>
        </w:tc>
        <w:tc>
          <w:p w14:paraId="5A6C03C0">
            <w:pPr>
              <w:pStyle w:val="24"/>
              <w:jc w:val="right"/>
              <w:rPr>
                <w:sz w:val="24"/>
                <w:szCs w:val="24"/>
              </w:rPr>
            </w:pPr>
            <w:r>
              <w:rPr>
                <w:sz w:val="24"/>
                <w:szCs w:val="24"/>
              </w:rPr>
              <w:t>175.5%</w:t>
            </w:r>
          </w:p>
        </w:tc>
        <w:tc>
          <w:p w14:paraId="30994680">
            <w:pPr>
              <w:pStyle w:val="24"/>
              <w:jc w:val="right"/>
              <w:rPr>
                <w:sz w:val="24"/>
                <w:szCs w:val="24"/>
              </w:rPr>
            </w:pPr>
            <w:r>
              <w:rPr>
                <w:sz w:val="24"/>
                <w:szCs w:val="24"/>
              </w:rPr>
              <w:t>86.4%</w:t>
            </w:r>
          </w:p>
        </w:tc>
        <w:tc>
          <w:p w14:paraId="6AE21D4C">
            <w:pPr>
              <w:pStyle w:val="24"/>
              <w:jc w:val="right"/>
              <w:rPr>
                <w:sz w:val="24"/>
                <w:szCs w:val="24"/>
              </w:rPr>
            </w:pPr>
            <w:r>
              <w:rPr>
                <w:sz w:val="24"/>
                <w:szCs w:val="24"/>
              </w:rPr>
              <w:t>-54.0%</w:t>
            </w:r>
          </w:p>
        </w:tc>
        <w:tc>
          <w:p w14:paraId="1C739C30">
            <w:pPr>
              <w:pStyle w:val="24"/>
              <w:jc w:val="right"/>
              <w:rPr>
                <w:sz w:val="24"/>
                <w:szCs w:val="24"/>
              </w:rPr>
            </w:pPr>
            <w:r>
              <w:rPr>
                <w:sz w:val="24"/>
                <w:szCs w:val="24"/>
              </w:rPr>
              <w:t>2.01</w:t>
            </w:r>
          </w:p>
        </w:tc>
        <w:tc>
          <w:p w14:paraId="78531B8D">
            <w:pPr>
              <w:pStyle w:val="24"/>
              <w:jc w:val="right"/>
              <w:rPr>
                <w:sz w:val="24"/>
                <w:szCs w:val="24"/>
              </w:rPr>
            </w:pPr>
            <w:r>
              <w:rPr>
                <w:sz w:val="24"/>
                <w:szCs w:val="24"/>
              </w:rPr>
              <w:t>3.25</w:t>
            </w:r>
          </w:p>
        </w:tc>
      </w:tr>
      <w:tr w14:paraId="6C1F0B5B">
        <w:tc>
          <w:p w14:paraId="746071CE">
            <w:pPr>
              <w:pStyle w:val="24"/>
              <w:jc w:val="left"/>
              <w:rPr>
                <w:sz w:val="24"/>
                <w:szCs w:val="24"/>
              </w:rPr>
            </w:pPr>
            <w:r>
              <w:rPr>
                <w:rFonts w:hint="eastAsia"/>
                <w:sz w:val="24"/>
                <w:szCs w:val="24"/>
              </w:rPr>
              <w:t>兆易创新（603986.SH）</w:t>
            </w:r>
          </w:p>
        </w:tc>
        <w:tc>
          <w:p w14:paraId="1F60B8CC">
            <w:pPr>
              <w:pStyle w:val="24"/>
              <w:jc w:val="right"/>
              <w:rPr>
                <w:sz w:val="24"/>
                <w:szCs w:val="24"/>
              </w:rPr>
            </w:pPr>
            <w:r>
              <w:rPr>
                <w:sz w:val="24"/>
                <w:szCs w:val="24"/>
              </w:rPr>
              <w:t>397.5%</w:t>
            </w:r>
          </w:p>
        </w:tc>
        <w:tc>
          <w:p w14:paraId="360BA884">
            <w:pPr>
              <w:pStyle w:val="24"/>
              <w:jc w:val="right"/>
              <w:rPr>
                <w:sz w:val="24"/>
                <w:szCs w:val="24"/>
              </w:rPr>
            </w:pPr>
            <w:r>
              <w:rPr>
                <w:sz w:val="24"/>
                <w:szCs w:val="24"/>
              </w:rPr>
              <w:t>122.7%</w:t>
            </w:r>
          </w:p>
        </w:tc>
        <w:tc>
          <w:p w14:paraId="7CE002CD">
            <w:pPr>
              <w:pStyle w:val="24"/>
              <w:jc w:val="right"/>
              <w:rPr>
                <w:sz w:val="24"/>
                <w:szCs w:val="24"/>
              </w:rPr>
            </w:pPr>
            <w:r>
              <w:rPr>
                <w:sz w:val="24"/>
                <w:szCs w:val="24"/>
              </w:rPr>
              <w:t>63.7%</w:t>
            </w:r>
          </w:p>
        </w:tc>
        <w:tc>
          <w:p w14:paraId="3EA983EC">
            <w:pPr>
              <w:pStyle w:val="24"/>
              <w:jc w:val="right"/>
              <w:rPr>
                <w:sz w:val="24"/>
                <w:szCs w:val="24"/>
              </w:rPr>
            </w:pPr>
            <w:r>
              <w:rPr>
                <w:sz w:val="24"/>
                <w:szCs w:val="24"/>
              </w:rPr>
              <w:t>-48.5%</w:t>
            </w:r>
          </w:p>
        </w:tc>
        <w:tc>
          <w:p w14:paraId="6043E174">
            <w:pPr>
              <w:pStyle w:val="24"/>
              <w:jc w:val="right"/>
              <w:rPr>
                <w:sz w:val="24"/>
                <w:szCs w:val="24"/>
              </w:rPr>
            </w:pPr>
            <w:r>
              <w:rPr>
                <w:sz w:val="24"/>
                <w:szCs w:val="24"/>
              </w:rPr>
              <w:t>1.89</w:t>
            </w:r>
          </w:p>
        </w:tc>
        <w:tc>
          <w:p w14:paraId="1651CD29">
            <w:pPr>
              <w:pStyle w:val="24"/>
              <w:jc w:val="right"/>
              <w:rPr>
                <w:sz w:val="24"/>
                <w:szCs w:val="24"/>
              </w:rPr>
            </w:pPr>
            <w:r>
              <w:rPr>
                <w:sz w:val="24"/>
                <w:szCs w:val="24"/>
              </w:rPr>
              <w:t>2.53</w:t>
            </w:r>
          </w:p>
        </w:tc>
      </w:tr>
      <w:tr w14:paraId="1B8BCA82">
        <w:tc>
          <w:p w14:paraId="4EEBAF3A">
            <w:pPr>
              <w:pStyle w:val="24"/>
              <w:jc w:val="left"/>
              <w:rPr>
                <w:sz w:val="24"/>
                <w:szCs w:val="24"/>
              </w:rPr>
            </w:pPr>
            <w:r>
              <w:rPr>
                <w:rFonts w:hint="eastAsia"/>
                <w:sz w:val="24"/>
                <w:szCs w:val="24"/>
              </w:rPr>
              <w:t>佰维存储（688525.SH）</w:t>
            </w:r>
          </w:p>
        </w:tc>
        <w:tc>
          <w:p w14:paraId="7C117EF5">
            <w:pPr>
              <w:pStyle w:val="24"/>
              <w:jc w:val="right"/>
              <w:rPr>
                <w:sz w:val="24"/>
                <w:szCs w:val="24"/>
              </w:rPr>
            </w:pPr>
            <w:r>
              <w:rPr>
                <w:sz w:val="24"/>
                <w:szCs w:val="24"/>
              </w:rPr>
              <w:t>365.3%</w:t>
            </w:r>
          </w:p>
        </w:tc>
        <w:tc>
          <w:p w14:paraId="684870C2">
            <w:pPr>
              <w:pStyle w:val="24"/>
              <w:jc w:val="right"/>
              <w:rPr>
                <w:sz w:val="24"/>
                <w:szCs w:val="24"/>
              </w:rPr>
            </w:pPr>
            <w:r>
              <w:rPr>
                <w:sz w:val="24"/>
                <w:szCs w:val="24"/>
              </w:rPr>
              <w:t>115.4%</w:t>
            </w:r>
          </w:p>
        </w:tc>
        <w:tc>
          <w:p w14:paraId="0E933C91">
            <w:pPr>
              <w:pStyle w:val="24"/>
              <w:jc w:val="right"/>
              <w:rPr>
                <w:sz w:val="24"/>
                <w:szCs w:val="24"/>
              </w:rPr>
            </w:pPr>
            <w:r>
              <w:rPr>
                <w:sz w:val="24"/>
                <w:szCs w:val="24"/>
              </w:rPr>
              <w:t>74.5%</w:t>
            </w:r>
          </w:p>
        </w:tc>
        <w:tc>
          <w:p w14:paraId="09E99821">
            <w:pPr>
              <w:pStyle w:val="24"/>
              <w:jc w:val="right"/>
              <w:rPr>
                <w:sz w:val="24"/>
                <w:szCs w:val="24"/>
              </w:rPr>
            </w:pPr>
            <w:r>
              <w:rPr>
                <w:sz w:val="24"/>
                <w:szCs w:val="24"/>
              </w:rPr>
              <w:t>-51.9%</w:t>
            </w:r>
          </w:p>
        </w:tc>
        <w:tc>
          <w:p w14:paraId="61DC03E5">
            <w:pPr>
              <w:pStyle w:val="24"/>
              <w:jc w:val="right"/>
              <w:rPr>
                <w:sz w:val="24"/>
                <w:szCs w:val="24"/>
              </w:rPr>
            </w:pPr>
            <w:r>
              <w:rPr>
                <w:sz w:val="24"/>
                <w:szCs w:val="24"/>
              </w:rPr>
              <w:t>1.52</w:t>
            </w:r>
          </w:p>
        </w:tc>
        <w:tc>
          <w:p w14:paraId="4D6AED92">
            <w:pPr>
              <w:pStyle w:val="24"/>
              <w:jc w:val="right"/>
              <w:rPr>
                <w:sz w:val="24"/>
                <w:szCs w:val="24"/>
              </w:rPr>
            </w:pPr>
            <w:r>
              <w:rPr>
                <w:sz w:val="24"/>
                <w:szCs w:val="24"/>
              </w:rPr>
              <w:t>2.22</w:t>
            </w:r>
          </w:p>
        </w:tc>
      </w:tr>
      <w:tr w14:paraId="5D7B5DF4">
        <w:tc>
          <w:p w14:paraId="5ECE16D4">
            <w:pPr>
              <w:pStyle w:val="24"/>
              <w:jc w:val="left"/>
              <w:rPr>
                <w:sz w:val="24"/>
                <w:szCs w:val="24"/>
              </w:rPr>
            </w:pPr>
            <w:r>
              <w:rPr>
                <w:rFonts w:hint="eastAsia"/>
                <w:sz w:val="24"/>
                <w:szCs w:val="24"/>
              </w:rPr>
              <w:t>江波龙（301308.SZ）</w:t>
            </w:r>
          </w:p>
        </w:tc>
        <w:tc>
          <w:p w14:paraId="1A2ABDB0">
            <w:pPr>
              <w:pStyle w:val="24"/>
              <w:jc w:val="right"/>
              <w:rPr>
                <w:sz w:val="24"/>
                <w:szCs w:val="24"/>
              </w:rPr>
            </w:pPr>
            <w:r>
              <w:rPr>
                <w:sz w:val="24"/>
                <w:szCs w:val="24"/>
              </w:rPr>
              <w:t>354.3%</w:t>
            </w:r>
          </w:p>
        </w:tc>
        <w:tc>
          <w:p w14:paraId="29AF9C55">
            <w:pPr>
              <w:pStyle w:val="24"/>
              <w:jc w:val="right"/>
              <w:rPr>
                <w:sz w:val="24"/>
                <w:szCs w:val="24"/>
              </w:rPr>
            </w:pPr>
            <w:r>
              <w:rPr>
                <w:sz w:val="24"/>
                <w:szCs w:val="24"/>
              </w:rPr>
              <w:t>112.8%</w:t>
            </w:r>
          </w:p>
        </w:tc>
        <w:tc>
          <w:p w14:paraId="69042FCB">
            <w:pPr>
              <w:pStyle w:val="24"/>
              <w:jc w:val="right"/>
              <w:rPr>
                <w:sz w:val="24"/>
                <w:szCs w:val="24"/>
              </w:rPr>
            </w:pPr>
            <w:r>
              <w:rPr>
                <w:sz w:val="24"/>
                <w:szCs w:val="24"/>
              </w:rPr>
              <w:t>74.0%</w:t>
            </w:r>
          </w:p>
        </w:tc>
        <w:tc>
          <w:p w14:paraId="7918EB04">
            <w:pPr>
              <w:pStyle w:val="24"/>
              <w:jc w:val="right"/>
              <w:rPr>
                <w:sz w:val="24"/>
                <w:szCs w:val="24"/>
              </w:rPr>
            </w:pPr>
            <w:r>
              <w:rPr>
                <w:sz w:val="24"/>
                <w:szCs w:val="24"/>
              </w:rPr>
              <w:t>-47.9%</w:t>
            </w:r>
          </w:p>
        </w:tc>
        <w:tc>
          <w:p w14:paraId="69621E4A">
            <w:pPr>
              <w:pStyle w:val="24"/>
              <w:jc w:val="right"/>
              <w:rPr>
                <w:sz w:val="24"/>
                <w:szCs w:val="24"/>
              </w:rPr>
            </w:pPr>
            <w:r>
              <w:rPr>
                <w:sz w:val="24"/>
                <w:szCs w:val="24"/>
              </w:rPr>
              <w:t>1.50</w:t>
            </w:r>
          </w:p>
        </w:tc>
        <w:tc>
          <w:p w14:paraId="525BC08C">
            <w:pPr>
              <w:pStyle w:val="24"/>
              <w:jc w:val="right"/>
              <w:rPr>
                <w:sz w:val="24"/>
                <w:szCs w:val="24"/>
              </w:rPr>
            </w:pPr>
            <w:r>
              <w:rPr>
                <w:sz w:val="24"/>
                <w:szCs w:val="24"/>
              </w:rPr>
              <w:t>2.35</w:t>
            </w:r>
          </w:p>
        </w:tc>
      </w:tr>
      <w:tr w14:paraId="151241B5">
        <w:tc>
          <w:p w14:paraId="3084B5D5">
            <w:pPr>
              <w:pStyle w:val="24"/>
              <w:jc w:val="left"/>
              <w:rPr>
                <w:sz w:val="24"/>
                <w:szCs w:val="24"/>
              </w:rPr>
            </w:pPr>
            <w:r>
              <w:rPr>
                <w:rFonts w:hint="eastAsia"/>
                <w:sz w:val="24"/>
                <w:szCs w:val="24"/>
              </w:rPr>
              <w:t>泡泡玛特（09992.HK）</w:t>
            </w:r>
          </w:p>
        </w:tc>
        <w:tc>
          <w:p w14:paraId="7D4792B9">
            <w:pPr>
              <w:pStyle w:val="24"/>
              <w:jc w:val="right"/>
              <w:rPr>
                <w:sz w:val="24"/>
                <w:szCs w:val="24"/>
              </w:rPr>
            </w:pPr>
            <w:r>
              <w:rPr>
                <w:sz w:val="24"/>
                <w:szCs w:val="24"/>
              </w:rPr>
              <w:t>300.9%</w:t>
            </w:r>
          </w:p>
        </w:tc>
        <w:tc>
          <w:p w14:paraId="6D3714BA">
            <w:pPr>
              <w:pStyle w:val="24"/>
              <w:jc w:val="right"/>
              <w:rPr>
                <w:sz w:val="24"/>
                <w:szCs w:val="24"/>
              </w:rPr>
            </w:pPr>
            <w:r>
              <w:rPr>
                <w:sz w:val="24"/>
                <w:szCs w:val="24"/>
              </w:rPr>
              <w:t>99.9%</w:t>
            </w:r>
          </w:p>
        </w:tc>
        <w:tc>
          <w:p w14:paraId="3D4E2B4D">
            <w:pPr>
              <w:pStyle w:val="24"/>
              <w:jc w:val="right"/>
              <w:rPr>
                <w:sz w:val="24"/>
                <w:szCs w:val="24"/>
              </w:rPr>
            </w:pPr>
            <w:r>
              <w:rPr>
                <w:sz w:val="24"/>
                <w:szCs w:val="24"/>
              </w:rPr>
              <w:t>58.5%</w:t>
            </w:r>
          </w:p>
        </w:tc>
        <w:tc>
          <w:p w14:paraId="6E215D8B">
            <w:pPr>
              <w:pStyle w:val="24"/>
              <w:jc w:val="right"/>
              <w:rPr>
                <w:sz w:val="24"/>
                <w:szCs w:val="24"/>
              </w:rPr>
            </w:pPr>
            <w:r>
              <w:rPr>
                <w:sz w:val="24"/>
                <w:szCs w:val="24"/>
              </w:rPr>
              <w:t>-57.7%</w:t>
            </w:r>
          </w:p>
        </w:tc>
        <w:tc>
          <w:p w14:paraId="512560DD">
            <w:pPr>
              <w:pStyle w:val="24"/>
              <w:jc w:val="right"/>
              <w:rPr>
                <w:sz w:val="24"/>
                <w:szCs w:val="24"/>
              </w:rPr>
            </w:pPr>
            <w:r>
              <w:rPr>
                <w:sz w:val="24"/>
                <w:szCs w:val="24"/>
              </w:rPr>
              <w:t>1.67</w:t>
            </w:r>
          </w:p>
        </w:tc>
        <w:tc>
          <w:p w14:paraId="517C7CA7">
            <w:pPr>
              <w:pStyle w:val="24"/>
              <w:jc w:val="right"/>
              <w:rPr>
                <w:sz w:val="24"/>
                <w:szCs w:val="24"/>
              </w:rPr>
            </w:pPr>
            <w:r>
              <w:rPr>
                <w:sz w:val="24"/>
                <w:szCs w:val="24"/>
              </w:rPr>
              <w:t>1.73</w:t>
            </w:r>
          </w:p>
        </w:tc>
      </w:tr>
      <w:tr w14:paraId="14C1BE67">
        <w:tc>
          <w:p w14:paraId="5FA17215">
            <w:pPr>
              <w:pStyle w:val="24"/>
              <w:jc w:val="left"/>
              <w:rPr>
                <w:sz w:val="24"/>
                <w:szCs w:val="24"/>
              </w:rPr>
            </w:pPr>
            <w:r>
              <w:rPr>
                <w:rFonts w:hint="eastAsia"/>
                <w:sz w:val="24"/>
                <w:szCs w:val="24"/>
              </w:rPr>
              <w:t>澜起科技（688008.SH）</w:t>
            </w:r>
          </w:p>
        </w:tc>
        <w:tc>
          <w:p w14:paraId="77DD4967">
            <w:pPr>
              <w:pStyle w:val="24"/>
              <w:jc w:val="right"/>
              <w:rPr>
                <w:sz w:val="24"/>
                <w:szCs w:val="24"/>
              </w:rPr>
            </w:pPr>
            <w:r>
              <w:rPr>
                <w:sz w:val="24"/>
                <w:szCs w:val="24"/>
              </w:rPr>
              <w:t>250.8%</w:t>
            </w:r>
          </w:p>
        </w:tc>
        <w:tc>
          <w:p w14:paraId="3849F078">
            <w:pPr>
              <w:pStyle w:val="24"/>
              <w:jc w:val="right"/>
              <w:rPr>
                <w:sz w:val="24"/>
                <w:szCs w:val="24"/>
              </w:rPr>
            </w:pPr>
            <w:r>
              <w:rPr>
                <w:sz w:val="24"/>
                <w:szCs w:val="24"/>
              </w:rPr>
              <w:t>87.0%</w:t>
            </w:r>
          </w:p>
        </w:tc>
        <w:tc>
          <w:p w14:paraId="717BF53B">
            <w:pPr>
              <w:pStyle w:val="24"/>
              <w:jc w:val="right"/>
              <w:rPr>
                <w:sz w:val="24"/>
                <w:szCs w:val="24"/>
              </w:rPr>
            </w:pPr>
            <w:r>
              <w:rPr>
                <w:sz w:val="24"/>
                <w:szCs w:val="24"/>
              </w:rPr>
              <w:t>65.2%</w:t>
            </w:r>
          </w:p>
        </w:tc>
        <w:tc>
          <w:p w14:paraId="63040585">
            <w:pPr>
              <w:pStyle w:val="24"/>
              <w:jc w:val="right"/>
              <w:rPr>
                <w:sz w:val="24"/>
                <w:szCs w:val="24"/>
              </w:rPr>
            </w:pPr>
            <w:r>
              <w:rPr>
                <w:sz w:val="24"/>
                <w:szCs w:val="24"/>
              </w:rPr>
              <w:t>-41.9%</w:t>
            </w:r>
          </w:p>
        </w:tc>
        <w:tc>
          <w:p w14:paraId="0BDF78B4">
            <w:pPr>
              <w:pStyle w:val="24"/>
              <w:jc w:val="right"/>
              <w:rPr>
                <w:sz w:val="24"/>
                <w:szCs w:val="24"/>
              </w:rPr>
            </w:pPr>
            <w:r>
              <w:rPr>
                <w:sz w:val="24"/>
                <w:szCs w:val="24"/>
              </w:rPr>
              <w:t>1.30</w:t>
            </w:r>
          </w:p>
        </w:tc>
        <w:tc>
          <w:p w14:paraId="65E015E9">
            <w:pPr>
              <w:pStyle w:val="24"/>
              <w:jc w:val="right"/>
              <w:rPr>
                <w:sz w:val="24"/>
                <w:szCs w:val="24"/>
              </w:rPr>
            </w:pPr>
            <w:r>
              <w:rPr>
                <w:sz w:val="24"/>
                <w:szCs w:val="24"/>
              </w:rPr>
              <w:t>2.08</w:t>
            </w:r>
          </w:p>
        </w:tc>
      </w:tr>
      <w:tr w14:paraId="3A6E6ABB">
        <w:tc>
          <w:p w14:paraId="6D402FE6">
            <w:pPr>
              <w:pStyle w:val="24"/>
              <w:jc w:val="left"/>
              <w:rPr>
                <w:sz w:val="24"/>
                <w:szCs w:val="24"/>
              </w:rPr>
            </w:pPr>
            <w:r>
              <w:rPr>
                <w:rFonts w:hint="eastAsia"/>
                <w:sz w:val="24"/>
                <w:szCs w:val="24"/>
              </w:rPr>
              <w:t>百济神州（688235.SH）</w:t>
            </w:r>
          </w:p>
        </w:tc>
        <w:tc>
          <w:p w14:paraId="63D386B5">
            <w:pPr>
              <w:pStyle w:val="24"/>
              <w:jc w:val="right"/>
              <w:rPr>
                <w:sz w:val="24"/>
                <w:szCs w:val="24"/>
              </w:rPr>
            </w:pPr>
            <w:r>
              <w:rPr>
                <w:sz w:val="24"/>
                <w:szCs w:val="24"/>
              </w:rPr>
              <w:t>114.4%</w:t>
            </w:r>
          </w:p>
        </w:tc>
        <w:tc>
          <w:p w14:paraId="680C8A9C">
            <w:pPr>
              <w:pStyle w:val="24"/>
              <w:jc w:val="right"/>
              <w:rPr>
                <w:sz w:val="24"/>
                <w:szCs w:val="24"/>
              </w:rPr>
            </w:pPr>
            <w:r>
              <w:rPr>
                <w:sz w:val="24"/>
                <w:szCs w:val="24"/>
              </w:rPr>
              <w:t>46.3%</w:t>
            </w:r>
          </w:p>
        </w:tc>
        <w:tc>
          <w:p w14:paraId="55B2FBB5">
            <w:pPr>
              <w:pStyle w:val="24"/>
              <w:jc w:val="right"/>
              <w:rPr>
                <w:sz w:val="24"/>
                <w:szCs w:val="24"/>
              </w:rPr>
            </w:pPr>
            <w:r>
              <w:rPr>
                <w:sz w:val="24"/>
                <w:szCs w:val="24"/>
              </w:rPr>
              <w:t>49.5%</w:t>
            </w:r>
          </w:p>
        </w:tc>
        <w:tc>
          <w:p w14:paraId="52B9DE86">
            <w:pPr>
              <w:pStyle w:val="24"/>
              <w:jc w:val="right"/>
              <w:rPr>
                <w:sz w:val="24"/>
                <w:szCs w:val="24"/>
              </w:rPr>
            </w:pPr>
            <w:r>
              <w:rPr>
                <w:sz w:val="24"/>
                <w:szCs w:val="24"/>
              </w:rPr>
              <w:t>-36.2%</w:t>
            </w:r>
          </w:p>
        </w:tc>
        <w:tc>
          <w:p w14:paraId="5874FE86">
            <w:pPr>
              <w:pStyle w:val="24"/>
              <w:jc w:val="right"/>
              <w:rPr>
                <w:sz w:val="24"/>
                <w:szCs w:val="24"/>
              </w:rPr>
            </w:pPr>
            <w:r>
              <w:rPr>
                <w:sz w:val="24"/>
                <w:szCs w:val="24"/>
              </w:rPr>
              <w:t>0.89</w:t>
            </w:r>
          </w:p>
        </w:tc>
        <w:tc>
          <w:p w14:paraId="1B9AE9F8">
            <w:pPr>
              <w:pStyle w:val="24"/>
              <w:jc w:val="right"/>
              <w:rPr>
                <w:sz w:val="24"/>
                <w:szCs w:val="24"/>
              </w:rPr>
            </w:pPr>
            <w:r>
              <w:rPr>
                <w:sz w:val="24"/>
                <w:szCs w:val="24"/>
              </w:rPr>
              <w:t>1.28</w:t>
            </w:r>
          </w:p>
        </w:tc>
      </w:tr>
      <w:tr w14:paraId="0217AE7B">
        <w:tc>
          <w:p w14:paraId="7B222D1F">
            <w:pPr>
              <w:pStyle w:val="24"/>
              <w:jc w:val="left"/>
              <w:rPr>
                <w:sz w:val="24"/>
                <w:szCs w:val="24"/>
              </w:rPr>
            </w:pPr>
            <w:r>
              <w:rPr>
                <w:rFonts w:hint="eastAsia"/>
                <w:sz w:val="24"/>
                <w:szCs w:val="24"/>
              </w:rPr>
              <w:t>科伦药业（002422.SZ）</w:t>
            </w:r>
          </w:p>
        </w:tc>
        <w:tc>
          <w:p w14:paraId="45FDD2D8">
            <w:pPr>
              <w:pStyle w:val="24"/>
              <w:jc w:val="right"/>
              <w:rPr>
                <w:sz w:val="24"/>
                <w:szCs w:val="24"/>
              </w:rPr>
            </w:pPr>
            <w:r>
              <w:rPr>
                <w:sz w:val="24"/>
                <w:szCs w:val="24"/>
              </w:rPr>
              <w:t>53.7%</w:t>
            </w:r>
          </w:p>
        </w:tc>
        <w:tc>
          <w:p w14:paraId="33F63343">
            <w:pPr>
              <w:pStyle w:val="24"/>
              <w:jc w:val="right"/>
              <w:rPr>
                <w:sz w:val="24"/>
                <w:szCs w:val="24"/>
              </w:rPr>
            </w:pPr>
            <w:r>
              <w:rPr>
                <w:sz w:val="24"/>
                <w:szCs w:val="24"/>
              </w:rPr>
              <w:t>23.9%</w:t>
            </w:r>
          </w:p>
        </w:tc>
        <w:tc>
          <w:p w14:paraId="12CDD75D">
            <w:pPr>
              <w:pStyle w:val="24"/>
              <w:jc w:val="right"/>
              <w:rPr>
                <w:sz w:val="24"/>
                <w:szCs w:val="24"/>
              </w:rPr>
            </w:pPr>
            <w:r>
              <w:rPr>
                <w:sz w:val="24"/>
                <w:szCs w:val="24"/>
              </w:rPr>
              <w:t>43.2%</w:t>
            </w:r>
          </w:p>
        </w:tc>
        <w:tc>
          <w:p w14:paraId="3086BD08">
            <w:pPr>
              <w:pStyle w:val="24"/>
              <w:jc w:val="right"/>
              <w:rPr>
                <w:sz w:val="24"/>
                <w:szCs w:val="24"/>
              </w:rPr>
            </w:pPr>
            <w:r>
              <w:rPr>
                <w:sz w:val="24"/>
                <w:szCs w:val="24"/>
              </w:rPr>
              <w:t>-28.9%</w:t>
            </w:r>
          </w:p>
        </w:tc>
        <w:tc>
          <w:p w14:paraId="583916F0">
            <w:pPr>
              <w:pStyle w:val="24"/>
              <w:jc w:val="right"/>
              <w:rPr>
                <w:sz w:val="24"/>
                <w:szCs w:val="24"/>
              </w:rPr>
            </w:pPr>
            <w:r>
              <w:rPr>
                <w:sz w:val="24"/>
                <w:szCs w:val="24"/>
              </w:rPr>
              <w:t>0.51</w:t>
            </w:r>
          </w:p>
        </w:tc>
        <w:tc>
          <w:p w14:paraId="6E0DDCBD">
            <w:pPr>
              <w:pStyle w:val="24"/>
              <w:jc w:val="right"/>
              <w:rPr>
                <w:sz w:val="24"/>
                <w:szCs w:val="24"/>
              </w:rPr>
            </w:pPr>
            <w:r>
              <w:rPr>
                <w:sz w:val="24"/>
                <w:szCs w:val="24"/>
              </w:rPr>
              <w:t>0.83</w:t>
            </w:r>
          </w:p>
        </w:tc>
      </w:tr>
      <w:tr w14:paraId="115BCFBE">
        <w:tc>
          <w:p w14:paraId="70C6819B">
            <w:pPr>
              <w:pStyle w:val="24"/>
              <w:jc w:val="left"/>
              <w:rPr>
                <w:sz w:val="24"/>
                <w:szCs w:val="24"/>
              </w:rPr>
            </w:pPr>
            <w:r>
              <w:rPr>
                <w:rFonts w:hint="eastAsia"/>
                <w:sz w:val="24"/>
                <w:szCs w:val="24"/>
              </w:rPr>
              <w:t>美的集团（000333.SZ）</w:t>
            </w:r>
          </w:p>
        </w:tc>
        <w:tc>
          <w:p w14:paraId="70C96F14">
            <w:pPr>
              <w:pStyle w:val="24"/>
              <w:jc w:val="right"/>
              <w:rPr>
                <w:sz w:val="24"/>
                <w:szCs w:val="24"/>
              </w:rPr>
            </w:pPr>
            <w:r>
              <w:rPr>
                <w:sz w:val="24"/>
                <w:szCs w:val="24"/>
              </w:rPr>
              <w:t>46.7%</w:t>
            </w:r>
          </w:p>
        </w:tc>
        <w:tc>
          <w:p w14:paraId="750E716D">
            <w:pPr>
              <w:pStyle w:val="24"/>
              <w:jc w:val="right"/>
              <w:rPr>
                <w:sz w:val="24"/>
                <w:szCs w:val="24"/>
              </w:rPr>
            </w:pPr>
            <w:r>
              <w:rPr>
                <w:sz w:val="24"/>
                <w:szCs w:val="24"/>
              </w:rPr>
              <w:t>21.1%</w:t>
            </w:r>
          </w:p>
        </w:tc>
        <w:tc>
          <w:p w14:paraId="10883965">
            <w:pPr>
              <w:pStyle w:val="24"/>
              <w:jc w:val="right"/>
              <w:rPr>
                <w:sz w:val="24"/>
                <w:szCs w:val="24"/>
              </w:rPr>
            </w:pPr>
            <w:r>
              <w:rPr>
                <w:sz w:val="24"/>
                <w:szCs w:val="24"/>
              </w:rPr>
              <w:t>23.6%</w:t>
            </w:r>
          </w:p>
        </w:tc>
        <w:tc>
          <w:p w14:paraId="5CFFE9F2">
            <w:pPr>
              <w:pStyle w:val="24"/>
              <w:jc w:val="right"/>
              <w:rPr>
                <w:sz w:val="24"/>
                <w:szCs w:val="24"/>
              </w:rPr>
            </w:pPr>
            <w:r>
              <w:rPr>
                <w:sz w:val="24"/>
                <w:szCs w:val="24"/>
              </w:rPr>
              <w:t>-16.2%</w:t>
            </w:r>
          </w:p>
        </w:tc>
        <w:tc>
          <w:p w14:paraId="48F287DF">
            <w:pPr>
              <w:pStyle w:val="24"/>
              <w:jc w:val="right"/>
              <w:rPr>
                <w:sz w:val="24"/>
                <w:szCs w:val="24"/>
              </w:rPr>
            </w:pPr>
            <w:r>
              <w:rPr>
                <w:sz w:val="24"/>
                <w:szCs w:val="24"/>
              </w:rPr>
              <w:t>0.81</w:t>
            </w:r>
          </w:p>
        </w:tc>
        <w:tc>
          <w:p w14:paraId="024DD655">
            <w:pPr>
              <w:pStyle w:val="24"/>
              <w:jc w:val="right"/>
              <w:rPr>
                <w:sz w:val="24"/>
                <w:szCs w:val="24"/>
              </w:rPr>
            </w:pPr>
            <w:r>
              <w:rPr>
                <w:sz w:val="24"/>
                <w:szCs w:val="24"/>
              </w:rPr>
              <w:t>1.30</w:t>
            </w:r>
          </w:p>
        </w:tc>
      </w:tr>
      <w:tr w14:paraId="0E2A8629">
        <w:tc>
          <w:p w14:paraId="214A2C8F">
            <w:pPr>
              <w:pStyle w:val="24"/>
              <w:jc w:val="left"/>
              <w:rPr>
                <w:sz w:val="24"/>
                <w:szCs w:val="24"/>
              </w:rPr>
            </w:pPr>
            <w:r>
              <w:rPr>
                <w:rFonts w:hint="eastAsia"/>
                <w:sz w:val="24"/>
                <w:szCs w:val="24"/>
              </w:rPr>
              <w:t>腾讯控股（00700.HK）</w:t>
            </w:r>
          </w:p>
        </w:tc>
        <w:tc>
          <w:p w14:paraId="63FA3086">
            <w:pPr>
              <w:pStyle w:val="24"/>
              <w:jc w:val="right"/>
              <w:rPr>
                <w:sz w:val="24"/>
                <w:szCs w:val="24"/>
              </w:rPr>
            </w:pPr>
            <w:r>
              <w:rPr>
                <w:sz w:val="24"/>
                <w:szCs w:val="24"/>
              </w:rPr>
              <w:t>32.9%</w:t>
            </w:r>
          </w:p>
        </w:tc>
        <w:tc>
          <w:p w14:paraId="272132F2">
            <w:pPr>
              <w:pStyle w:val="24"/>
              <w:jc w:val="right"/>
              <w:rPr>
                <w:sz w:val="24"/>
                <w:szCs w:val="24"/>
              </w:rPr>
            </w:pPr>
            <w:r>
              <w:rPr>
                <w:sz w:val="24"/>
                <w:szCs w:val="24"/>
              </w:rPr>
              <w:t>15.2%</w:t>
            </w:r>
          </w:p>
        </w:tc>
        <w:tc>
          <w:p w14:paraId="7AC62991">
            <w:pPr>
              <w:pStyle w:val="24"/>
              <w:jc w:val="right"/>
              <w:rPr>
                <w:sz w:val="24"/>
                <w:szCs w:val="24"/>
              </w:rPr>
            </w:pPr>
            <w:r>
              <w:rPr>
                <w:sz w:val="24"/>
                <w:szCs w:val="24"/>
              </w:rPr>
              <w:t>32.9%</w:t>
            </w:r>
          </w:p>
        </w:tc>
        <w:tc>
          <w:p w14:paraId="13B6E022">
            <w:pPr>
              <w:pStyle w:val="24"/>
              <w:jc w:val="right"/>
              <w:rPr>
                <w:sz w:val="24"/>
                <w:szCs w:val="24"/>
              </w:rPr>
            </w:pPr>
            <w:r>
              <w:rPr>
                <w:sz w:val="24"/>
                <w:szCs w:val="24"/>
              </w:rPr>
              <w:t>-38.5%</w:t>
            </w:r>
          </w:p>
        </w:tc>
        <w:tc>
          <w:p w14:paraId="222F99C6">
            <w:pPr>
              <w:pStyle w:val="24"/>
              <w:jc w:val="right"/>
              <w:rPr>
                <w:sz w:val="24"/>
                <w:szCs w:val="24"/>
              </w:rPr>
            </w:pPr>
            <w:r>
              <w:rPr>
                <w:sz w:val="24"/>
                <w:szCs w:val="24"/>
              </w:rPr>
              <w:t>0.40</w:t>
            </w:r>
          </w:p>
        </w:tc>
        <w:tc>
          <w:p w14:paraId="663D10C5">
            <w:pPr>
              <w:pStyle w:val="24"/>
              <w:jc w:val="right"/>
              <w:rPr>
                <w:sz w:val="24"/>
                <w:szCs w:val="24"/>
              </w:rPr>
            </w:pPr>
            <w:r>
              <w:rPr>
                <w:sz w:val="24"/>
                <w:szCs w:val="24"/>
              </w:rPr>
              <w:t>0.40</w:t>
            </w:r>
          </w:p>
        </w:tc>
      </w:tr>
      <w:tr w14:paraId="0055E5C5">
        <w:tc>
          <w:p w14:paraId="33E4B477">
            <w:pPr>
              <w:pStyle w:val="24"/>
              <w:jc w:val="left"/>
              <w:rPr>
                <w:sz w:val="24"/>
                <w:szCs w:val="24"/>
              </w:rPr>
            </w:pPr>
            <w:r>
              <w:rPr>
                <w:rFonts w:hint="eastAsia"/>
                <w:sz w:val="24"/>
                <w:szCs w:val="24"/>
              </w:rPr>
              <w:t>恒瑞医药（600276.SH）</w:t>
            </w:r>
          </w:p>
        </w:tc>
        <w:tc>
          <w:p w14:paraId="7124C99B">
            <w:pPr>
              <w:pStyle w:val="24"/>
              <w:jc w:val="right"/>
              <w:rPr>
                <w:sz w:val="24"/>
                <w:szCs w:val="24"/>
              </w:rPr>
            </w:pPr>
            <w:r>
              <w:rPr>
                <w:sz w:val="24"/>
                <w:szCs w:val="24"/>
              </w:rPr>
              <w:t>31.1%</w:t>
            </w:r>
          </w:p>
        </w:tc>
        <w:tc>
          <w:p w14:paraId="693AD9DB">
            <w:pPr>
              <w:pStyle w:val="24"/>
              <w:jc w:val="right"/>
              <w:rPr>
                <w:sz w:val="24"/>
                <w:szCs w:val="24"/>
              </w:rPr>
            </w:pPr>
            <w:r>
              <w:rPr>
                <w:sz w:val="24"/>
                <w:szCs w:val="24"/>
              </w:rPr>
              <w:t>14.5%</w:t>
            </w:r>
          </w:p>
        </w:tc>
        <w:tc>
          <w:p w14:paraId="0881EF2B">
            <w:pPr>
              <w:pStyle w:val="24"/>
              <w:jc w:val="right"/>
              <w:rPr>
                <w:sz w:val="24"/>
                <w:szCs w:val="24"/>
              </w:rPr>
            </w:pPr>
            <w:r>
              <w:rPr>
                <w:sz w:val="24"/>
                <w:szCs w:val="24"/>
              </w:rPr>
              <w:t>33.9%</w:t>
            </w:r>
          </w:p>
        </w:tc>
        <w:tc>
          <w:p w14:paraId="3CC22ED9">
            <w:pPr>
              <w:pStyle w:val="24"/>
              <w:jc w:val="right"/>
              <w:rPr>
                <w:sz w:val="24"/>
                <w:szCs w:val="24"/>
              </w:rPr>
            </w:pPr>
            <w:r>
              <w:rPr>
                <w:sz w:val="24"/>
                <w:szCs w:val="24"/>
              </w:rPr>
              <w:t>-36.3%</w:t>
            </w:r>
          </w:p>
        </w:tc>
        <w:tc>
          <w:p w14:paraId="2A1E48A0">
            <w:pPr>
              <w:pStyle w:val="24"/>
              <w:jc w:val="right"/>
              <w:rPr>
                <w:sz w:val="24"/>
                <w:szCs w:val="24"/>
              </w:rPr>
            </w:pPr>
            <w:r>
              <w:rPr>
                <w:sz w:val="24"/>
                <w:szCs w:val="24"/>
              </w:rPr>
              <w:t>0.37</w:t>
            </w:r>
          </w:p>
        </w:tc>
        <w:tc>
          <w:p w14:paraId="31F807EA">
            <w:pPr>
              <w:pStyle w:val="24"/>
              <w:jc w:val="right"/>
              <w:rPr>
                <w:sz w:val="24"/>
                <w:szCs w:val="24"/>
              </w:rPr>
            </w:pPr>
            <w:r>
              <w:rPr>
                <w:sz w:val="24"/>
                <w:szCs w:val="24"/>
              </w:rPr>
              <w:t>0.40</w:t>
            </w:r>
          </w:p>
        </w:tc>
      </w:tr>
      <w:tr w14:paraId="5FF881F6">
        <w:tc>
          <w:p w14:paraId="34D92803">
            <w:pPr>
              <w:pStyle w:val="24"/>
              <w:jc w:val="left"/>
              <w:rPr>
                <w:sz w:val="24"/>
                <w:szCs w:val="24"/>
              </w:rPr>
            </w:pPr>
            <w:r>
              <w:rPr>
                <w:rFonts w:hint="eastAsia"/>
                <w:sz w:val="24"/>
                <w:szCs w:val="24"/>
              </w:rPr>
              <w:t>达仁堂（600329.SH）</w:t>
            </w:r>
          </w:p>
        </w:tc>
        <w:tc>
          <w:p w14:paraId="16DD1E8A">
            <w:pPr>
              <w:pStyle w:val="24"/>
              <w:jc w:val="right"/>
              <w:rPr>
                <w:sz w:val="24"/>
                <w:szCs w:val="24"/>
              </w:rPr>
            </w:pPr>
            <w:r>
              <w:rPr>
                <w:sz w:val="24"/>
                <w:szCs w:val="24"/>
              </w:rPr>
              <w:t>29.8%</w:t>
            </w:r>
          </w:p>
        </w:tc>
        <w:tc>
          <w:p w14:paraId="16563761">
            <w:pPr>
              <w:pStyle w:val="24"/>
              <w:jc w:val="right"/>
              <w:rPr>
                <w:sz w:val="24"/>
                <w:szCs w:val="24"/>
              </w:rPr>
            </w:pPr>
            <w:r>
              <w:rPr>
                <w:sz w:val="24"/>
                <w:szCs w:val="24"/>
              </w:rPr>
              <w:t>13.9%</w:t>
            </w:r>
          </w:p>
        </w:tc>
        <w:tc>
          <w:p w14:paraId="3CE3004A">
            <w:pPr>
              <w:pStyle w:val="24"/>
              <w:jc w:val="right"/>
              <w:rPr>
                <w:sz w:val="24"/>
                <w:szCs w:val="24"/>
              </w:rPr>
            </w:pPr>
            <w:r>
              <w:rPr>
                <w:sz w:val="24"/>
                <w:szCs w:val="24"/>
              </w:rPr>
              <w:t>32.5%</w:t>
            </w:r>
          </w:p>
        </w:tc>
        <w:tc>
          <w:p w14:paraId="0945A192">
            <w:pPr>
              <w:pStyle w:val="24"/>
              <w:jc w:val="right"/>
              <w:rPr>
                <w:sz w:val="24"/>
                <w:szCs w:val="24"/>
              </w:rPr>
            </w:pPr>
            <w:r>
              <w:rPr>
                <w:sz w:val="24"/>
                <w:szCs w:val="24"/>
              </w:rPr>
              <w:t>-25.2%</w:t>
            </w:r>
          </w:p>
        </w:tc>
        <w:tc>
          <w:p w14:paraId="2318E76A">
            <w:pPr>
              <w:pStyle w:val="24"/>
              <w:jc w:val="right"/>
              <w:rPr>
                <w:sz w:val="24"/>
                <w:szCs w:val="24"/>
              </w:rPr>
            </w:pPr>
            <w:r>
              <w:rPr>
                <w:sz w:val="24"/>
                <w:szCs w:val="24"/>
              </w:rPr>
              <w:t>0.37</w:t>
            </w:r>
          </w:p>
        </w:tc>
        <w:tc>
          <w:p w14:paraId="177832EF">
            <w:pPr>
              <w:pStyle w:val="24"/>
              <w:jc w:val="right"/>
              <w:rPr>
                <w:sz w:val="24"/>
                <w:szCs w:val="24"/>
              </w:rPr>
            </w:pPr>
            <w:r>
              <w:rPr>
                <w:sz w:val="24"/>
                <w:szCs w:val="24"/>
              </w:rPr>
              <w:t>0.55</w:t>
            </w:r>
          </w:p>
        </w:tc>
      </w:tr>
      <w:tr w14:paraId="5140A371">
        <w:tc>
          <w:p w14:paraId="0A9B2A60">
            <w:pPr>
              <w:pStyle w:val="24"/>
              <w:jc w:val="left"/>
              <w:rPr>
                <w:sz w:val="24"/>
                <w:szCs w:val="24"/>
              </w:rPr>
            </w:pPr>
            <w:r>
              <w:rPr>
                <w:rFonts w:hint="eastAsia"/>
                <w:sz w:val="24"/>
                <w:szCs w:val="24"/>
              </w:rPr>
              <w:t>奇正藏药（002287.SZ）</w:t>
            </w:r>
          </w:p>
        </w:tc>
        <w:tc>
          <w:p w14:paraId="08BF7591">
            <w:pPr>
              <w:pStyle w:val="24"/>
              <w:jc w:val="right"/>
              <w:rPr>
                <w:sz w:val="24"/>
                <w:szCs w:val="24"/>
              </w:rPr>
            </w:pPr>
            <w:r>
              <w:rPr>
                <w:sz w:val="24"/>
                <w:szCs w:val="24"/>
              </w:rPr>
              <w:t>15.0%</w:t>
            </w:r>
          </w:p>
        </w:tc>
        <w:tc>
          <w:p w14:paraId="7F5641E2">
            <w:pPr>
              <w:pStyle w:val="24"/>
              <w:jc w:val="right"/>
              <w:rPr>
                <w:sz w:val="24"/>
                <w:szCs w:val="24"/>
              </w:rPr>
            </w:pPr>
            <w:r>
              <w:rPr>
                <w:sz w:val="24"/>
                <w:szCs w:val="24"/>
              </w:rPr>
              <w:t>7.2%</w:t>
            </w:r>
          </w:p>
        </w:tc>
        <w:tc>
          <w:p w14:paraId="1D8322C3">
            <w:pPr>
              <w:pStyle w:val="24"/>
              <w:jc w:val="right"/>
              <w:rPr>
                <w:sz w:val="24"/>
                <w:szCs w:val="24"/>
              </w:rPr>
            </w:pPr>
            <w:r>
              <w:rPr>
                <w:sz w:val="24"/>
                <w:szCs w:val="24"/>
              </w:rPr>
              <w:t>33.3%</w:t>
            </w:r>
          </w:p>
        </w:tc>
        <w:tc>
          <w:p w14:paraId="107DE492">
            <w:pPr>
              <w:pStyle w:val="24"/>
              <w:jc w:val="right"/>
              <w:rPr>
                <w:sz w:val="24"/>
                <w:szCs w:val="24"/>
              </w:rPr>
            </w:pPr>
            <w:r>
              <w:rPr>
                <w:sz w:val="24"/>
                <w:szCs w:val="24"/>
              </w:rPr>
              <w:t>-46.5%</w:t>
            </w:r>
          </w:p>
        </w:tc>
        <w:tc>
          <w:p w14:paraId="282C3202">
            <w:pPr>
              <w:pStyle w:val="24"/>
              <w:jc w:val="right"/>
              <w:rPr>
                <w:sz w:val="24"/>
                <w:szCs w:val="24"/>
              </w:rPr>
            </w:pPr>
            <w:r>
              <w:rPr>
                <w:sz w:val="24"/>
                <w:szCs w:val="24"/>
              </w:rPr>
              <w:t>0.16</w:t>
            </w:r>
          </w:p>
        </w:tc>
        <w:tc>
          <w:p w14:paraId="10C420DB">
            <w:pPr>
              <w:pStyle w:val="24"/>
              <w:jc w:val="right"/>
              <w:rPr>
                <w:sz w:val="24"/>
                <w:szCs w:val="24"/>
              </w:rPr>
            </w:pPr>
            <w:r>
              <w:rPr>
                <w:sz w:val="24"/>
                <w:szCs w:val="24"/>
              </w:rPr>
              <w:t>0.16</w:t>
            </w:r>
          </w:p>
        </w:tc>
      </w:tr>
      <w:tr w14:paraId="69946DB7">
        <w:tc>
          <w:p w14:paraId="2597BEBD">
            <w:pPr>
              <w:pStyle w:val="24"/>
              <w:jc w:val="left"/>
              <w:rPr>
                <w:sz w:val="24"/>
                <w:szCs w:val="24"/>
              </w:rPr>
            </w:pPr>
            <w:r>
              <w:rPr>
                <w:rFonts w:hint="eastAsia"/>
                <w:sz w:val="24"/>
                <w:szCs w:val="24"/>
              </w:rPr>
              <w:t>红利ETF（515100.SH）</w:t>
            </w:r>
          </w:p>
        </w:tc>
        <w:tc>
          <w:p w14:paraId="480147C8">
            <w:pPr>
              <w:pStyle w:val="24"/>
              <w:jc w:val="right"/>
              <w:rPr>
                <w:sz w:val="24"/>
                <w:szCs w:val="24"/>
              </w:rPr>
            </w:pPr>
            <w:r>
              <w:rPr>
                <w:sz w:val="24"/>
                <w:szCs w:val="24"/>
              </w:rPr>
              <w:t>14.0%</w:t>
            </w:r>
          </w:p>
        </w:tc>
        <w:tc>
          <w:p w14:paraId="2798CABA">
            <w:pPr>
              <w:pStyle w:val="24"/>
              <w:jc w:val="right"/>
              <w:rPr>
                <w:sz w:val="24"/>
                <w:szCs w:val="24"/>
              </w:rPr>
            </w:pPr>
            <w:r>
              <w:rPr>
                <w:sz w:val="24"/>
                <w:szCs w:val="24"/>
              </w:rPr>
              <w:t>6.7%</w:t>
            </w:r>
          </w:p>
        </w:tc>
        <w:tc>
          <w:p w14:paraId="13B2B12C">
            <w:pPr>
              <w:pStyle w:val="24"/>
              <w:jc w:val="right"/>
              <w:rPr>
                <w:sz w:val="24"/>
                <w:szCs w:val="24"/>
              </w:rPr>
            </w:pPr>
            <w:r>
              <w:rPr>
                <w:sz w:val="24"/>
                <w:szCs w:val="24"/>
              </w:rPr>
              <w:t>15.5%</w:t>
            </w:r>
          </w:p>
        </w:tc>
        <w:tc>
          <w:p w14:paraId="2FB9DFD7">
            <w:pPr>
              <w:pStyle w:val="24"/>
              <w:jc w:val="right"/>
              <w:rPr>
                <w:sz w:val="24"/>
                <w:szCs w:val="24"/>
              </w:rPr>
            </w:pPr>
            <w:r>
              <w:rPr>
                <w:sz w:val="24"/>
                <w:szCs w:val="24"/>
              </w:rPr>
              <w:t>-13.6%</w:t>
            </w:r>
          </w:p>
        </w:tc>
        <w:tc>
          <w:p w14:paraId="761EFAD6">
            <w:pPr>
              <w:pStyle w:val="24"/>
              <w:jc w:val="right"/>
              <w:rPr>
                <w:sz w:val="24"/>
                <w:szCs w:val="24"/>
              </w:rPr>
            </w:pPr>
            <w:r>
              <w:rPr>
                <w:sz w:val="24"/>
                <w:szCs w:val="24"/>
              </w:rPr>
              <w:t>0.31</w:t>
            </w:r>
          </w:p>
        </w:tc>
        <w:tc>
          <w:p w14:paraId="54EC3E5E">
            <w:pPr>
              <w:pStyle w:val="24"/>
              <w:jc w:val="right"/>
              <w:rPr>
                <w:sz w:val="24"/>
                <w:szCs w:val="24"/>
              </w:rPr>
            </w:pPr>
            <w:r>
              <w:rPr>
                <w:sz w:val="24"/>
                <w:szCs w:val="24"/>
              </w:rPr>
              <w:t>0.49</w:t>
            </w:r>
          </w:p>
        </w:tc>
      </w:tr>
      <w:tr w14:paraId="2E94AD6B">
        <w:tc>
          <w:p w14:paraId="1B91ABEC">
            <w:pPr>
              <w:pStyle w:val="24"/>
              <w:jc w:val="left"/>
              <w:rPr>
                <w:sz w:val="24"/>
                <w:szCs w:val="24"/>
              </w:rPr>
            </w:pPr>
            <w:r>
              <w:rPr>
                <w:rFonts w:hint="eastAsia"/>
                <w:sz w:val="24"/>
                <w:szCs w:val="24"/>
              </w:rPr>
              <w:t>伊利股份（600887.SH）</w:t>
            </w:r>
          </w:p>
        </w:tc>
        <w:tc>
          <w:p w14:paraId="77640EC5">
            <w:pPr>
              <w:pStyle w:val="24"/>
              <w:jc w:val="right"/>
              <w:rPr>
                <w:sz w:val="24"/>
                <w:szCs w:val="24"/>
              </w:rPr>
            </w:pPr>
            <w:r>
              <w:rPr>
                <w:sz w:val="24"/>
                <w:szCs w:val="24"/>
              </w:rPr>
              <w:t>12.5%</w:t>
            </w:r>
          </w:p>
        </w:tc>
        <w:tc>
          <w:p w14:paraId="138A1299">
            <w:pPr>
              <w:pStyle w:val="24"/>
              <w:jc w:val="right"/>
              <w:rPr>
                <w:sz w:val="24"/>
                <w:szCs w:val="24"/>
              </w:rPr>
            </w:pPr>
            <w:r>
              <w:rPr>
                <w:sz w:val="24"/>
                <w:szCs w:val="24"/>
              </w:rPr>
              <w:t>6.0%</w:t>
            </w:r>
          </w:p>
        </w:tc>
        <w:tc>
          <w:p w14:paraId="32EAFF96">
            <w:pPr>
              <w:pStyle w:val="24"/>
              <w:jc w:val="right"/>
              <w:rPr>
                <w:sz w:val="24"/>
                <w:szCs w:val="24"/>
              </w:rPr>
            </w:pPr>
            <w:r>
              <w:rPr>
                <w:sz w:val="24"/>
                <w:szCs w:val="24"/>
              </w:rPr>
              <w:t>23.8%</w:t>
            </w:r>
          </w:p>
        </w:tc>
        <w:tc>
          <w:p w14:paraId="6E21A236">
            <w:pPr>
              <w:pStyle w:val="24"/>
              <w:jc w:val="right"/>
              <w:rPr>
                <w:sz w:val="24"/>
                <w:szCs w:val="24"/>
              </w:rPr>
            </w:pPr>
            <w:r>
              <w:rPr>
                <w:sz w:val="24"/>
                <w:szCs w:val="24"/>
              </w:rPr>
              <w:t>-19.1%</w:t>
            </w:r>
          </w:p>
        </w:tc>
        <w:tc>
          <w:p w14:paraId="5BE0C568">
            <w:pPr>
              <w:pStyle w:val="24"/>
              <w:jc w:val="right"/>
              <w:rPr>
                <w:sz w:val="24"/>
                <w:szCs w:val="24"/>
              </w:rPr>
            </w:pPr>
            <w:r>
              <w:rPr>
                <w:sz w:val="24"/>
                <w:szCs w:val="24"/>
              </w:rPr>
              <w:t>0.17</w:t>
            </w:r>
          </w:p>
        </w:tc>
        <w:tc>
          <w:p w14:paraId="271F4AFC">
            <w:pPr>
              <w:pStyle w:val="24"/>
              <w:jc w:val="right"/>
              <w:rPr>
                <w:sz w:val="24"/>
                <w:szCs w:val="24"/>
              </w:rPr>
            </w:pPr>
            <w:r>
              <w:rPr>
                <w:sz w:val="24"/>
                <w:szCs w:val="24"/>
              </w:rPr>
              <w:t>0.32</w:t>
            </w:r>
          </w:p>
        </w:tc>
      </w:tr>
      <w:tr w14:paraId="74EB09F3">
        <w:tc>
          <w:p w14:paraId="5C7D696B">
            <w:pPr>
              <w:pStyle w:val="24"/>
              <w:jc w:val="left"/>
              <w:rPr>
                <w:sz w:val="24"/>
                <w:szCs w:val="24"/>
              </w:rPr>
            </w:pPr>
            <w:r>
              <w:rPr>
                <w:rFonts w:hint="eastAsia"/>
                <w:sz w:val="24"/>
                <w:szCs w:val="24"/>
              </w:rPr>
              <w:t>云南白药（000538.SZ）</w:t>
            </w:r>
          </w:p>
        </w:tc>
        <w:tc>
          <w:p w14:paraId="38C50366">
            <w:pPr>
              <w:pStyle w:val="24"/>
              <w:jc w:val="right"/>
              <w:rPr>
                <w:sz w:val="24"/>
                <w:szCs w:val="24"/>
              </w:rPr>
            </w:pPr>
            <w:r>
              <w:rPr>
                <w:sz w:val="24"/>
                <w:szCs w:val="24"/>
              </w:rPr>
              <w:t>4.8%</w:t>
            </w:r>
          </w:p>
        </w:tc>
        <w:tc>
          <w:p w14:paraId="79FB2B8A">
            <w:pPr>
              <w:pStyle w:val="24"/>
              <w:jc w:val="right"/>
              <w:rPr>
                <w:sz w:val="24"/>
                <w:szCs w:val="24"/>
              </w:rPr>
            </w:pPr>
            <w:r>
              <w:rPr>
                <w:sz w:val="24"/>
                <w:szCs w:val="24"/>
              </w:rPr>
              <w:t>2.4%</w:t>
            </w:r>
          </w:p>
        </w:tc>
        <w:tc>
          <w:p w14:paraId="2A316FE2">
            <w:pPr>
              <w:pStyle w:val="24"/>
              <w:jc w:val="right"/>
              <w:rPr>
                <w:sz w:val="24"/>
                <w:szCs w:val="24"/>
              </w:rPr>
            </w:pPr>
            <w:r>
              <w:rPr>
                <w:sz w:val="24"/>
                <w:szCs w:val="24"/>
              </w:rPr>
              <w:t>18.1%</w:t>
            </w:r>
          </w:p>
        </w:tc>
        <w:tc>
          <w:p w14:paraId="31A02DAE">
            <w:pPr>
              <w:pStyle w:val="24"/>
              <w:jc w:val="right"/>
              <w:rPr>
                <w:sz w:val="24"/>
                <w:szCs w:val="24"/>
              </w:rPr>
            </w:pPr>
            <w:r>
              <w:rPr>
                <w:sz w:val="24"/>
                <w:szCs w:val="24"/>
              </w:rPr>
              <w:t>-18.2%</w:t>
            </w:r>
          </w:p>
        </w:tc>
        <w:tc>
          <w:p w14:paraId="79141443">
            <w:pPr>
              <w:pStyle w:val="24"/>
              <w:jc w:val="right"/>
              <w:rPr>
                <w:sz w:val="24"/>
                <w:szCs w:val="24"/>
              </w:rPr>
            </w:pPr>
            <w:r>
              <w:rPr>
                <w:sz w:val="24"/>
                <w:szCs w:val="24"/>
              </w:rPr>
              <w:t>0.02</w:t>
            </w:r>
          </w:p>
        </w:tc>
        <w:tc>
          <w:p w14:paraId="06D9FE8F">
            <w:pPr>
              <w:pStyle w:val="24"/>
              <w:jc w:val="right"/>
              <w:rPr>
                <w:sz w:val="24"/>
                <w:szCs w:val="24"/>
              </w:rPr>
            </w:pPr>
            <w:r>
              <w:rPr>
                <w:sz w:val="24"/>
                <w:szCs w:val="24"/>
              </w:rPr>
              <w:t>0.13</w:t>
            </w:r>
          </w:p>
        </w:tc>
      </w:tr>
      <w:tr w14:paraId="7BFF5612">
        <w:tc>
          <w:p w14:paraId="43D72D58">
            <w:pPr>
              <w:pStyle w:val="24"/>
              <w:jc w:val="left"/>
              <w:rPr>
                <w:sz w:val="24"/>
                <w:szCs w:val="24"/>
              </w:rPr>
            </w:pPr>
            <w:r>
              <w:rPr>
                <w:rFonts w:hint="eastAsia"/>
                <w:sz w:val="24"/>
                <w:szCs w:val="24"/>
              </w:rPr>
              <w:t>贵州茅台（600519.SH）</w:t>
            </w:r>
          </w:p>
        </w:tc>
        <w:tc>
          <w:p w14:paraId="26AD9279">
            <w:pPr>
              <w:pStyle w:val="24"/>
              <w:jc w:val="right"/>
              <w:rPr>
                <w:sz w:val="24"/>
                <w:szCs w:val="24"/>
              </w:rPr>
            </w:pPr>
            <w:r>
              <w:rPr>
                <w:sz w:val="24"/>
                <w:szCs w:val="24"/>
              </w:rPr>
              <w:t>-7.6%</w:t>
            </w:r>
          </w:p>
        </w:tc>
        <w:tc>
          <w:p w14:paraId="0DE0D899">
            <w:pPr>
              <w:pStyle w:val="24"/>
              <w:jc w:val="right"/>
              <w:rPr>
                <w:sz w:val="24"/>
                <w:szCs w:val="24"/>
              </w:rPr>
            </w:pPr>
            <w:r>
              <w:rPr>
                <w:sz w:val="24"/>
                <w:szCs w:val="24"/>
              </w:rPr>
              <w:t>-3.9%</w:t>
            </w:r>
          </w:p>
        </w:tc>
        <w:tc>
          <w:p w14:paraId="2B553A31">
            <w:pPr>
              <w:pStyle w:val="24"/>
              <w:jc w:val="right"/>
              <w:rPr>
                <w:sz w:val="24"/>
                <w:szCs w:val="24"/>
              </w:rPr>
            </w:pPr>
            <w:r>
              <w:rPr>
                <w:sz w:val="24"/>
                <w:szCs w:val="24"/>
              </w:rPr>
              <w:t>24.7%</w:t>
            </w:r>
          </w:p>
        </w:tc>
        <w:tc>
          <w:p w14:paraId="5F038622">
            <w:pPr>
              <w:pStyle w:val="24"/>
              <w:jc w:val="right"/>
              <w:rPr>
                <w:sz w:val="24"/>
                <w:szCs w:val="24"/>
              </w:rPr>
            </w:pPr>
            <w:r>
              <w:rPr>
                <w:sz w:val="24"/>
                <w:szCs w:val="24"/>
              </w:rPr>
              <w:t>-27.9%</w:t>
            </w:r>
          </w:p>
        </w:tc>
        <w:tc>
          <w:p w14:paraId="6ACB8C5A">
            <w:pPr>
              <w:pStyle w:val="24"/>
              <w:jc w:val="right"/>
              <w:rPr>
                <w:sz w:val="24"/>
                <w:szCs w:val="24"/>
              </w:rPr>
            </w:pPr>
            <w:r>
              <w:rPr>
                <w:sz w:val="24"/>
                <w:szCs w:val="24"/>
              </w:rPr>
              <w:t>-0.24</w:t>
            </w:r>
          </w:p>
        </w:tc>
        <w:tc>
          <w:p w14:paraId="53E4F894">
            <w:pPr>
              <w:pStyle w:val="24"/>
              <w:jc w:val="right"/>
              <w:rPr>
                <w:sz w:val="24"/>
                <w:szCs w:val="24"/>
              </w:rPr>
            </w:pPr>
            <w:r>
              <w:rPr>
                <w:sz w:val="24"/>
                <w:szCs w:val="24"/>
              </w:rPr>
              <w:t>-0.14</w:t>
            </w:r>
          </w:p>
        </w:tc>
      </w:tr>
      <w:tr w14:paraId="5F4FC81B">
        <w:tc>
          <w:p w14:paraId="235D9589">
            <w:pPr>
              <w:pStyle w:val="24"/>
              <w:jc w:val="left"/>
              <w:rPr>
                <w:sz w:val="24"/>
                <w:szCs w:val="24"/>
              </w:rPr>
            </w:pPr>
            <w:r>
              <w:rPr>
                <w:rFonts w:hint="eastAsia"/>
                <w:sz w:val="24"/>
                <w:szCs w:val="24"/>
              </w:rPr>
              <w:t>同仁堂（600085.SH）</w:t>
            </w:r>
          </w:p>
        </w:tc>
        <w:tc>
          <w:p w14:paraId="0C691B17">
            <w:pPr>
              <w:pStyle w:val="24"/>
              <w:jc w:val="right"/>
              <w:rPr>
                <w:sz w:val="24"/>
                <w:szCs w:val="24"/>
              </w:rPr>
            </w:pPr>
            <w:r>
              <w:rPr>
                <w:sz w:val="24"/>
                <w:szCs w:val="24"/>
              </w:rPr>
              <w:t>-30.9%</w:t>
            </w:r>
          </w:p>
        </w:tc>
        <w:tc>
          <w:p w14:paraId="29534FB6">
            <w:pPr>
              <w:pStyle w:val="24"/>
              <w:jc w:val="right"/>
              <w:rPr>
                <w:sz w:val="24"/>
                <w:szCs w:val="24"/>
              </w:rPr>
            </w:pPr>
            <w:r>
              <w:rPr>
                <w:sz w:val="24"/>
                <w:szCs w:val="24"/>
              </w:rPr>
              <w:t>-16.8%</w:t>
            </w:r>
          </w:p>
        </w:tc>
        <w:tc>
          <w:p w14:paraId="7A77EA19">
            <w:pPr>
              <w:pStyle w:val="24"/>
              <w:jc w:val="right"/>
              <w:rPr>
                <w:sz w:val="24"/>
                <w:szCs w:val="24"/>
              </w:rPr>
            </w:pPr>
            <w:r>
              <w:rPr>
                <w:sz w:val="24"/>
                <w:szCs w:val="24"/>
              </w:rPr>
              <w:t>25.0%</w:t>
            </w:r>
          </w:p>
        </w:tc>
        <w:tc>
          <w:p w14:paraId="64BB7B91">
            <w:pPr>
              <w:pStyle w:val="24"/>
              <w:jc w:val="right"/>
              <w:rPr>
                <w:sz w:val="24"/>
                <w:szCs w:val="24"/>
              </w:rPr>
            </w:pPr>
            <w:r>
              <w:rPr>
                <w:sz w:val="24"/>
                <w:szCs w:val="24"/>
              </w:rPr>
              <w:t>-47.1%</w:t>
            </w:r>
          </w:p>
        </w:tc>
        <w:tc>
          <w:p w14:paraId="5F76DD1C">
            <w:pPr>
              <w:pStyle w:val="24"/>
              <w:jc w:val="right"/>
              <w:rPr>
                <w:sz w:val="24"/>
                <w:szCs w:val="24"/>
              </w:rPr>
            </w:pPr>
            <w:r>
              <w:rPr>
                <w:sz w:val="24"/>
                <w:szCs w:val="24"/>
              </w:rPr>
              <w:t>-0.75</w:t>
            </w:r>
          </w:p>
        </w:tc>
        <w:tc>
          <w:p w14:paraId="2EED2262">
            <w:pPr>
              <w:pStyle w:val="24"/>
              <w:jc w:val="right"/>
              <w:rPr>
                <w:sz w:val="24"/>
                <w:szCs w:val="24"/>
              </w:rPr>
            </w:pPr>
            <w:r>
              <w:rPr>
                <w:sz w:val="24"/>
                <w:szCs w:val="24"/>
              </w:rPr>
              <w:t>-0.36</w:t>
            </w:r>
          </w:p>
        </w:tc>
      </w:tr>
      <w:tr w14:paraId="19DD10B5">
        <w:tc>
          <w:p w14:paraId="72532CDF">
            <w:pPr>
              <w:pStyle w:val="24"/>
              <w:jc w:val="left"/>
              <w:rPr>
                <w:sz w:val="24"/>
                <w:szCs w:val="24"/>
              </w:rPr>
            </w:pPr>
            <w:r>
              <w:rPr>
                <w:rFonts w:hint="eastAsia"/>
                <w:sz w:val="24"/>
                <w:szCs w:val="24"/>
              </w:rPr>
              <w:t>片仔癀（600436.SH）</w:t>
            </w:r>
          </w:p>
        </w:tc>
        <w:tc>
          <w:p w14:paraId="0713BBB2">
            <w:pPr>
              <w:pStyle w:val="24"/>
              <w:jc w:val="right"/>
              <w:rPr>
                <w:sz w:val="24"/>
                <w:szCs w:val="24"/>
              </w:rPr>
            </w:pPr>
            <w:r>
              <w:rPr>
                <w:sz w:val="24"/>
                <w:szCs w:val="24"/>
              </w:rPr>
              <w:t>-35.9%</w:t>
            </w:r>
          </w:p>
        </w:tc>
        <w:tc>
          <w:p w14:paraId="373D116C">
            <w:pPr>
              <w:pStyle w:val="24"/>
              <w:jc w:val="right"/>
              <w:rPr>
                <w:sz w:val="24"/>
                <w:szCs w:val="24"/>
              </w:rPr>
            </w:pPr>
            <w:r>
              <w:rPr>
                <w:sz w:val="24"/>
                <w:szCs w:val="24"/>
              </w:rPr>
              <w:t>-19.9%</w:t>
            </w:r>
          </w:p>
        </w:tc>
        <w:tc>
          <w:p w14:paraId="47B048C2">
            <w:pPr>
              <w:pStyle w:val="24"/>
              <w:jc w:val="right"/>
              <w:rPr>
                <w:sz w:val="24"/>
                <w:szCs w:val="24"/>
              </w:rPr>
            </w:pPr>
            <w:r>
              <w:rPr>
                <w:sz w:val="24"/>
                <w:szCs w:val="24"/>
              </w:rPr>
              <w:t>27.3%</w:t>
            </w:r>
          </w:p>
        </w:tc>
        <w:tc>
          <w:p w14:paraId="1162E628">
            <w:pPr>
              <w:pStyle w:val="24"/>
              <w:jc w:val="right"/>
              <w:rPr>
                <w:sz w:val="24"/>
                <w:szCs w:val="24"/>
              </w:rPr>
            </w:pPr>
            <w:r>
              <w:rPr>
                <w:sz w:val="24"/>
                <w:szCs w:val="24"/>
              </w:rPr>
              <w:t>-59.6%</w:t>
            </w:r>
          </w:p>
        </w:tc>
        <w:tc>
          <w:p w14:paraId="6A5D9E55">
            <w:pPr>
              <w:pStyle w:val="24"/>
              <w:jc w:val="right"/>
              <w:rPr>
                <w:sz w:val="24"/>
                <w:szCs w:val="24"/>
              </w:rPr>
            </w:pPr>
            <w:r>
              <w:rPr>
                <w:sz w:val="24"/>
                <w:szCs w:val="24"/>
              </w:rPr>
              <w:t>-0.80</w:t>
            </w:r>
          </w:p>
        </w:tc>
        <w:tc>
          <w:p w14:paraId="1DDDC5CF">
            <w:pPr>
              <w:pStyle w:val="24"/>
              <w:jc w:val="right"/>
              <w:rPr>
                <w:sz w:val="24"/>
                <w:szCs w:val="24"/>
              </w:rPr>
            </w:pPr>
            <w:r>
              <w:rPr>
                <w:sz w:val="24"/>
                <w:szCs w:val="24"/>
              </w:rPr>
              <w:t>-0.33</w:t>
            </w:r>
          </w:p>
        </w:tc>
      </w:tr>
      <w:bookmarkEnd w:id="44"/>
    </w:tbl>
    <w:p w14:paraId="3AE7E121">
      <w:pPr>
        <w:pStyle w:val="4"/>
        <w:rPr>
          <w:sz w:val="24"/>
          <w:szCs w:val="24"/>
        </w:rPr>
      </w:pPr>
      <w:bookmarkStart w:id="45" w:name="附录d计算代码notebook路径"/>
      <w:r>
        <w:rPr>
          <w:rFonts w:hint="eastAsia"/>
          <w:sz w:val="24"/>
          <w:szCs w:val="24"/>
        </w:rPr>
        <w:t>附录D：计算代码（Notebook路径）</w:t>
      </w:r>
    </w:p>
    <w:p w14:paraId="58A76BE6">
      <w:pPr>
        <w:pStyle w:val="23"/>
        <w:rPr>
          <w:sz w:val="24"/>
          <w:szCs w:val="24"/>
        </w:rPr>
      </w:pPr>
      <w:r>
        <w:rPr>
          <w:rFonts w:hint="eastAsia"/>
          <w:sz w:val="24"/>
          <w:szCs w:val="24"/>
        </w:rPr>
        <w:t>完整计算代码见</w:t>
      </w:r>
      <w:r>
        <w:rPr>
          <w:sz w:val="24"/>
          <w:szCs w:val="24"/>
        </w:rPr>
        <w:t xml:space="preserve"> </w:t>
      </w:r>
      <w:r>
        <w:rPr>
          <w:rStyle w:val="48"/>
          <w:sz w:val="24"/>
          <w:szCs w:val="24"/>
        </w:rPr>
        <w:t>analysis.ipynb</w:t>
      </w:r>
      <w:r>
        <w:rPr>
          <w:rFonts w:hint="eastAsia"/>
          <w:sz w:val="24"/>
          <w:szCs w:val="24"/>
        </w:rPr>
        <w:t>，包含以下七个步骤：</w:t>
      </w:r>
    </w:p>
    <w:p w14:paraId="3B020AF4">
      <w:pPr>
        <w:pStyle w:val="24"/>
        <w:numPr>
          <w:ilvl w:val="0"/>
          <w:numId w:val="6"/>
        </w:numPr>
        <w:rPr>
          <w:sz w:val="24"/>
          <w:szCs w:val="24"/>
        </w:rPr>
      </w:pPr>
      <w:r>
        <w:rPr>
          <w:rFonts w:hint="eastAsia"/>
          <w:b/>
          <w:bCs/>
          <w:sz w:val="24"/>
          <w:szCs w:val="24"/>
        </w:rPr>
        <w:t>第一步</w:t>
      </w:r>
      <w:r>
        <w:rPr>
          <w:rFonts w:hint="eastAsia"/>
          <w:sz w:val="24"/>
          <w:szCs w:val="24"/>
        </w:rPr>
        <w:t>：获取前复权日线数据（17只A股本地CSV</w:t>
      </w:r>
      <w:r>
        <w:rPr>
          <w:sz w:val="24"/>
          <w:szCs w:val="24"/>
        </w:rPr>
        <w:t xml:space="preserve"> + </w:t>
      </w:r>
      <w:r>
        <w:rPr>
          <w:rFonts w:hint="eastAsia"/>
          <w:sz w:val="24"/>
          <w:szCs w:val="24"/>
        </w:rPr>
        <w:t>2只港股在线获取</w:t>
      </w:r>
      <w:r>
        <w:rPr>
          <w:sz w:val="24"/>
          <w:szCs w:val="24"/>
        </w:rPr>
        <w:t xml:space="preserve"> + </w:t>
      </w:r>
      <w:r>
        <w:rPr>
          <w:rFonts w:hint="eastAsia"/>
          <w:sz w:val="24"/>
          <w:szCs w:val="24"/>
        </w:rPr>
        <w:t>1只ETF手动前复权），合并导出</w:t>
      </w:r>
      <w:r>
        <w:rPr>
          <w:sz w:val="24"/>
          <w:szCs w:val="24"/>
        </w:rPr>
        <w:t xml:space="preserve"> </w:t>
      </w:r>
      <w:r>
        <w:rPr>
          <w:rStyle w:val="48"/>
          <w:sz w:val="24"/>
          <w:szCs w:val="24"/>
        </w:rPr>
        <w:t>price_qfq_20240719_20260721.csv</w:t>
      </w:r>
      <w:r>
        <w:rPr>
          <w:sz w:val="24"/>
          <w:szCs w:val="24"/>
        </w:rPr>
        <w:t>。</w:t>
      </w:r>
    </w:p>
    <w:p w14:paraId="768F88C1">
      <w:pPr>
        <w:pStyle w:val="24"/>
        <w:numPr>
          <w:ilvl w:val="0"/>
          <w:numId w:val="6"/>
        </w:numPr>
        <w:rPr>
          <w:sz w:val="24"/>
          <w:szCs w:val="24"/>
        </w:rPr>
      </w:pPr>
      <w:r>
        <w:rPr>
          <w:rFonts w:hint="eastAsia"/>
          <w:b/>
          <w:bCs/>
          <w:sz w:val="24"/>
          <w:szCs w:val="24"/>
        </w:rPr>
        <w:t>第二步</w:t>
      </w:r>
      <w:r>
        <w:rPr>
          <w:rFonts w:hint="eastAsia"/>
          <w:sz w:val="24"/>
          <w:szCs w:val="24"/>
        </w:rPr>
        <w:t>：在线获取PE（百度估值接口）和ROE（财务分析指标接口），ETF设为NaN。</w:t>
      </w:r>
    </w:p>
    <w:p w14:paraId="32860B50">
      <w:pPr>
        <w:pStyle w:val="24"/>
        <w:numPr>
          <w:ilvl w:val="0"/>
          <w:numId w:val="6"/>
        </w:numPr>
        <w:rPr>
          <w:sz w:val="24"/>
          <w:szCs w:val="24"/>
        </w:rPr>
      </w:pPr>
      <w:r>
        <w:rPr>
          <w:rFonts w:hint="eastAsia"/>
          <w:b/>
          <w:bCs/>
          <w:sz w:val="24"/>
          <w:szCs w:val="24"/>
        </w:rPr>
        <w:t>第三步</w:t>
      </w:r>
      <w:r>
        <w:rPr>
          <w:rFonts w:hint="eastAsia"/>
          <w:sz w:val="24"/>
          <w:szCs w:val="24"/>
        </w:rPr>
        <w:t>：多因子策略——60日动量、120日均线过滤、Z-score标准化、综合评分（0.4动量+0.3质量+0.3价值）、月度选股Top</w:t>
      </w:r>
      <w:r>
        <w:rPr>
          <w:sz w:val="24"/>
          <w:szCs w:val="24"/>
        </w:rPr>
        <w:t xml:space="preserve"> </w:t>
      </w:r>
      <w:r>
        <w:rPr>
          <w:rFonts w:hint="eastAsia"/>
          <w:sz w:val="24"/>
          <w:szCs w:val="24"/>
        </w:rPr>
        <w:t>5，导出</w:t>
      </w:r>
      <w:r>
        <w:rPr>
          <w:sz w:val="24"/>
          <w:szCs w:val="24"/>
        </w:rPr>
        <w:t xml:space="preserve"> </w:t>
      </w:r>
      <w:r>
        <w:rPr>
          <w:rStyle w:val="48"/>
          <w:sz w:val="24"/>
          <w:szCs w:val="24"/>
        </w:rPr>
        <w:t>monthly_selection.csv</w:t>
      </w:r>
      <w:r>
        <w:rPr>
          <w:sz w:val="24"/>
          <w:szCs w:val="24"/>
        </w:rPr>
        <w:t>。</w:t>
      </w:r>
    </w:p>
    <w:p w14:paraId="725F20D9">
      <w:pPr>
        <w:pStyle w:val="24"/>
        <w:numPr>
          <w:ilvl w:val="0"/>
          <w:numId w:val="6"/>
        </w:numPr>
        <w:rPr>
          <w:sz w:val="24"/>
          <w:szCs w:val="24"/>
        </w:rPr>
      </w:pPr>
      <w:r>
        <w:rPr>
          <w:rFonts w:hint="eastAsia"/>
          <w:b/>
          <w:bCs/>
          <w:sz w:val="24"/>
          <w:szCs w:val="24"/>
        </w:rPr>
        <w:t>第四步</w:t>
      </w:r>
      <w:r>
        <w:rPr>
          <w:rFonts w:hint="eastAsia"/>
          <w:sz w:val="24"/>
          <w:szCs w:val="24"/>
        </w:rPr>
        <w:t>：回测与净值曲线——组合净值（含15%回撤控制）、沪深300基准、三面板组合图（净值+持仓状态+回撤）。</w:t>
      </w:r>
    </w:p>
    <w:p w14:paraId="6B2F2BA5">
      <w:pPr>
        <w:pStyle w:val="24"/>
        <w:numPr>
          <w:ilvl w:val="0"/>
          <w:numId w:val="6"/>
        </w:numPr>
        <w:rPr>
          <w:sz w:val="24"/>
          <w:szCs w:val="24"/>
        </w:rPr>
      </w:pPr>
      <w:r>
        <w:rPr>
          <w:rFonts w:hint="eastAsia"/>
          <w:b/>
          <w:bCs/>
          <w:sz w:val="24"/>
          <w:szCs w:val="24"/>
        </w:rPr>
        <w:t>第五步</w:t>
      </w:r>
      <w:r>
        <w:rPr>
          <w:rFonts w:hint="eastAsia"/>
          <w:sz w:val="24"/>
          <w:szCs w:val="24"/>
        </w:rPr>
        <w:t>：月度收益热力图（半年×月，含2024</w:t>
      </w:r>
      <w:r>
        <w:rPr>
          <w:sz w:val="24"/>
          <w:szCs w:val="24"/>
        </w:rPr>
        <w:t xml:space="preserve"> </w:t>
      </w:r>
      <w:r>
        <w:rPr>
          <w:rFonts w:hint="eastAsia"/>
          <w:sz w:val="24"/>
          <w:szCs w:val="24"/>
        </w:rPr>
        <w:t>H2预热期）。</w:t>
      </w:r>
    </w:p>
    <w:p w14:paraId="0D1DEDDF">
      <w:pPr>
        <w:pStyle w:val="24"/>
        <w:numPr>
          <w:ilvl w:val="0"/>
          <w:numId w:val="6"/>
        </w:numPr>
        <w:rPr>
          <w:sz w:val="24"/>
          <w:szCs w:val="24"/>
        </w:rPr>
      </w:pPr>
      <w:r>
        <w:rPr>
          <w:rFonts w:hint="eastAsia"/>
          <w:b/>
          <w:bCs/>
          <w:sz w:val="24"/>
          <w:szCs w:val="24"/>
        </w:rPr>
        <w:t>第六步</w:t>
      </w:r>
      <w:r>
        <w:rPr>
          <w:rFonts w:hint="eastAsia"/>
          <w:sz w:val="24"/>
          <w:szCs w:val="24"/>
        </w:rPr>
        <w:t>：聚焦10只个股风险-收益散点图。</w:t>
      </w:r>
    </w:p>
    <w:p w14:paraId="3C7CCAB8">
      <w:pPr>
        <w:pStyle w:val="24"/>
        <w:numPr>
          <w:ilvl w:val="0"/>
          <w:numId w:val="6"/>
        </w:numPr>
      </w:pPr>
      <w:r>
        <w:rPr>
          <w:rFonts w:hint="eastAsia"/>
          <w:b/>
          <w:bCs/>
          <w:sz w:val="24"/>
          <w:szCs w:val="24"/>
        </w:rPr>
        <w:t>第七步</w:t>
      </w:r>
      <w:r>
        <w:rPr>
          <w:rFonts w:hint="eastAsia"/>
          <w:sz w:val="24"/>
          <w:szCs w:val="24"/>
        </w:rPr>
        <w:t>：贡献度分</w:t>
      </w:r>
      <w:r>
        <w:rPr>
          <w:rFonts w:hint="eastAsia"/>
        </w:rPr>
        <w:t>析与攻防风格分析。</w:t>
      </w:r>
    </w:p>
    <w:bookmarkEnd w:id="38"/>
    <w:bookmarkEnd w:id="45"/>
    <w:sectPr>
      <w:footnotePr>
        <w:numRestart w:val="eachSect"/>
      </w:footnotePr>
      <w:cols w:space="720" w:num="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60202020A0204"/>
    <w:charset w:val="01"/>
    <w:family w:val="swiss"/>
    <w:pitch w:val="default"/>
    <w:sig w:usb0="00000287" w:usb1="00000800" w:usb2="00000000" w:usb3="00000000" w:csb0="2000009F" w:csb1="DFD70000"/>
  </w:font>
  <w:font w:name="黑体">
    <w:panose1 w:val="02010609060101010101"/>
    <w:charset w:val="86"/>
    <w:family w:val="auto"/>
    <w:pitch w:val="default"/>
    <w:sig w:usb0="800002BF" w:usb1="38CF7CFA" w:usb2="00000016" w:usb3="00000000" w:csb0="00040001" w:csb1="00000000"/>
  </w:font>
  <w:font w:name="Courier New">
    <w:panose1 w:val="02070409020205090404"/>
    <w:charset w:val="01"/>
    <w:family w:val="modern"/>
    <w:pitch w:val="default"/>
    <w:sig w:usb0="E0000EFF" w:usb1="40007843" w:usb2="00000001" w:usb3="00000000" w:csb0="400001BF" w:csb1="DFF70000"/>
  </w:font>
  <w:font w:name="Symbol">
    <w:panose1 w:val="05050102010706020507"/>
    <w:charset w:val="02"/>
    <w:family w:val="roman"/>
    <w:pitch w:val="default"/>
    <w:sig w:usb0="00000000" w:usb1="00000000" w:usb2="00000000" w:usb3="00000000" w:csb0="80000000" w:csb1="00000000"/>
  </w:font>
  <w:font w:name="Calibri">
    <w:panose1 w:val="020F0302020204030204"/>
    <w:charset w:val="00"/>
    <w:family w:val="swiss"/>
    <w:pitch w:val="default"/>
    <w:sig w:usb0="E4002EFF" w:usb1="C200247B" w:usb2="00000009" w:usb3="00000000" w:csb0="200001FF" w:csb1="00000000"/>
  </w:font>
  <w:font w:name="Aptos">
    <w:altName w:val="Helvetica Neue"/>
    <w:panose1 w:val="020B0004020202020204"/>
    <w:charset w:val="00"/>
    <w:family w:val="swiss"/>
    <w:pitch w:val="default"/>
    <w:sig w:usb0="00000000" w:usb1="00000000" w:usb2="00000000" w:usb3="00000000" w:csb0="0000019F" w:csb1="00000000"/>
  </w:font>
  <w:font w:name="等线">
    <w:panose1 w:val="02010600030101010101"/>
    <w:charset w:val="86"/>
    <w:family w:val="auto"/>
    <w:pitch w:val="default"/>
    <w:sig w:usb0="A00002BF" w:usb1="38CF7CFA" w:usb2="00000016" w:usb3="00000000" w:csb0="0004000F" w:csb1="00000000"/>
  </w:font>
  <w:font w:name="Aptos Display">
    <w:altName w:val="Helvetica Neue"/>
    <w:panose1 w:val="020B0004020202020204"/>
    <w:charset w:val="00"/>
    <w:family w:val="swiss"/>
    <w:pitch w:val="default"/>
    <w:sig w:usb0="00000000" w:usb1="00000000" w:usb2="00000000" w:usb3="00000000" w:csb0="0000019F" w:csb1="00000000"/>
  </w:font>
  <w:font w:name="等线 Light">
    <w:panose1 w:val="02010600030101010101"/>
    <w:charset w:val="86"/>
    <w:family w:val="auto"/>
    <w:pitch w:val="default"/>
    <w:sig w:usb0="A00002BF" w:usb1="38CF7CFA" w:usb2="00000016" w:usb3="00000000" w:csb0="0004000F" w:csb1="00000000"/>
  </w:font>
  <w:font w:name="Consolas">
    <w:panose1 w:val="020B07090202040A0204"/>
    <w:charset w:val="00"/>
    <w:family w:val="auto"/>
    <w:pitch w:val="default"/>
    <w:sig w:usb0="E00006FF" w:usb1="0000FCFF" w:usb2="00000001" w:usb3="00000000" w:csb0="6000019F" w:csb1="DFD70000"/>
  </w:font>
  <w:font w:name="Symbol">
    <w:panose1 w:val="05050102010706020507"/>
    <w:charset w:val="00"/>
    <w:family w:val="auto"/>
    <w:pitch w:val="default"/>
    <w:sig w:usb0="00000000" w:usb1="00000000" w:usb2="00000000" w:usb3="00000000" w:csb0="80000000" w:csb1="00000000"/>
  </w:font>
  <w:font w:name="Courier New">
    <w:panose1 w:val="02070409020205090404"/>
    <w:charset w:val="00"/>
    <w:family w:val="modern"/>
    <w:pitch w:val="default"/>
    <w:sig w:usb0="E0000EFF" w:usb1="40007843" w:usb2="00000001" w:usb3="00000000" w:csb0="400001BF" w:csb1="DFF70000"/>
  </w:font>
  <w:font w:name="Wingdings">
    <w:panose1 w:val="05000000000000000000"/>
    <w:charset w:val="00"/>
    <w:family w:val="auto"/>
    <w:pitch w:val="default"/>
    <w:sig w:usb0="00000000" w:usb1="00000000" w:usb2="00000000" w:usb3="00000000" w:csb0="80000000" w:csb1="00000000"/>
  </w:font>
  <w:font w:name="Helvetica Neue">
    <w:panose1 w:val="02000503000000020004"/>
    <w:charset w:val="00"/>
    <w:family w:val="auto"/>
    <w:pitch w:val="default"/>
    <w:sig w:usb0="E50002FF" w:usb1="500079DB" w:usb2="00000010" w:usb3="00000000" w:csb0="00000000" w:csb1="00000000"/>
  </w:font>
  <w:font w:name="Cambria Math">
    <w:panose1 w:val="02040503050406030204"/>
    <w:charset w:val="00"/>
    <w:family w:val="auto"/>
    <w:pitch w:val="default"/>
    <w:sig w:usb0="E00006FF" w:usb1="420024FF" w:usb2="02000000" w:usb3="00000000" w:csb0="2000019F" w:csb1="00000000"/>
  </w:font>
  <w:font w:name="Arial Unicode MS">
    <w:panose1 w:val="020B0604020202020204"/>
    <w:charset w:val="86"/>
    <w:family w:val="auto"/>
    <w:pitch w:val="default"/>
    <w:sig w:usb0="FFFFFFFF" w:usb1="E9FFFFFF" w:usb2="0000003F" w:usb3="00000000" w:csb0="603F01FF" w:csb1="FFFF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pPr>
      <w:r>
        <w:separator/>
      </w:r>
    </w:p>
  </w:footnote>
  <w:footnote w:type="continuationSeparator" w:id="1">
    <w:p>
      <w:pPr>
        <w:spacing w:before="0" w:after="0"/>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0000A990"/>
    <w:multiLevelType w:val="multilevel"/>
    <w:tmpl w:val="0000A990"/>
    <w:lvl w:ilvl="0" w:tentative="0">
      <w:start w:val="0"/>
      <w:numFmt w:val="bullet"/>
      <w:lvlText w:val=" "/>
      <w:lvlJc w:val="left"/>
      <w:pPr>
        <w:ind w:left="720" w:hanging="360"/>
      </w:pPr>
    </w:lvl>
    <w:lvl w:ilvl="1" w:tentative="0">
      <w:start w:val="0"/>
      <w:numFmt w:val="bullet"/>
      <w:lvlText w:val=" "/>
      <w:lvlJc w:val="left"/>
      <w:pPr>
        <w:ind w:left="1440" w:hanging="360"/>
      </w:pPr>
    </w:lvl>
    <w:lvl w:ilvl="2" w:tentative="0">
      <w:start w:val="0"/>
      <w:numFmt w:val="bullet"/>
      <w:lvlText w:val=" "/>
      <w:lvlJc w:val="left"/>
      <w:pPr>
        <w:ind w:left="2160" w:hanging="360"/>
      </w:pPr>
    </w:lvl>
    <w:lvl w:ilvl="3" w:tentative="0">
      <w:start w:val="0"/>
      <w:numFmt w:val="bullet"/>
      <w:lvlText w:val=" "/>
      <w:lvlJc w:val="left"/>
      <w:pPr>
        <w:ind w:left="2880" w:hanging="360"/>
      </w:pPr>
    </w:lvl>
    <w:lvl w:ilvl="4" w:tentative="0">
      <w:start w:val="0"/>
      <w:numFmt w:val="bullet"/>
      <w:lvlText w:val=" "/>
      <w:lvlJc w:val="left"/>
      <w:pPr>
        <w:ind w:left="3600" w:hanging="360"/>
      </w:pPr>
    </w:lvl>
    <w:lvl w:ilvl="5" w:tentative="0">
      <w:start w:val="0"/>
      <w:numFmt w:val="bullet"/>
      <w:lvlText w:val=" "/>
      <w:lvlJc w:val="left"/>
      <w:pPr>
        <w:ind w:left="4320" w:hanging="360"/>
      </w:pPr>
    </w:lvl>
    <w:lvl w:ilvl="6" w:tentative="0">
      <w:start w:val="0"/>
      <w:numFmt w:val="bullet"/>
      <w:lvlText w:val=" "/>
      <w:lvlJc w:val="left"/>
      <w:pPr>
        <w:ind w:left="5040" w:hanging="360"/>
      </w:pPr>
    </w:lvl>
    <w:lvl w:ilvl="7" w:tentative="0">
      <w:start w:val="0"/>
      <w:numFmt w:val="bullet"/>
      <w:lvlText w:val=" "/>
      <w:lvlJc w:val="left"/>
      <w:pPr>
        <w:ind w:left="5760" w:hanging="360"/>
      </w:pPr>
    </w:lvl>
    <w:lvl w:ilvl="8" w:tentative="0">
      <w:start w:val="0"/>
      <w:numFmt w:val="bullet"/>
      <w:lvlText w:val=" "/>
      <w:lvlJc w:val="left"/>
      <w:pPr>
        <w:ind w:left="6480" w:hanging="360"/>
      </w:pPr>
    </w:lvl>
  </w:abstractNum>
  <w:abstractNum w:abstractNumId="1">
    <w:nsid w:val="0000A991"/>
    <w:multiLevelType w:val="multilevel"/>
    <w:tmpl w:val="0000A991"/>
    <w:lvl w:ilvl="0" w:tentative="0">
      <w:start w:val="0"/>
      <w:numFmt w:val="bullet"/>
      <w:lvlText w:val=""/>
      <w:lvlJc w:val="left"/>
      <w:pPr>
        <w:ind w:left="720" w:hanging="360"/>
      </w:pPr>
      <w:rPr>
        <w:rFonts w:hint="default" w:ascii="Symbol" w:hAnsi="Symbol" w:cs="Symbol"/>
      </w:rPr>
    </w:lvl>
    <w:lvl w:ilvl="1" w:tentative="0">
      <w:start w:val="0"/>
      <w:numFmt w:val="bullet"/>
      <w:lvlText w:val="o"/>
      <w:lvlJc w:val="left"/>
      <w:pPr>
        <w:ind w:left="1440" w:hanging="360"/>
      </w:pPr>
      <w:rPr>
        <w:rFonts w:hint="default" w:ascii="Courier New" w:hAnsi="Courier New" w:cs="Courier New"/>
      </w:rPr>
    </w:lvl>
    <w:lvl w:ilvl="2" w:tentative="0">
      <w:start w:val="0"/>
      <w:numFmt w:val="bullet"/>
      <w:lvlText w:val=""/>
      <w:lvlJc w:val="left"/>
      <w:pPr>
        <w:ind w:left="2160" w:hanging="360"/>
      </w:pPr>
      <w:rPr>
        <w:rFonts w:hint="default" w:ascii="Wingdings" w:hAnsi="Wingdings" w:cs="Wingdings"/>
      </w:rPr>
    </w:lvl>
    <w:lvl w:ilvl="3" w:tentative="0">
      <w:start w:val="0"/>
      <w:numFmt w:val="bullet"/>
      <w:lvlText w:val=""/>
      <w:lvlJc w:val="left"/>
      <w:pPr>
        <w:ind w:left="2880" w:hanging="360"/>
      </w:pPr>
      <w:rPr>
        <w:rFonts w:hint="default" w:ascii="Symbol" w:hAnsi="Symbol" w:cs="Symbol"/>
      </w:rPr>
    </w:lvl>
    <w:lvl w:ilvl="4" w:tentative="0">
      <w:start w:val="0"/>
      <w:numFmt w:val="bullet"/>
      <w:lvlText w:val="o"/>
      <w:lvlJc w:val="left"/>
      <w:pPr>
        <w:ind w:left="3600" w:hanging="360"/>
      </w:pPr>
      <w:rPr>
        <w:rFonts w:hint="default" w:ascii="Courier New" w:hAnsi="Courier New" w:cs="Courier New"/>
      </w:rPr>
    </w:lvl>
    <w:lvl w:ilvl="5" w:tentative="0">
      <w:start w:val="0"/>
      <w:numFmt w:val="bullet"/>
      <w:lvlText w:val=""/>
      <w:lvlJc w:val="left"/>
      <w:pPr>
        <w:ind w:left="4320" w:hanging="360"/>
      </w:pPr>
      <w:rPr>
        <w:rFonts w:hint="default" w:ascii="Wingdings" w:hAnsi="Wingdings" w:cs="Wingdings"/>
      </w:rPr>
    </w:lvl>
    <w:lvl w:ilvl="6" w:tentative="0">
      <w:start w:val="0"/>
      <w:numFmt w:val="bullet"/>
      <w:lvlText w:val=""/>
      <w:lvlJc w:val="left"/>
      <w:pPr>
        <w:ind w:left="5040" w:hanging="360"/>
      </w:pPr>
      <w:rPr>
        <w:rFonts w:hint="default" w:ascii="Symbol" w:hAnsi="Symbol" w:cs="Symbol"/>
      </w:rPr>
    </w:lvl>
    <w:lvl w:ilvl="7" w:tentative="0">
      <w:start w:val="0"/>
      <w:numFmt w:val="bullet"/>
      <w:lvlText w:val="o"/>
      <w:lvlJc w:val="left"/>
      <w:pPr>
        <w:ind w:left="5760" w:hanging="360"/>
      </w:pPr>
      <w:rPr>
        <w:rFonts w:hint="default" w:ascii="Courier New" w:hAnsi="Courier New" w:cs="Courier New"/>
      </w:rPr>
    </w:lvl>
    <w:lvl w:ilvl="8" w:tentative="0">
      <w:start w:val="0"/>
      <w:numFmt w:val="bullet"/>
      <w:lvlText w:val=""/>
      <w:lvlJc w:val="left"/>
      <w:pPr>
        <w:ind w:left="6480" w:hanging="360"/>
      </w:pPr>
      <w:rPr>
        <w:rFonts w:hint="default" w:ascii="Wingdings" w:hAnsi="Wingdings" w:cs="Wingdings"/>
      </w:rPr>
    </w:lvl>
  </w:abstractNum>
  <w:abstractNum w:abstractNumId="2">
    <w:nsid w:val="00A99411"/>
    <w:multiLevelType w:val="multilevel"/>
    <w:tmpl w:val="00A99411"/>
    <w:lvl w:ilvl="0" w:tentative="0">
      <w:start w:val="1"/>
      <w:numFmt w:val="decimal"/>
      <w:lvlText w:val="%1."/>
      <w:lvlJc w:val="left"/>
      <w:pPr>
        <w:ind w:left="720" w:hanging="360"/>
      </w:pPr>
    </w:lvl>
    <w:lvl w:ilvl="1" w:tentative="0">
      <w:start w:val="1"/>
      <w:numFmt w:val="decimal"/>
      <w:lvlText w:val="%2."/>
      <w:lvlJc w:val="left"/>
      <w:pPr>
        <w:ind w:left="1440" w:hanging="360"/>
      </w:pPr>
    </w:lvl>
    <w:lvl w:ilvl="2" w:tentative="0">
      <w:start w:val="1"/>
      <w:numFmt w:val="decimal"/>
      <w:lvlText w:val="%3."/>
      <w:lvlJc w:val="left"/>
      <w:pPr>
        <w:ind w:left="2160" w:hanging="360"/>
      </w:pPr>
    </w:lvl>
    <w:lvl w:ilvl="3" w:tentative="0">
      <w:start w:val="1"/>
      <w:numFmt w:val="decimal"/>
      <w:lvlText w:val="%4."/>
      <w:lvlJc w:val="left"/>
      <w:pPr>
        <w:ind w:left="2880" w:hanging="360"/>
      </w:pPr>
    </w:lvl>
    <w:lvl w:ilvl="4" w:tentative="0">
      <w:start w:val="1"/>
      <w:numFmt w:val="decimal"/>
      <w:lvlText w:val="%5."/>
      <w:lvlJc w:val="left"/>
      <w:pPr>
        <w:ind w:left="3600" w:hanging="360"/>
      </w:pPr>
    </w:lvl>
    <w:lvl w:ilvl="5" w:tentative="0">
      <w:start w:val="1"/>
      <w:numFmt w:val="decimal"/>
      <w:lvlText w:val="%6."/>
      <w:lvlJc w:val="left"/>
      <w:pPr>
        <w:ind w:left="4320" w:hanging="360"/>
      </w:pPr>
    </w:lvl>
    <w:lvl w:ilvl="6" w:tentative="0">
      <w:start w:val="1"/>
      <w:numFmt w:val="decimal"/>
      <w:lvlText w:val="%7."/>
      <w:lvlJc w:val="left"/>
      <w:pPr>
        <w:ind w:left="5040" w:hanging="360"/>
      </w:pPr>
    </w:lvl>
    <w:lvl w:ilvl="7" w:tentative="0">
      <w:start w:val="1"/>
      <w:numFmt w:val="decimal"/>
      <w:lvlText w:val="%8."/>
      <w:lvlJc w:val="left"/>
      <w:pPr>
        <w:ind w:left="5760" w:hanging="360"/>
      </w:pPr>
    </w:lvl>
    <w:lvl w:ilvl="8" w:tentative="0">
      <w:start w:val="1"/>
      <w:numFmt w:val="decimal"/>
      <w:lvlText w:val="%9."/>
      <w:lvlJc w:val="left"/>
      <w:pPr>
        <w:ind w:left="6480" w:hanging="360"/>
      </w:pPr>
    </w:lvl>
  </w:abstractNum>
  <w:num w:numId="1">
    <w:abstractNumId w:val="1"/>
  </w:num>
  <w:num w:numId="2">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abstractNumId w:val="0"/>
  </w:num>
  <w:num w:numId="5">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66"/>
  <w:embedSystemFonts/>
  <w:doNotTrackMoves/>
  <w:documentProtection w:enforcement="0"/>
  <w:defaultTabStop w:val="720"/>
  <w:drawingGridHorizontalSpacing w:val="360"/>
  <w:drawingGridVerticalSpacing w:val="360"/>
  <w:displayHorizontalDrawingGridEvery w:val="0"/>
  <w:displayVerticalDrawingGridEvery w:val="0"/>
  <w:characterSpacingControl w:val="doNotCompress"/>
  <w:footnotePr>
    <w:numRestart w:val="eachSect"/>
    <w:footnote w:id="0"/>
    <w:footnote w:id="1"/>
  </w:footnotePr>
  <w:compat>
    <w:useFELayout/>
    <w:splitPgBreakAndParaMark/>
    <w:compatSetting w:name="compatibilityMode" w:uri="http://schemas.microsoft.com/office/word" w:val="12"/>
  </w:compat>
  <w:rsids>
    <w:rsidRoot w:val="00000000"/>
    <w:rsid w:val="E3EDCABE"/>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qFormat="1" w:uiPriority="9"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unhideWhenUsed="0" w:uiPriority="0" w:semiHidden="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10" w:semiHidden="0" w:name="Title"/>
    <w:lsdException w:unhideWhenUsed="0" w:uiPriority="0" w:semiHidden="0" w:name="Closing"/>
    <w:lsdException w:unhideWhenUsed="0" w:uiPriority="0" w:semiHidden="0" w:name="Signature"/>
    <w:lsdException w:uiPriority="0" w:name="Default Paragraph Font"/>
    <w:lsdException w:qFormat="1"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11" w:semiHidden="0" w:name="Subtitle"/>
    <w:lsdException w:unhideWhenUsed="0" w:uiPriority="0" w:semiHidden="0" w:name="Salutation"/>
    <w:lsdException w:qFormat="1"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qFormat="1" w:uiPriority="9" w:semiHidden="0" w:name="Block Text"/>
    <w:lsdException w:unhideWhenUsed="0" w:uiPriority="0" w:semiHidden="0" w:name="Hyperlink"/>
    <w:lsdException w:unhideWhenUsed="0" w:uiPriority="0" w:semiHidden="0" w:name="FollowedHyperlink"/>
    <w:lsdException w:unhideWhenUsed="0" w:uiPriority="0" w:semiHidden="0" w:name="Strong"/>
    <w:lsdException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nhideWhenUsed="0" w:uiPriority="0" w:semiHidden="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200"/>
    </w:pPr>
    <w:rPr>
      <w:rFonts w:asciiTheme="minorHAnsi" w:hAnsiTheme="minorHAnsi" w:eastAsiaTheme="minorEastAsia" w:cstheme="minorBidi"/>
      <w:sz w:val="24"/>
      <w:szCs w:val="24"/>
      <w:lang w:val="en-US" w:eastAsia="zh-CN" w:bidi="ar-SA"/>
    </w:rPr>
  </w:style>
  <w:style w:type="paragraph" w:styleId="2">
    <w:name w:val="heading 1"/>
    <w:basedOn w:val="1"/>
    <w:next w:val="3"/>
    <w:link w:val="31"/>
    <w:qFormat/>
    <w:uiPriority w:val="9"/>
    <w:pPr>
      <w:keepNext/>
      <w:keepLines/>
      <w:spacing w:before="360" w:after="80"/>
      <w:outlineLvl w:val="0"/>
    </w:pPr>
    <w:rPr>
      <w:rFonts w:asciiTheme="majorHAnsi" w:hAnsiTheme="majorHAnsi" w:eastAsiaTheme="majorEastAsia" w:cstheme="majorBidi"/>
      <w:color w:val="0F4761" w:themeColor="accent1" w:themeShade="BF"/>
      <w:sz w:val="40"/>
      <w:szCs w:val="40"/>
    </w:rPr>
  </w:style>
  <w:style w:type="paragraph" w:styleId="4">
    <w:name w:val="heading 2"/>
    <w:basedOn w:val="1"/>
    <w:next w:val="3"/>
    <w:link w:val="32"/>
    <w:semiHidden/>
    <w:unhideWhenUsed/>
    <w:qFormat/>
    <w:uiPriority w:val="9"/>
    <w:pPr>
      <w:keepNext/>
      <w:keepLines/>
      <w:spacing w:before="160" w:after="80"/>
      <w:outlineLvl w:val="1"/>
    </w:pPr>
    <w:rPr>
      <w:rFonts w:asciiTheme="majorHAnsi" w:hAnsiTheme="majorHAnsi" w:eastAsiaTheme="majorEastAsia" w:cstheme="majorBidi"/>
      <w:color w:val="0F4761" w:themeColor="accent1" w:themeShade="BF"/>
      <w:sz w:val="32"/>
      <w:szCs w:val="32"/>
    </w:rPr>
  </w:style>
  <w:style w:type="paragraph" w:styleId="5">
    <w:name w:val="heading 3"/>
    <w:basedOn w:val="1"/>
    <w:next w:val="3"/>
    <w:link w:val="33"/>
    <w:semiHidden/>
    <w:unhideWhenUsed/>
    <w:qFormat/>
    <w:uiPriority w:val="9"/>
    <w:pPr>
      <w:keepNext/>
      <w:keepLines/>
      <w:spacing w:before="160" w:after="80"/>
      <w:outlineLvl w:val="2"/>
    </w:pPr>
    <w:rPr>
      <w:rFonts w:eastAsiaTheme="majorEastAsia" w:cstheme="majorBidi"/>
      <w:color w:val="0F4761" w:themeColor="accent1" w:themeShade="BF"/>
      <w:sz w:val="28"/>
      <w:szCs w:val="28"/>
    </w:rPr>
  </w:style>
  <w:style w:type="paragraph" w:styleId="6">
    <w:name w:val="heading 4"/>
    <w:basedOn w:val="1"/>
    <w:next w:val="3"/>
    <w:link w:val="34"/>
    <w:semiHidden/>
    <w:unhideWhenUsed/>
    <w:qFormat/>
    <w:uiPriority w:val="9"/>
    <w:pPr>
      <w:keepNext/>
      <w:keepLines/>
      <w:spacing w:before="80" w:after="40"/>
      <w:outlineLvl w:val="3"/>
    </w:pPr>
    <w:rPr>
      <w:rFonts w:eastAsiaTheme="majorEastAsia" w:cstheme="majorBidi"/>
      <w:i/>
      <w:iCs/>
      <w:color w:val="0F4761" w:themeColor="accent1" w:themeShade="BF"/>
    </w:rPr>
  </w:style>
  <w:style w:type="paragraph" w:styleId="7">
    <w:name w:val="heading 5"/>
    <w:basedOn w:val="1"/>
    <w:next w:val="3"/>
    <w:link w:val="35"/>
    <w:semiHidden/>
    <w:unhideWhenUsed/>
    <w:qFormat/>
    <w:uiPriority w:val="9"/>
    <w:pPr>
      <w:keepNext/>
      <w:keepLines/>
      <w:spacing w:before="80" w:after="40"/>
      <w:outlineLvl w:val="4"/>
    </w:pPr>
    <w:rPr>
      <w:rFonts w:eastAsiaTheme="majorEastAsia" w:cstheme="majorBidi"/>
      <w:color w:val="0F4761" w:themeColor="accent1" w:themeShade="BF"/>
    </w:rPr>
  </w:style>
  <w:style w:type="paragraph" w:styleId="8">
    <w:name w:val="heading 6"/>
    <w:basedOn w:val="1"/>
    <w:next w:val="3"/>
    <w:link w:val="36"/>
    <w:semiHidden/>
    <w:unhideWhenUsed/>
    <w:qFormat/>
    <w:uiPriority w:val="9"/>
    <w:pPr>
      <w:keepNext/>
      <w:keepLines/>
      <w:spacing w:before="40" w:after="0"/>
      <w:outlineLvl w:val="5"/>
    </w:pPr>
    <w:rPr>
      <w:rFonts w:eastAsiaTheme="majorEastAsia" w:cstheme="majorBidi"/>
      <w:i/>
      <w:iCs/>
      <w:color w:val="585858" w:themeColor="text1" w:themeTint="A6"/>
    </w:rPr>
  </w:style>
  <w:style w:type="paragraph" w:styleId="9">
    <w:name w:val="heading 7"/>
    <w:basedOn w:val="1"/>
    <w:next w:val="3"/>
    <w:link w:val="37"/>
    <w:semiHidden/>
    <w:unhideWhenUsed/>
    <w:qFormat/>
    <w:uiPriority w:val="9"/>
    <w:pPr>
      <w:keepNext/>
      <w:keepLines/>
      <w:spacing w:before="40" w:after="0"/>
      <w:outlineLvl w:val="6"/>
    </w:pPr>
    <w:rPr>
      <w:rFonts w:eastAsiaTheme="majorEastAsia" w:cstheme="majorBidi"/>
      <w:color w:val="585858" w:themeColor="text1" w:themeTint="A6"/>
    </w:rPr>
  </w:style>
  <w:style w:type="paragraph" w:styleId="10">
    <w:name w:val="heading 8"/>
    <w:basedOn w:val="1"/>
    <w:next w:val="3"/>
    <w:link w:val="38"/>
    <w:semiHidden/>
    <w:unhideWhenUsed/>
    <w:qFormat/>
    <w:uiPriority w:val="9"/>
    <w:pPr>
      <w:keepNext/>
      <w:keepLines/>
      <w:spacing w:after="0"/>
      <w:outlineLvl w:val="7"/>
    </w:pPr>
    <w:rPr>
      <w:rFonts w:eastAsiaTheme="majorEastAsia" w:cstheme="majorBidi"/>
      <w:i/>
      <w:iCs/>
      <w:color w:val="262626" w:themeColor="text1" w:themeTint="D8"/>
    </w:rPr>
  </w:style>
  <w:style w:type="paragraph" w:styleId="11">
    <w:name w:val="heading 9"/>
    <w:basedOn w:val="1"/>
    <w:next w:val="3"/>
    <w:link w:val="39"/>
    <w:semiHidden/>
    <w:unhideWhenUsed/>
    <w:qFormat/>
    <w:uiPriority w:val="9"/>
    <w:pPr>
      <w:keepNext/>
      <w:keepLines/>
      <w:spacing w:after="0"/>
      <w:outlineLvl w:val="8"/>
    </w:pPr>
    <w:rPr>
      <w:rFonts w:eastAsiaTheme="majorEastAsia" w:cstheme="majorBidi"/>
      <w:color w:val="262626" w:themeColor="text1" w:themeTint="D8"/>
    </w:rPr>
  </w:style>
  <w:style w:type="character" w:default="1" w:styleId="19">
    <w:name w:val="Default Paragraph Font"/>
    <w:semiHidden/>
    <w:unhideWhenUsed/>
    <w:uiPriority w:val="0"/>
  </w:style>
  <w:style w:type="table" w:default="1" w:styleId="18">
    <w:name w:val="Normal Table"/>
    <w:uiPriority w:val="0"/>
    <w:tblPr>
      <w:tblCellMar>
        <w:top w:w="0" w:type="dxa"/>
        <w:left w:w="108" w:type="dxa"/>
        <w:bottom w:w="0" w:type="dxa"/>
        <w:right w:w="108" w:type="dxa"/>
      </w:tblCellMar>
    </w:tblPr>
  </w:style>
  <w:style w:type="paragraph" w:styleId="3">
    <w:name w:val="Body Text"/>
    <w:basedOn w:val="1"/>
    <w:link w:val="21"/>
    <w:qFormat/>
    <w:uiPriority w:val="0"/>
    <w:pPr>
      <w:spacing w:before="180" w:after="180"/>
    </w:pPr>
  </w:style>
  <w:style w:type="paragraph" w:styleId="12">
    <w:name w:val="caption"/>
    <w:basedOn w:val="1"/>
    <w:uiPriority w:val="0"/>
    <w:pPr>
      <w:spacing w:before="0" w:after="120"/>
    </w:pPr>
    <w:rPr>
      <w:i/>
    </w:rPr>
  </w:style>
  <w:style w:type="paragraph" w:styleId="13">
    <w:name w:val="Block Text"/>
    <w:basedOn w:val="3"/>
    <w:next w:val="3"/>
    <w:unhideWhenUsed/>
    <w:qFormat/>
    <w:uiPriority w:val="9"/>
    <w:pPr>
      <w:spacing w:before="100" w:after="100"/>
      <w:ind w:left="480" w:right="480" w:firstLine="0"/>
    </w:pPr>
  </w:style>
  <w:style w:type="paragraph" w:styleId="14">
    <w:name w:val="Date"/>
    <w:basedOn w:val="15"/>
    <w:next w:val="3"/>
    <w:qFormat/>
    <w:uiPriority w:val="0"/>
    <w:pPr>
      <w:keepNext/>
      <w:keepLines/>
    </w:pPr>
    <w:rPr>
      <w:sz w:val="24"/>
      <w:szCs w:val="24"/>
    </w:rPr>
  </w:style>
  <w:style w:type="paragraph" w:styleId="15">
    <w:name w:val="Title"/>
    <w:basedOn w:val="1"/>
    <w:next w:val="3"/>
    <w:link w:val="25"/>
    <w:qFormat/>
    <w:uiPriority w:val="10"/>
    <w:pPr>
      <w:spacing w:after="80" w:line="240" w:lineRule="auto"/>
      <w:contextualSpacing/>
      <w:jc w:val="center"/>
    </w:pPr>
    <w:rPr>
      <w:rFonts w:asciiTheme="majorHAnsi" w:hAnsiTheme="majorHAnsi" w:eastAsiaTheme="majorEastAsia" w:cstheme="majorBidi"/>
      <w:sz w:val="56"/>
      <w:szCs w:val="56"/>
    </w:rPr>
  </w:style>
  <w:style w:type="paragraph" w:styleId="16">
    <w:name w:val="Subtitle"/>
    <w:basedOn w:val="15"/>
    <w:next w:val="3"/>
    <w:link w:val="26"/>
    <w:qFormat/>
    <w:uiPriority w:val="11"/>
    <w:rPr>
      <w:rFonts w:eastAsiaTheme="majorEastAsia" w:cstheme="majorBidi"/>
      <w:spacing w:val="15"/>
      <w:sz w:val="28"/>
      <w:szCs w:val="28"/>
    </w:rPr>
  </w:style>
  <w:style w:type="paragraph" w:styleId="17">
    <w:name w:val="footnote text"/>
    <w:basedOn w:val="1"/>
    <w:unhideWhenUsed/>
    <w:qFormat/>
    <w:uiPriority w:val="9"/>
  </w:style>
  <w:style w:type="character" w:styleId="20">
    <w:name w:val="Hyperlink"/>
    <w:basedOn w:val="21"/>
    <w:uiPriority w:val="0"/>
    <w:rPr>
      <w:color w:val="156082" w:themeColor="accent1"/>
    </w:rPr>
  </w:style>
  <w:style w:type="character" w:customStyle="1" w:styleId="21">
    <w:name w:val="Body Text Char"/>
    <w:basedOn w:val="19"/>
    <w:link w:val="3"/>
    <w:uiPriority w:val="0"/>
  </w:style>
  <w:style w:type="character" w:styleId="22">
    <w:name w:val="footnote reference"/>
    <w:basedOn w:val="21"/>
    <w:uiPriority w:val="0"/>
    <w:rPr>
      <w:vertAlign w:val="superscript"/>
    </w:rPr>
  </w:style>
  <w:style w:type="paragraph" w:customStyle="1" w:styleId="23">
    <w:name w:val="First Paragraph"/>
    <w:basedOn w:val="3"/>
    <w:next w:val="3"/>
    <w:qFormat/>
    <w:uiPriority w:val="0"/>
  </w:style>
  <w:style w:type="paragraph" w:customStyle="1" w:styleId="24">
    <w:name w:val="Compact"/>
    <w:basedOn w:val="3"/>
    <w:qFormat/>
    <w:uiPriority w:val="0"/>
    <w:pPr>
      <w:spacing w:before="36" w:after="36"/>
    </w:pPr>
  </w:style>
  <w:style w:type="character" w:customStyle="1" w:styleId="25">
    <w:name w:val="Title Char"/>
    <w:basedOn w:val="19"/>
    <w:link w:val="15"/>
    <w:uiPriority w:val="10"/>
    <w:rPr>
      <w:rFonts w:asciiTheme="majorHAnsi" w:hAnsiTheme="majorHAnsi" w:eastAsiaTheme="majorEastAsia" w:cstheme="majorBidi"/>
      <w:sz w:val="56"/>
      <w:szCs w:val="56"/>
    </w:rPr>
  </w:style>
  <w:style w:type="character" w:customStyle="1" w:styleId="26">
    <w:name w:val="Subtitle Char"/>
    <w:basedOn w:val="19"/>
    <w:link w:val="16"/>
    <w:uiPriority w:val="11"/>
    <w:rPr>
      <w:rFonts w:eastAsiaTheme="majorEastAsia" w:cstheme="majorBidi"/>
      <w:color w:val="585858" w:themeColor="text1" w:themeTint="A6"/>
      <w:spacing w:val="15"/>
      <w:sz w:val="28"/>
      <w:szCs w:val="28"/>
    </w:rPr>
  </w:style>
  <w:style w:type="paragraph" w:customStyle="1" w:styleId="27">
    <w:name w:val="Author"/>
    <w:basedOn w:val="15"/>
    <w:next w:val="3"/>
    <w:qFormat/>
    <w:uiPriority w:val="0"/>
    <w:pPr>
      <w:keepNext/>
      <w:keepLines/>
    </w:pPr>
    <w:rPr>
      <w:sz w:val="24"/>
      <w:szCs w:val="24"/>
    </w:rPr>
  </w:style>
  <w:style w:type="paragraph" w:customStyle="1" w:styleId="28">
    <w:name w:val="Abstract Title"/>
    <w:basedOn w:val="1"/>
    <w:next w:val="29"/>
    <w:qFormat/>
    <w:uiPriority w:val="0"/>
    <w:pPr>
      <w:keepNext/>
      <w:keepLines/>
      <w:spacing w:before="300" w:after="0"/>
      <w:jc w:val="center"/>
    </w:pPr>
    <w:rPr>
      <w:b/>
      <w:sz w:val="20"/>
      <w:szCs w:val="20"/>
    </w:rPr>
  </w:style>
  <w:style w:type="paragraph" w:customStyle="1" w:styleId="29">
    <w:name w:val="Abstract"/>
    <w:basedOn w:val="1"/>
    <w:next w:val="3"/>
    <w:qFormat/>
    <w:uiPriority w:val="0"/>
    <w:pPr>
      <w:keepNext/>
      <w:keepLines/>
      <w:spacing w:before="100" w:after="300"/>
    </w:pPr>
    <w:rPr>
      <w:sz w:val="20"/>
      <w:szCs w:val="20"/>
    </w:rPr>
  </w:style>
  <w:style w:type="paragraph" w:customStyle="1" w:styleId="30">
    <w:name w:val="Bibliography"/>
    <w:basedOn w:val="1"/>
    <w:qFormat/>
    <w:uiPriority w:val="0"/>
  </w:style>
  <w:style w:type="character" w:customStyle="1" w:styleId="31">
    <w:name w:val="Heading 1 Char"/>
    <w:basedOn w:val="19"/>
    <w:link w:val="2"/>
    <w:uiPriority w:val="9"/>
    <w:rPr>
      <w:rFonts w:asciiTheme="majorHAnsi" w:hAnsiTheme="majorHAnsi" w:eastAsiaTheme="majorEastAsia" w:cstheme="majorBidi"/>
      <w:color w:val="0F4761" w:themeColor="accent1" w:themeShade="BF"/>
      <w:sz w:val="40"/>
      <w:szCs w:val="40"/>
    </w:rPr>
  </w:style>
  <w:style w:type="character" w:customStyle="1" w:styleId="32">
    <w:name w:val="Heading 2 Char"/>
    <w:basedOn w:val="19"/>
    <w:link w:val="4"/>
    <w:semiHidden/>
    <w:uiPriority w:val="9"/>
    <w:rPr>
      <w:rFonts w:asciiTheme="majorHAnsi" w:hAnsiTheme="majorHAnsi" w:eastAsiaTheme="majorEastAsia" w:cstheme="majorBidi"/>
      <w:color w:val="0F4761" w:themeColor="accent1" w:themeShade="BF"/>
      <w:sz w:val="32"/>
      <w:szCs w:val="32"/>
    </w:rPr>
  </w:style>
  <w:style w:type="character" w:customStyle="1" w:styleId="33">
    <w:name w:val="Heading 3 Char"/>
    <w:basedOn w:val="19"/>
    <w:link w:val="5"/>
    <w:semiHidden/>
    <w:uiPriority w:val="9"/>
    <w:rPr>
      <w:rFonts w:eastAsiaTheme="majorEastAsia" w:cstheme="majorBidi"/>
      <w:color w:val="0F4761" w:themeColor="accent1" w:themeShade="BF"/>
      <w:sz w:val="28"/>
      <w:szCs w:val="28"/>
    </w:rPr>
  </w:style>
  <w:style w:type="character" w:customStyle="1" w:styleId="34">
    <w:name w:val="Heading 4 Char"/>
    <w:basedOn w:val="19"/>
    <w:link w:val="6"/>
    <w:semiHidden/>
    <w:uiPriority w:val="9"/>
    <w:rPr>
      <w:rFonts w:eastAsiaTheme="majorEastAsia" w:cstheme="majorBidi"/>
      <w:i/>
      <w:iCs/>
      <w:color w:val="0F4761" w:themeColor="accent1" w:themeShade="BF"/>
    </w:rPr>
  </w:style>
  <w:style w:type="character" w:customStyle="1" w:styleId="35">
    <w:name w:val="Heading 5 Char"/>
    <w:basedOn w:val="19"/>
    <w:link w:val="7"/>
    <w:semiHidden/>
    <w:uiPriority w:val="9"/>
    <w:rPr>
      <w:rFonts w:eastAsiaTheme="majorEastAsia" w:cstheme="majorBidi"/>
      <w:color w:val="0F4761" w:themeColor="accent1" w:themeShade="BF"/>
    </w:rPr>
  </w:style>
  <w:style w:type="character" w:customStyle="1" w:styleId="36">
    <w:name w:val="Heading 6 Char"/>
    <w:basedOn w:val="19"/>
    <w:link w:val="8"/>
    <w:semiHidden/>
    <w:uiPriority w:val="9"/>
    <w:rPr>
      <w:rFonts w:eastAsiaTheme="majorEastAsia" w:cstheme="majorBidi"/>
      <w:i/>
      <w:iCs/>
      <w:color w:val="585858" w:themeColor="text1" w:themeTint="A6"/>
    </w:rPr>
  </w:style>
  <w:style w:type="character" w:customStyle="1" w:styleId="37">
    <w:name w:val="Heading 7 Char"/>
    <w:basedOn w:val="19"/>
    <w:link w:val="9"/>
    <w:semiHidden/>
    <w:uiPriority w:val="9"/>
    <w:rPr>
      <w:rFonts w:eastAsiaTheme="majorEastAsia" w:cstheme="majorBidi"/>
      <w:color w:val="585858" w:themeColor="text1" w:themeTint="A6"/>
    </w:rPr>
  </w:style>
  <w:style w:type="character" w:customStyle="1" w:styleId="38">
    <w:name w:val="Heading 8 Char"/>
    <w:basedOn w:val="19"/>
    <w:link w:val="10"/>
    <w:semiHidden/>
    <w:uiPriority w:val="9"/>
    <w:rPr>
      <w:rFonts w:eastAsiaTheme="majorEastAsia" w:cstheme="majorBidi"/>
      <w:i/>
      <w:iCs/>
      <w:color w:val="262626" w:themeColor="text1" w:themeTint="D8"/>
    </w:rPr>
  </w:style>
  <w:style w:type="character" w:customStyle="1" w:styleId="39">
    <w:name w:val="Heading 9 Char"/>
    <w:basedOn w:val="19"/>
    <w:link w:val="11"/>
    <w:semiHidden/>
    <w:uiPriority w:val="9"/>
    <w:rPr>
      <w:rFonts w:eastAsiaTheme="majorEastAsia" w:cstheme="majorBidi"/>
      <w:color w:val="262626" w:themeColor="text1" w:themeTint="D8"/>
    </w:rPr>
  </w:style>
  <w:style w:type="paragraph" w:customStyle="1" w:styleId="40">
    <w:name w:val="Footnote Block Text"/>
    <w:basedOn w:val="17"/>
    <w:next w:val="17"/>
    <w:unhideWhenUsed/>
    <w:qFormat/>
    <w:uiPriority w:val="9"/>
    <w:pPr>
      <w:spacing w:before="100" w:after="100"/>
      <w:ind w:left="480" w:right="480" w:firstLine="0"/>
    </w:pPr>
  </w:style>
  <w:style w:type="table" w:customStyle="1" w:styleId="41">
    <w:name w:val="Table"/>
    <w:semiHidden/>
    <w:unhideWhenUsed/>
    <w:qFormat/>
    <w:uiPriority w:val="0"/>
    <w:tblPr>
      <w:tblCellMar>
        <w:top w:w="0" w:type="dxa"/>
        <w:left w:w="108" w:type="dxa"/>
        <w:bottom w:w="0" w:type="dxa"/>
        <w:right w:w="108" w:type="dxa"/>
      </w:tblCellMar>
    </w:tblPr>
    <w:tblStylePr w:type="firstRow">
      <w:tcPr>
        <w:tcBorders>
          <w:bottom w:val="single" w:color="auto" w:sz="0" w:space="0"/>
        </w:tcBorders>
        <w:vAlign w:val="bottom"/>
      </w:tcPr>
    </w:tblStylePr>
  </w:style>
  <w:style w:type="paragraph" w:customStyle="1" w:styleId="42">
    <w:name w:val="Definition Term"/>
    <w:basedOn w:val="1"/>
    <w:next w:val="43"/>
    <w:uiPriority w:val="0"/>
    <w:pPr>
      <w:keepNext/>
      <w:keepLines/>
      <w:spacing w:after="0"/>
    </w:pPr>
    <w:rPr>
      <w:b/>
    </w:rPr>
  </w:style>
  <w:style w:type="paragraph" w:customStyle="1" w:styleId="43">
    <w:name w:val="Definition"/>
    <w:basedOn w:val="1"/>
    <w:uiPriority w:val="0"/>
  </w:style>
  <w:style w:type="paragraph" w:customStyle="1" w:styleId="44">
    <w:name w:val="Table Caption"/>
    <w:basedOn w:val="12"/>
    <w:uiPriority w:val="0"/>
    <w:pPr>
      <w:keepNext/>
    </w:pPr>
  </w:style>
  <w:style w:type="paragraph" w:customStyle="1" w:styleId="45">
    <w:name w:val="Image Caption"/>
    <w:basedOn w:val="12"/>
    <w:uiPriority w:val="0"/>
  </w:style>
  <w:style w:type="paragraph" w:customStyle="1" w:styleId="46">
    <w:name w:val="Figure"/>
    <w:basedOn w:val="1"/>
    <w:uiPriority w:val="0"/>
  </w:style>
  <w:style w:type="paragraph" w:customStyle="1" w:styleId="47">
    <w:name w:val="Captioned Figure"/>
    <w:basedOn w:val="46"/>
    <w:uiPriority w:val="0"/>
    <w:pPr>
      <w:keepNext/>
    </w:pPr>
  </w:style>
  <w:style w:type="character" w:customStyle="1" w:styleId="48">
    <w:name w:val="Verbatim Char"/>
    <w:basedOn w:val="21"/>
    <w:link w:val="49"/>
    <w:uiPriority w:val="0"/>
    <w:rPr>
      <w:rFonts w:ascii="Consolas" w:hAnsi="Consolas"/>
      <w:sz w:val="22"/>
    </w:rPr>
  </w:style>
  <w:style w:type="paragraph" w:customStyle="1" w:styleId="49">
    <w:name w:val="Source Code"/>
    <w:basedOn w:val="1"/>
    <w:link w:val="48"/>
    <w:uiPriority w:val="0"/>
    <w:pPr>
      <w:shd w:val="clear" w:fill="F1F3F5"/>
      <w:wordWrap w:val="0"/>
    </w:pPr>
  </w:style>
  <w:style w:type="character" w:customStyle="1" w:styleId="50">
    <w:name w:val="Section Number"/>
    <w:basedOn w:val="21"/>
    <w:uiPriority w:val="0"/>
  </w:style>
  <w:style w:type="paragraph" w:customStyle="1" w:styleId="51">
    <w:name w:val="TOC Heading"/>
    <w:basedOn w:val="2"/>
    <w:next w:val="3"/>
    <w:unhideWhenUsed/>
    <w:qFormat/>
    <w:uiPriority w:val="39"/>
    <w:pPr>
      <w:spacing w:before="240" w:line="259" w:lineRule="auto"/>
      <w:outlineLvl w:val="9"/>
    </w:pPr>
    <w:rPr>
      <w:rFonts w:asciiTheme="majorHAnsi" w:hAnsiTheme="majorHAnsi" w:eastAsiaTheme="majorEastAsia" w:cstheme="majorBidi"/>
      <w:color w:val="0F4761" w:themeColor="accent1" w:themeShade="BF"/>
    </w:rPr>
  </w:style>
  <w:style w:type="character" w:customStyle="1" w:styleId="52">
    <w:name w:val="KeywordTok"/>
    <w:basedOn w:val="48"/>
    <w:uiPriority w:val="0"/>
    <w:rPr>
      <w:b/>
      <w:color w:val="003B4F"/>
      <w:shd w:val="clear" w:fill="F1F3F5"/>
    </w:rPr>
  </w:style>
  <w:style w:type="character" w:customStyle="1" w:styleId="53">
    <w:name w:val="DataTypeTok"/>
    <w:basedOn w:val="48"/>
    <w:uiPriority w:val="0"/>
    <w:rPr>
      <w:color w:val="AD0000"/>
      <w:shd w:val="clear" w:fill="F1F3F5"/>
    </w:rPr>
  </w:style>
  <w:style w:type="character" w:customStyle="1" w:styleId="54">
    <w:name w:val="DecValTok"/>
    <w:basedOn w:val="48"/>
    <w:uiPriority w:val="0"/>
    <w:rPr>
      <w:color w:val="AD0000"/>
      <w:shd w:val="clear" w:fill="F1F3F5"/>
    </w:rPr>
  </w:style>
  <w:style w:type="character" w:customStyle="1" w:styleId="55">
    <w:name w:val="BaseNTok"/>
    <w:basedOn w:val="48"/>
    <w:uiPriority w:val="0"/>
    <w:rPr>
      <w:color w:val="AD0000"/>
      <w:shd w:val="clear" w:fill="F1F3F5"/>
    </w:rPr>
  </w:style>
  <w:style w:type="character" w:customStyle="1" w:styleId="56">
    <w:name w:val="FloatTok"/>
    <w:basedOn w:val="48"/>
    <w:uiPriority w:val="0"/>
    <w:rPr>
      <w:color w:val="AD0000"/>
      <w:shd w:val="clear" w:fill="F1F3F5"/>
    </w:rPr>
  </w:style>
  <w:style w:type="character" w:customStyle="1" w:styleId="57">
    <w:name w:val="ConstantTok"/>
    <w:basedOn w:val="48"/>
    <w:uiPriority w:val="0"/>
    <w:rPr>
      <w:color w:val="8F5902"/>
      <w:shd w:val="clear" w:fill="F1F3F5"/>
    </w:rPr>
  </w:style>
  <w:style w:type="character" w:customStyle="1" w:styleId="58">
    <w:name w:val="CharTok"/>
    <w:basedOn w:val="48"/>
    <w:uiPriority w:val="0"/>
    <w:rPr>
      <w:color w:val="20794D"/>
      <w:shd w:val="clear" w:fill="F1F3F5"/>
    </w:rPr>
  </w:style>
  <w:style w:type="character" w:customStyle="1" w:styleId="59">
    <w:name w:val="SpecialCharTok"/>
    <w:basedOn w:val="48"/>
    <w:uiPriority w:val="0"/>
    <w:rPr>
      <w:color w:val="5E5E5E"/>
      <w:shd w:val="clear" w:fill="F1F3F5"/>
    </w:rPr>
  </w:style>
  <w:style w:type="character" w:customStyle="1" w:styleId="60">
    <w:name w:val="StringTok"/>
    <w:basedOn w:val="48"/>
    <w:uiPriority w:val="0"/>
    <w:rPr>
      <w:color w:val="20794D"/>
      <w:shd w:val="clear" w:fill="F1F3F5"/>
    </w:rPr>
  </w:style>
  <w:style w:type="character" w:customStyle="1" w:styleId="61">
    <w:name w:val="VerbatimStringTok"/>
    <w:basedOn w:val="48"/>
    <w:uiPriority w:val="0"/>
    <w:rPr>
      <w:color w:val="20794D"/>
      <w:shd w:val="clear" w:fill="F1F3F5"/>
    </w:rPr>
  </w:style>
  <w:style w:type="character" w:customStyle="1" w:styleId="62">
    <w:name w:val="SpecialStringTok"/>
    <w:basedOn w:val="48"/>
    <w:uiPriority w:val="0"/>
    <w:rPr>
      <w:color w:val="20794D"/>
      <w:shd w:val="clear" w:fill="F1F3F5"/>
    </w:rPr>
  </w:style>
  <w:style w:type="character" w:customStyle="1" w:styleId="63">
    <w:name w:val="ImportTok"/>
    <w:basedOn w:val="48"/>
    <w:uiPriority w:val="0"/>
    <w:rPr>
      <w:color w:val="00769E"/>
      <w:shd w:val="clear" w:fill="F1F3F5"/>
    </w:rPr>
  </w:style>
  <w:style w:type="character" w:customStyle="1" w:styleId="64">
    <w:name w:val="CommentTok"/>
    <w:basedOn w:val="48"/>
    <w:uiPriority w:val="0"/>
    <w:rPr>
      <w:color w:val="5E5E5E"/>
      <w:shd w:val="clear" w:fill="F1F3F5"/>
    </w:rPr>
  </w:style>
  <w:style w:type="character" w:customStyle="1" w:styleId="65">
    <w:name w:val="DocumentationTok"/>
    <w:basedOn w:val="48"/>
    <w:uiPriority w:val="0"/>
    <w:rPr>
      <w:i/>
      <w:color w:val="5E5E5E"/>
      <w:shd w:val="clear" w:fill="F1F3F5"/>
    </w:rPr>
  </w:style>
  <w:style w:type="character" w:customStyle="1" w:styleId="66">
    <w:name w:val="AnnotationTok"/>
    <w:basedOn w:val="48"/>
    <w:uiPriority w:val="0"/>
    <w:rPr>
      <w:color w:val="5E5E5E"/>
      <w:shd w:val="clear" w:fill="F1F3F5"/>
    </w:rPr>
  </w:style>
  <w:style w:type="character" w:customStyle="1" w:styleId="67">
    <w:name w:val="CommentVarTok"/>
    <w:basedOn w:val="48"/>
    <w:uiPriority w:val="0"/>
    <w:rPr>
      <w:i/>
      <w:color w:val="5E5E5E"/>
      <w:shd w:val="clear" w:fill="F1F3F5"/>
    </w:rPr>
  </w:style>
  <w:style w:type="character" w:customStyle="1" w:styleId="68">
    <w:name w:val="OtherTok"/>
    <w:basedOn w:val="48"/>
    <w:uiPriority w:val="0"/>
    <w:rPr>
      <w:color w:val="003B4F"/>
      <w:shd w:val="clear" w:fill="F1F3F5"/>
    </w:rPr>
  </w:style>
  <w:style w:type="character" w:customStyle="1" w:styleId="69">
    <w:name w:val="FunctionTok"/>
    <w:basedOn w:val="48"/>
    <w:uiPriority w:val="0"/>
    <w:rPr>
      <w:color w:val="4758AB"/>
      <w:shd w:val="clear" w:fill="F1F3F5"/>
    </w:rPr>
  </w:style>
  <w:style w:type="character" w:customStyle="1" w:styleId="70">
    <w:name w:val="VariableTok"/>
    <w:basedOn w:val="48"/>
    <w:uiPriority w:val="0"/>
    <w:rPr>
      <w:color w:val="111111"/>
      <w:shd w:val="clear" w:fill="F1F3F5"/>
    </w:rPr>
  </w:style>
  <w:style w:type="character" w:customStyle="1" w:styleId="71">
    <w:name w:val="ControlFlowTok"/>
    <w:basedOn w:val="48"/>
    <w:uiPriority w:val="0"/>
    <w:rPr>
      <w:b/>
      <w:color w:val="003B4F"/>
      <w:shd w:val="clear" w:fill="F1F3F5"/>
    </w:rPr>
  </w:style>
  <w:style w:type="character" w:customStyle="1" w:styleId="72">
    <w:name w:val="OperatorTok"/>
    <w:basedOn w:val="48"/>
    <w:uiPriority w:val="0"/>
    <w:rPr>
      <w:color w:val="5E5E5E"/>
      <w:shd w:val="clear" w:fill="F1F3F5"/>
    </w:rPr>
  </w:style>
  <w:style w:type="character" w:customStyle="1" w:styleId="73">
    <w:name w:val="BuiltInTok"/>
    <w:basedOn w:val="48"/>
    <w:uiPriority w:val="0"/>
    <w:rPr>
      <w:color w:val="003B4F"/>
      <w:shd w:val="clear" w:fill="F1F3F5"/>
    </w:rPr>
  </w:style>
  <w:style w:type="character" w:customStyle="1" w:styleId="74">
    <w:name w:val="ExtensionTok"/>
    <w:basedOn w:val="48"/>
    <w:uiPriority w:val="0"/>
    <w:rPr>
      <w:color w:val="003B4F"/>
      <w:shd w:val="clear" w:fill="F1F3F5"/>
    </w:rPr>
  </w:style>
  <w:style w:type="character" w:customStyle="1" w:styleId="75">
    <w:name w:val="PreprocessorTok"/>
    <w:basedOn w:val="48"/>
    <w:uiPriority w:val="0"/>
    <w:rPr>
      <w:color w:val="AD0000"/>
      <w:shd w:val="clear" w:fill="F1F3F5"/>
    </w:rPr>
  </w:style>
  <w:style w:type="character" w:customStyle="1" w:styleId="76">
    <w:name w:val="AttributeTok"/>
    <w:basedOn w:val="48"/>
    <w:uiPriority w:val="0"/>
    <w:rPr>
      <w:color w:val="657422"/>
      <w:shd w:val="clear" w:fill="F1F3F5"/>
    </w:rPr>
  </w:style>
  <w:style w:type="character" w:customStyle="1" w:styleId="77">
    <w:name w:val="RegionMarkerTok"/>
    <w:basedOn w:val="48"/>
    <w:uiPriority w:val="0"/>
    <w:rPr>
      <w:color w:val="003B4F"/>
      <w:shd w:val="clear" w:fill="F1F3F5"/>
    </w:rPr>
  </w:style>
  <w:style w:type="character" w:customStyle="1" w:styleId="78">
    <w:name w:val="InformationTok"/>
    <w:basedOn w:val="48"/>
    <w:uiPriority w:val="0"/>
    <w:rPr>
      <w:color w:val="5E5E5E"/>
      <w:shd w:val="clear" w:fill="F1F3F5"/>
    </w:rPr>
  </w:style>
  <w:style w:type="character" w:customStyle="1" w:styleId="79">
    <w:name w:val="WarningTok"/>
    <w:basedOn w:val="48"/>
    <w:uiPriority w:val="0"/>
    <w:rPr>
      <w:i/>
      <w:color w:val="5E5E5E"/>
      <w:shd w:val="clear" w:fill="F1F3F5"/>
    </w:rPr>
  </w:style>
  <w:style w:type="character" w:customStyle="1" w:styleId="80">
    <w:name w:val="AlertTok"/>
    <w:basedOn w:val="48"/>
    <w:uiPriority w:val="0"/>
    <w:rPr>
      <w:color w:val="AD0000"/>
      <w:shd w:val="clear" w:fill="F1F3F5"/>
    </w:rPr>
  </w:style>
  <w:style w:type="character" w:customStyle="1" w:styleId="81">
    <w:name w:val="ErrorTok"/>
    <w:basedOn w:val="48"/>
    <w:uiPriority w:val="0"/>
    <w:rPr>
      <w:color w:val="AD0000"/>
      <w:shd w:val="clear" w:fill="F1F3F5"/>
    </w:rPr>
  </w:style>
  <w:style w:type="character" w:customStyle="1" w:styleId="82">
    <w:name w:val="NormalTok"/>
    <w:basedOn w:val="48"/>
    <w:uiPriority w:val="0"/>
    <w:rPr>
      <w:color w:val="003B4F"/>
      <w:shd w:val="clear" w:fill="F1F3F5"/>
    </w:rPr>
  </w:style>
</w:styles>
</file>

<file path=word/_rels/document.xml.rels><?xml version="1.0" encoding="UTF-8" standalone="yes"?>
<Relationships xmlns="http://schemas.openxmlformats.org/package/2006/relationships"><Relationship Id="rId9" Type="http://schemas.openxmlformats.org/officeDocument/2006/relationships/image" Target="media/image5.png"/><Relationship Id="rId8" Type="http://schemas.openxmlformats.org/officeDocument/2006/relationships/image" Target="media/image4.png"/><Relationship Id="rId7" Type="http://schemas.openxmlformats.org/officeDocument/2006/relationships/image" Target="media/image3.png"/><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theme" Target="theme/theme1.xml"/><Relationship Id="rId3" Type="http://schemas.openxmlformats.org/officeDocument/2006/relationships/footnotes" Target="footnotes.xml"/><Relationship Id="rId2" Type="http://schemas.openxmlformats.org/officeDocument/2006/relationships/settings" Target="settings.xml"/><Relationship Id="rId12" Type="http://schemas.openxmlformats.org/officeDocument/2006/relationships/fontTable" Target="fontTable.xml"/><Relationship Id="rId11" Type="http://schemas.openxmlformats.org/officeDocument/2006/relationships/numbering" Target="numbering.xml"/><Relationship Id="rId10" Type="http://schemas.openxmlformats.org/officeDocument/2006/relationships/image" Target="media/image6.png"/><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29</Pages>
  <Words>83</Words>
  <Characters>475</Characters>
  <Lines>12</Lines>
  <Paragraphs>8</Paragraphs>
  <TotalTime>7</TotalTime>
  <ScaleCrop>false</ScaleCrop>
  <LinksUpToDate>false</LinksUpToDate>
  <CharactersWithSpaces>583</CharactersWithSpaces>
  <Application>WPS Office_7.4.1.8983_F1E327BC-269C-435d-A152-05C5408002CA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2026-07-22T07:21:00Z</dcterms:created>
  <dc:creator>杨雅程(2021311856)</dc:creator>
  <cp:lastModifiedBy>杨雅程(2021311856)</cp:lastModifiedBy>
  <dcterms:modified xsi:type="dcterms:W3CDTF">2026-07-22T07:30:52Z</dcterms:modified>
  <dc:title>delta0小组报告</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ngines">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y fmtid="{D5CDD505-2E9C-101B-9397-08002B2CF9AE}" pid="9" name="KSOProductBuildVer">
    <vt:lpwstr>2052-7.4.1.8983</vt:lpwstr>
  </property>
  <property fmtid="{D5CDD505-2E9C-101B-9397-08002B2CF9AE}" pid="10" name="ICV">
    <vt:lpwstr>42EFA80577F0C5702C01606A7F5E33D3_42</vt:lpwstr>
  </property>
</Properties>
</file>