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Leilani Okonkwo</w:t>
      </w:r>
    </w:p>
    <w:p>
      <w:r>
        <w:t>Mechanical Engineer</w:t>
      </w:r>
    </w:p>
    <w:p>
      <w:r>
        <w:t>leilani.okonkwo@example.com</w:t>
      </w:r>
    </w:p>
    <w:p/>
    <w:p>
      <w:r>
        <w:t>PROFILE</w:t>
      </w:r>
    </w:p>
    <w:p>
      <w:r>
        <w:t>Mechanical Engineer with 6 years across startups and enterprise. Known for turning vague requirements into scoped, measurable delivery.</w:t>
      </w:r>
    </w:p>
    <w:p/>
    <w:p>
      <w:r>
        <w:t>TECHNICAL SKILLS</w:t>
      </w:r>
    </w:p>
    <w:p>
      <w:r>
        <w:t>SolidWorks, GD&amp;T, MATLAB, AutoCAD</w:t>
      </w:r>
    </w:p>
    <w:p/>
    <w:p>
      <w:r>
        <w:t>EMPLOYMENT HISTORY</w:t>
      </w:r>
    </w:p>
    <w:p>
      <w:r>
        <w:t>Meridian Health Group — Mechanical Engineer (2023–2024)</w:t>
      </w:r>
    </w:p>
    <w:p>
      <w:r>
        <w:t>- Ran FEA validation on 52 structural components.</w:t>
      </w:r>
    </w:p>
    <w:p>
      <w:r>
        <w:t>- Cut part cost 32% through a design-for-manufacture review.</w:t>
      </w:r>
    </w:p>
    <w:p/>
    <w:p>
      <w:r>
        <w:t>Northwind Systems — Associate Mechanical Engineer (2022–2023)</w:t>
      </w:r>
    </w:p>
    <w:p>
      <w:r>
        <w:t>- Designed 18 injection-moulded assemblies released to production.</w:t>
      </w:r>
    </w:p>
    <w:p>
      <w:r>
        <w:t>- Cut part cost 45% through a design-for-manufacture review.</w:t>
      </w:r>
    </w:p>
    <w:p>
      <w:r>
        <w:t>- Ran FEA validation on 3 structural components.</w:t>
      </w:r>
    </w:p>
    <w:p/>
    <w:p>
      <w:r>
        <w:t>ACADEMIC BACKGROUND</w:t>
      </w:r>
    </w:p>
    <w:p>
      <w:r>
        <w:t>Fairmont State College — B.S. Information Systems,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