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Nadia Okonkwo</w:t>
      </w:r>
    </w:p>
    <w:p>
      <w:r>
        <w:t>Financial Analyst</w:t>
      </w:r>
    </w:p>
    <w:p>
      <w:r>
        <w:t>nadia.okonkwo@example.com</w:t>
      </w:r>
    </w:p>
    <w:p/>
    <w:p>
      <w:r>
        <w:t>PROFILE</w:t>
      </w:r>
    </w:p>
    <w:p>
      <w:r>
        <w:t>Financial Analyst with 14 years of experience delivering production systems in regulated environments. Focused on reliability, measurement, and clear handover.</w:t>
      </w:r>
    </w:p>
    <w:p/>
    <w:p>
      <w:r>
        <w:t>SKILL HIGHLIGHTS</w:t>
      </w:r>
    </w:p>
    <w:p>
      <w:r>
        <w:t>Tableau, Forecasting, Variance Analysis, Excel, SQL, SAP</w:t>
      </w:r>
    </w:p>
    <w:p/>
    <w:p>
      <w:r>
        <w:t>EXPERIENCE</w:t>
      </w:r>
    </w:p>
    <w:p>
      <w:r>
        <w:t>Ironwood Robotics — Financial Analyst (2021–2024)</w:t>
      </w:r>
    </w:p>
    <w:p>
      <w:r>
        <w:t>- Presented monthly results to a committee of 4 executives.</w:t>
      </w:r>
    </w:p>
    <w:p>
      <w:r>
        <w:t>- Owned the quarterly forecast for a 17 million dollar product line.</w:t>
      </w:r>
    </w:p>
    <w:p>
      <w:r>
        <w:t>- Automated variance reporting in SQL, saving 22 analyst hours per month.</w:t>
      </w:r>
    </w:p>
    <w:p/>
    <w:p>
      <w:r>
        <w:t>Brightline Analytics — Associate Financial Analyst (2017–2020)</w:t>
      </w:r>
    </w:p>
    <w:p>
      <w:r>
        <w:t>- Presented monthly results to a committee of 43 executives.</w:t>
      </w:r>
    </w:p>
    <w:p>
      <w:r>
        <w:t>- Automated variance reporting in SQL, saving 53 analyst hours per month.</w:t>
      </w:r>
    </w:p>
    <w:p/>
    <w:p>
      <w:r>
        <w:t>EDUCATION</w:t>
      </w:r>
    </w:p>
    <w:p>
      <w:r>
        <w:t>Fairmont State College — M.S. Data Science,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