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Castellanos</w:t>
      </w:r>
    </w:p>
    <w:p>
      <w:r>
        <w:t>Financial Analyst</w:t>
      </w:r>
    </w:p>
    <w:p>
      <w:r>
        <w:t>priya.castellanos@example.com</w:t>
      </w:r>
    </w:p>
    <w:p/>
    <w:p>
      <w:r>
        <w:t>PROFESSIONAL SUMMARY</w:t>
      </w:r>
    </w:p>
    <w:p>
      <w:r>
        <w:t>Hands-on Financial Analyst who has spent 16 years shipping and maintaining systems used daily by large teams. Comfortable owning work end to end.</w:t>
      </w:r>
    </w:p>
    <w:p/>
    <w:p>
      <w:r>
        <w:t>CORE COMPETENCIES</w:t>
      </w:r>
    </w:p>
    <w:p>
      <w:r>
        <w:t>SAP, Tableau, SQL, Variance Analysis</w:t>
      </w:r>
    </w:p>
    <w:p/>
    <w:p>
      <w:r>
        <w:t>EMPLOYMENT HISTORY</w:t>
      </w:r>
    </w:p>
    <w:p>
      <w:r>
        <w:t>Brightline Analytics — Financial Analyst (2022–2023)</w:t>
      </w:r>
    </w:p>
    <w:p>
      <w:r>
        <w:t>- Automated variance reporting in SQL, saving 21 analyst hours per month.</w:t>
      </w:r>
    </w:p>
    <w:p>
      <w:r>
        <w:t>- Owned the quarterly forecast for a 2 million dollar product line.</w:t>
      </w:r>
    </w:p>
    <w:p>
      <w:r>
        <w:t>- Presented monthly results to a committee of 16 executives.</w:t>
      </w:r>
    </w:p>
    <w:p/>
    <w:p>
      <w:r>
        <w:t>Trellis Financial — Associate Financial Analyst (2020–2022)</w:t>
      </w:r>
    </w:p>
    <w:p>
      <w:r>
        <w:t>- Automated variance reporting in SQL, saving 41 analyst hours per month.</w:t>
      </w:r>
    </w:p>
    <w:p>
      <w:r>
        <w:t>- Owned the quarterly forecast for a 38 million dollar product line.</w:t>
      </w:r>
    </w:p>
    <w:p/>
    <w:p>
      <w:r>
        <w:t>ACADEMIC BACKGROUND</w:t>
      </w:r>
    </w:p>
    <w:p>
      <w:r>
        <w:t>State University — B.S. Computer Science,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