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Leilani Ramachandran</w:t>
      </w:r>
    </w:p>
    <w:p>
      <w:r>
        <w:t>Backend Engineer</w:t>
      </w:r>
    </w:p>
    <w:p>
      <w:r>
        <w:t>leilani.ramachandran@example.com</w:t>
      </w:r>
    </w:p>
    <w:p/>
    <w:p>
      <w:r>
        <w:t>PROFILE</w:t>
      </w:r>
    </w:p>
    <w:p>
      <w:r>
        <w:t>Backend Engineer with 5 years across startups and enterprise. Known for turning vague requirements into scoped, measurable delivery.</w:t>
      </w:r>
    </w:p>
    <w:p/>
    <w:p>
      <w:r>
        <w:t>CORE COMPETENCIES</w:t>
      </w:r>
    </w:p>
    <w:p>
      <w:r>
        <w:t>Docker, Redis, Kafka, gRPC</w:t>
      </w:r>
    </w:p>
    <w:p/>
    <w:p>
      <w:r>
        <w:t>WORK EXPERIENCE</w:t>
      </w:r>
    </w:p>
    <w:p>
      <w:r>
        <w:t>Silverpine Media — Backend Engineer (2020–2022)</w:t>
      </w:r>
    </w:p>
    <w:p>
      <w:r>
        <w:t>- Designed a gRPC service handling 7 thousand requests per second.</w:t>
      </w:r>
    </w:p>
    <w:p>
      <w:r>
        <w:t>- Led migration of 14 services onto Kubernetes.</w:t>
      </w:r>
    </w:p>
    <w:p/>
    <w:p>
      <w:r>
        <w:t>Brightline Analytics — Junior Backend Engineer (2018–2019)</w:t>
      </w:r>
    </w:p>
    <w:p>
      <w:r>
        <w:t>- Reduced p99 latency by 22% by introducing a Redis cache layer.</w:t>
      </w:r>
    </w:p>
    <w:p>
      <w:r>
        <w:t>- Designed a gRPC service handling 55 thousand requests per second.</w:t>
      </w:r>
    </w:p>
    <w:p>
      <w:r>
        <w:t>- Led migration of 19 services onto Kubernetes.</w:t>
      </w:r>
    </w:p>
    <w:p/>
    <w:p>
      <w:r>
        <w:t>ACADEMIC BACKGROUND</w:t>
      </w:r>
    </w:p>
    <w:p>
      <w:r>
        <w:t>Ashford Polytechnic — M.S. Data Science,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