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Beatriz Lindqvist</w:t>
      </w:r>
    </w:p>
    <w:p>
      <w:r>
        <w:t>Mechanical Engineer</w:t>
      </w:r>
    </w:p>
    <w:p>
      <w:r>
        <w:t>beatriz.lindqvist@example.com</w:t>
      </w:r>
    </w:p>
    <w:p/>
    <w:p>
      <w:r>
        <w:t>PROFESSIONAL SUMMARY</w:t>
      </w:r>
    </w:p>
    <w:p>
      <w:r>
        <w:t>Mechanical Engineer with 4 years across startups and enterprise. Known for turning vague requirements into scoped, measurable delivery.</w:t>
      </w:r>
    </w:p>
    <w:p/>
    <w:p>
      <w:r>
        <w:t>CORE COMPETENCIES</w:t>
      </w:r>
    </w:p>
    <w:p>
      <w:r>
        <w:t>AutoCAD, Six Sigma, MATLAB, GD&amp;T, FEA, SolidWorks</w:t>
      </w:r>
    </w:p>
    <w:p/>
    <w:p>
      <w:r>
        <w:t>EMPLOYMENT HISTORY</w:t>
      </w:r>
    </w:p>
    <w:p>
      <w:r>
        <w:t>Trellis Financial — Mechanical Engineer (2020–2023)</w:t>
      </w:r>
    </w:p>
    <w:p>
      <w:r>
        <w:t>- Ran FEA validation on 31 structural components.</w:t>
      </w:r>
    </w:p>
    <w:p>
      <w:r>
        <w:t>- Cut part cost 15% through a design-for-manufacture review.</w:t>
      </w:r>
    </w:p>
    <w:p/>
    <w:p>
      <w:r>
        <w:t>Harborview Logistics — Junior Mechanical Engineer (2017–2019)</w:t>
      </w:r>
    </w:p>
    <w:p>
      <w:r>
        <w:t>- Designed 53 injection-moulded assemblies released to production.</w:t>
      </w:r>
    </w:p>
    <w:p>
      <w:r>
        <w:t>- Cut part cost 29% through a design-for-manufacture review.</w:t>
      </w:r>
    </w:p>
    <w:p>
      <w:r>
        <w:t>- Ran FEA validation on 37 structural components.</w:t>
      </w:r>
    </w:p>
    <w:p/>
    <w:p>
      <w:r>
        <w:t>EDUCATION</w:t>
      </w:r>
    </w:p>
    <w:p>
      <w:r>
        <w:t>Riverside Institute of Technology — M.B.A. Business Administration,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